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D5EBAC" w14:textId="005897F7" w:rsidR="00B313C0" w:rsidRPr="00246AFD" w:rsidRDefault="002023A3" w:rsidP="006B530D">
      <w:pPr>
        <w:spacing w:line="480" w:lineRule="auto"/>
        <w:rPr>
          <w:b/>
          <w:u w:val="single"/>
        </w:rPr>
      </w:pPr>
      <w:r w:rsidRPr="00246AFD">
        <w:rPr>
          <w:b/>
          <w:u w:val="single"/>
        </w:rPr>
        <w:t>SUPPLEMENTARY INFORMATION</w:t>
      </w:r>
    </w:p>
    <w:p w14:paraId="44F0D8A9" w14:textId="6B4E39DC" w:rsidR="00737AAE" w:rsidRDefault="00246AFD" w:rsidP="00737AAE">
      <w:pPr>
        <w:spacing w:line="480" w:lineRule="auto"/>
        <w:rPr>
          <w:b/>
        </w:rPr>
      </w:pPr>
      <w:r w:rsidRPr="00246AFD">
        <w:rPr>
          <w:b/>
          <w:u w:val="single"/>
        </w:rPr>
        <w:t>Supplemental Methods</w:t>
      </w:r>
    </w:p>
    <w:p w14:paraId="03680321" w14:textId="7A09123A" w:rsidR="00737AAE" w:rsidRDefault="00246AFD" w:rsidP="00737AAE">
      <w:pPr>
        <w:spacing w:line="480" w:lineRule="auto"/>
        <w:rPr>
          <w:u w:val="single"/>
        </w:rPr>
      </w:pPr>
      <w:r w:rsidRPr="006B530D">
        <w:rPr>
          <w:b/>
        </w:rPr>
        <w:t>Neuroimaging</w:t>
      </w:r>
      <w:r>
        <w:rPr>
          <w:b/>
        </w:rPr>
        <w:t xml:space="preserve"> Methods</w:t>
      </w:r>
    </w:p>
    <w:p w14:paraId="17396596" w14:textId="0BD4F281" w:rsidR="00E033B0" w:rsidRPr="006B530D" w:rsidRDefault="00E033B0" w:rsidP="006B530D">
      <w:pPr>
        <w:spacing w:line="480" w:lineRule="auto"/>
        <w:rPr>
          <w:u w:val="single"/>
        </w:rPr>
      </w:pPr>
      <w:r w:rsidRPr="006B530D">
        <w:rPr>
          <w:u w:val="single"/>
        </w:rPr>
        <w:t>MRI</w:t>
      </w:r>
    </w:p>
    <w:p w14:paraId="07E6E71A" w14:textId="064CD510" w:rsidR="00B313C0" w:rsidRDefault="00B313C0" w:rsidP="006B530D">
      <w:pPr>
        <w:spacing w:line="480" w:lineRule="auto"/>
      </w:pPr>
      <w:r w:rsidRPr="00050A9E">
        <w:t xml:space="preserve">MRI sequences were acquired at UCSF on either a 3T Siemens Tim Trio or a 3T Siemens Prisma Fit scanner: T1-weighted magnetization-prepared rapid gradient echo, fluid-attenuated inversion recovery (FLAIR), and susceptibility weighted imaging (SWI). Both scanners had very similar acquisition parameters (sagittal slice orientation; slice thickness, 1.0 mm; slices per slab, 160; in-plane resolution, 1.0 × 1.0 mm; matrix, 240 × 256; repetition time, 2300 </w:t>
      </w:r>
      <w:proofErr w:type="spellStart"/>
      <w:r w:rsidRPr="00050A9E">
        <w:t>ms</w:t>
      </w:r>
      <w:proofErr w:type="spellEnd"/>
      <w:r w:rsidRPr="00050A9E">
        <w:t xml:space="preserve">; inversion time, 900 </w:t>
      </w:r>
      <w:proofErr w:type="spellStart"/>
      <w:r w:rsidRPr="00050A9E">
        <w:t>ms</w:t>
      </w:r>
      <w:proofErr w:type="spellEnd"/>
      <w:r w:rsidRPr="00050A9E">
        <w:t xml:space="preserve">; flip angle, 9°), although echo time slightly differed (Trio, 2.98 </w:t>
      </w:r>
      <w:proofErr w:type="spellStart"/>
      <w:r w:rsidRPr="00050A9E">
        <w:t>ms</w:t>
      </w:r>
      <w:proofErr w:type="spellEnd"/>
      <w:r w:rsidRPr="00050A9E">
        <w:t xml:space="preserve">; Prisma, 2.9 </w:t>
      </w:r>
      <w:proofErr w:type="spellStart"/>
      <w:r w:rsidRPr="00050A9E">
        <w:t>ms</w:t>
      </w:r>
      <w:proofErr w:type="spellEnd"/>
      <w:r w:rsidRPr="00050A9E">
        <w:t>).</w:t>
      </w:r>
    </w:p>
    <w:p w14:paraId="19145575" w14:textId="77777777" w:rsidR="00D62DA7" w:rsidRDefault="00D62DA7" w:rsidP="006B530D">
      <w:pPr>
        <w:spacing w:line="480" w:lineRule="auto"/>
      </w:pPr>
    </w:p>
    <w:p w14:paraId="2D409909" w14:textId="4A6E4A8D" w:rsidR="00E033B0" w:rsidRPr="006B530D" w:rsidRDefault="00E033B0" w:rsidP="006B530D">
      <w:pPr>
        <w:spacing w:line="480" w:lineRule="auto"/>
        <w:rPr>
          <w:u w:val="single"/>
        </w:rPr>
      </w:pPr>
      <w:r w:rsidRPr="006B530D">
        <w:rPr>
          <w:u w:val="single"/>
        </w:rPr>
        <w:t>[18]F-Florbetapir</w:t>
      </w:r>
    </w:p>
    <w:p w14:paraId="541FE116" w14:textId="1D809CFF" w:rsidR="00370025" w:rsidRPr="00370025" w:rsidRDefault="004C0BD4" w:rsidP="006B530D">
      <w:pPr>
        <w:spacing w:line="480" w:lineRule="auto"/>
      </w:pPr>
      <w:r>
        <w:t xml:space="preserve">[18]F-Florbetapir </w:t>
      </w:r>
      <w:r w:rsidR="00370025">
        <w:t xml:space="preserve">PET </w:t>
      </w:r>
      <w:r>
        <w:t>were</w:t>
      </w:r>
      <w:r w:rsidR="00370025">
        <w:t xml:space="preserve"> acquired at UCSF China Basin on a GE Discovery STE scanner.  </w:t>
      </w:r>
      <w:r w:rsidR="00833890" w:rsidRPr="00833890">
        <w:t xml:space="preserve"> A low-dose CT scan was acquired for attenuation correction prior to PET acquisition, and PET data were reconstructed using an ordered subset expectation maximization algorithm with weighted attenuation and scatter correction. </w:t>
      </w:r>
      <w:r w:rsidR="00833890">
        <w:t>Radiotracer was</w:t>
      </w:r>
      <w:r w:rsidR="00833890" w:rsidRPr="00370025">
        <w:t xml:space="preserve"> injected intravenously as a bolus, and data analyzed in this paper were acquired for 20 min starting 50 min post injection. </w:t>
      </w:r>
      <w:r w:rsidR="00833890">
        <w:t xml:space="preserve">[18]F-Florbetapir-PET </w:t>
      </w:r>
      <w:r w:rsidR="00833890" w:rsidRPr="00370025">
        <w:t>data was reconstructed as four 5-min frames</w:t>
      </w:r>
      <w:r w:rsidR="00833890">
        <w:t xml:space="preserve">. </w:t>
      </w:r>
    </w:p>
    <w:p w14:paraId="7DBCB70D" w14:textId="77777777" w:rsidR="00B313C0" w:rsidRDefault="00B313C0" w:rsidP="006B530D">
      <w:pPr>
        <w:spacing w:line="480" w:lineRule="auto"/>
      </w:pPr>
    </w:p>
    <w:p w14:paraId="658136E9" w14:textId="2624E261" w:rsidR="00E033B0" w:rsidRDefault="00E033B0" w:rsidP="006B530D">
      <w:pPr>
        <w:pStyle w:val="NormalWeb"/>
        <w:spacing w:before="0" w:beforeAutospacing="0" w:after="0" w:afterAutospacing="0" w:line="480" w:lineRule="auto"/>
        <w:rPr>
          <w:rFonts w:eastAsiaTheme="minorHAnsi"/>
        </w:rPr>
      </w:pPr>
      <w:r w:rsidRPr="00E033B0">
        <w:t>T1 MRIs were segmented and parcellated using FreeSurfer version</w:t>
      </w:r>
      <w:r w:rsidRPr="00833890">
        <w:t xml:space="preserve"> </w:t>
      </w:r>
      <w:proofErr w:type="gramStart"/>
      <w:r w:rsidRPr="00E033B0">
        <w:t>7.1</w:t>
      </w:r>
      <w:r w:rsidRPr="00E033B0">
        <w:rPr>
          <w:rFonts w:eastAsiaTheme="minorHAnsi"/>
        </w:rPr>
        <w:t xml:space="preserve"> </w:t>
      </w:r>
      <w:r w:rsidR="007C428E">
        <w:rPr>
          <w:rFonts w:eastAsiaTheme="minorHAnsi"/>
        </w:rPr>
        <w:t xml:space="preserve"> (</w:t>
      </w:r>
      <w:proofErr w:type="gramEnd"/>
      <w:r w:rsidRPr="00E033B0">
        <w:rPr>
          <w:rFonts w:eastAsiaTheme="minorHAnsi"/>
        </w:rPr>
        <w:t xml:space="preserve">surfer.nmr.mgh.harvard.edu). PET frames were realigned </w:t>
      </w:r>
      <w:r w:rsidR="00E50B40">
        <w:rPr>
          <w:rFonts w:eastAsiaTheme="minorHAnsi"/>
        </w:rPr>
        <w:t>using rigid-body transformation</w:t>
      </w:r>
      <w:r w:rsidRPr="00E033B0">
        <w:rPr>
          <w:rFonts w:eastAsiaTheme="minorHAnsi"/>
        </w:rPr>
        <w:t xml:space="preserve">, averaged, and coregistered to their corresponding MRI using Statistical Parametric Mapping 12 (SPM12; </w:t>
      </w:r>
      <w:proofErr w:type="spellStart"/>
      <w:r w:rsidRPr="00E033B0">
        <w:rPr>
          <w:rFonts w:eastAsiaTheme="minorHAnsi"/>
        </w:rPr>
        <w:t>Wellcome</w:t>
      </w:r>
      <w:proofErr w:type="spellEnd"/>
      <w:r w:rsidRPr="00E033B0">
        <w:rPr>
          <w:rFonts w:eastAsiaTheme="minorHAnsi"/>
        </w:rPr>
        <w:t xml:space="preserve"> Department of Imaging Neuroscience, Institute of Neurology, London, UK). </w:t>
      </w:r>
      <w:r w:rsidRPr="00E033B0">
        <w:rPr>
          <w:rFonts w:eastAsiaTheme="minorHAnsi"/>
        </w:rPr>
        <w:lastRenderedPageBreak/>
        <w:t xml:space="preserve">Standardized uptake value ratio (SUVR) images were created using a composite reference region </w:t>
      </w:r>
      <w:r w:rsidR="00122009">
        <w:rPr>
          <w:rFonts w:eastAsiaTheme="minorHAnsi"/>
        </w:rPr>
        <w:t xml:space="preserve">that included the whole </w:t>
      </w:r>
      <w:r w:rsidRPr="00E033B0">
        <w:rPr>
          <w:rFonts w:eastAsiaTheme="minorHAnsi"/>
        </w:rPr>
        <w:t>cerebellum, eroded white matter, and brainstem.</w:t>
      </w:r>
      <w:r w:rsidR="00221252">
        <w:rPr>
          <w:rFonts w:eastAsiaTheme="minorHAnsi"/>
        </w:rPr>
        <w:fldChar w:fldCharType="begin"/>
      </w:r>
      <w:r w:rsidR="00377F8D">
        <w:rPr>
          <w:rFonts w:eastAsiaTheme="minorHAnsi"/>
        </w:rPr>
        <w:instrText xml:space="preserve"> ADDIN ZOTERO_ITEM CSL_CITATION {"citationID":"1MN1VEAe","properties":{"formattedCitation":"[4]","plainCitation":"[4]","noteIndex":0},"citationItems":[{"id":75,"uris":["http://zotero.org/users/11298871/items/FFYCLQVD"],"itemData":{"id":75,"type":"article-journal","abstract":"The accurate measurement of β-amyloid (Aβ) change using amyloid PET imaging is important for Alzheimer disease research and clinical trials but poses several unique challenges. In particular, reference region measurement instability may lead to spurious changes in cortical regions of interest. To optimize our ability to measure 18F-florbetapir longitudinal change, we evaluated several candidate regions of interest and their influence on cortical florbetapir change over a 2-y period in participants from the Alzheimer Disease Neuroimaging Initiative (ADNI).","container-title":"Journal of nuclear medicine : official publication, Society of Nuclear Medicine","DOI":"10.2967/jnumed.114.148981","ISSN":"0161-5505","issue":"4","journalAbbreviation":"J Nucl Med","note":"PMID: 25745095\nPMCID: PMC5313473","page":"567-574","source":"PubMed Central","title":"Measurement of Longitudinal β-Amyloid Change with 18F-Florbetapir PET and Standardized Uptake Value Ratios","volume":"56","author":[{"family":"Landau","given":"Susan M."},{"family":"Fero","given":"Allison"},{"family":"Baker","given":"Suzanne L."},{"family":"Koeppe","given":"Robert"},{"family":"Mintun","given":"Mark"},{"family":"Chen","given":"Kewei"},{"family":"Reiman","given":"Eric M."},{"family":"Jagust","given":"William J."}],"issued":{"date-parts":[["2015",4]]}}}],"schema":"https://github.com/citation-style-language/schema/raw/master/csl-citation.json"} </w:instrText>
      </w:r>
      <w:r w:rsidR="00221252">
        <w:rPr>
          <w:rFonts w:eastAsiaTheme="minorHAnsi"/>
        </w:rPr>
        <w:fldChar w:fldCharType="separate"/>
      </w:r>
      <w:r w:rsidR="00377F8D" w:rsidRPr="00377F8D">
        <w:t>[4]</w:t>
      </w:r>
      <w:r w:rsidR="00221252">
        <w:rPr>
          <w:rFonts w:eastAsiaTheme="minorHAnsi"/>
        </w:rPr>
        <w:fldChar w:fldCharType="end"/>
      </w:r>
      <w:r w:rsidRPr="00E033B0">
        <w:rPr>
          <w:rFonts w:eastAsiaTheme="minorHAnsi"/>
        </w:rPr>
        <w:t xml:space="preserve"> </w:t>
      </w:r>
      <w:r w:rsidR="00122009">
        <w:rPr>
          <w:rFonts w:eastAsiaTheme="minorHAnsi"/>
        </w:rPr>
        <w:t xml:space="preserve">This composite reference region approach </w:t>
      </w:r>
      <w:r w:rsidR="00122009" w:rsidRPr="00122009">
        <w:rPr>
          <w:rFonts w:eastAsiaTheme="minorHAnsi"/>
        </w:rPr>
        <w:t xml:space="preserve">has shown greater reliability </w:t>
      </w:r>
      <w:r w:rsidR="00122009">
        <w:rPr>
          <w:rFonts w:eastAsiaTheme="minorHAnsi"/>
        </w:rPr>
        <w:t xml:space="preserve">than other regions (e.g. cerebellum) </w:t>
      </w:r>
      <w:r w:rsidR="00122009" w:rsidRPr="00122009">
        <w:rPr>
          <w:rFonts w:eastAsiaTheme="minorHAnsi"/>
        </w:rPr>
        <w:t>for longitudinal analyses</w:t>
      </w:r>
      <w:r w:rsidR="00122009">
        <w:rPr>
          <w:rFonts w:eastAsiaTheme="minorHAnsi"/>
        </w:rPr>
        <w:t>.</w:t>
      </w:r>
      <w:r w:rsidR="003B07E8">
        <w:rPr>
          <w:rFonts w:eastAsiaTheme="minorHAnsi"/>
        </w:rPr>
        <w:fldChar w:fldCharType="begin"/>
      </w:r>
      <w:r w:rsidR="006B530D">
        <w:rPr>
          <w:rFonts w:eastAsiaTheme="minorHAnsi"/>
        </w:rPr>
        <w:instrText xml:space="preserve"> ADDIN ZOTERO_ITEM CSL_CITATION {"citationID":"JHW3y14M","properties":{"formattedCitation":"[8]","plainCitation":"[8]","noteIndex":0},"citationItems":[{"id":"Z9s1ijue/slvF01ov","uris":["http://zotero.org/users/11298871/items/US8C4E5V"],"itemData":{"id":"bIHIVUOH/Jcz3JqaQ","type":"article-journal","abstract":"Inconsistent positivity thresholds, image analysis pipelines, and quantitative outcomes are key challenges of multisite studies using more than one β-amyloid (Aβ) radiotracer in positron emission tomography (PET). Variability related to these factors contributes to disagreement and lack of replicability in research and clinical trials. To address these problems and promote Aβ PET harmonization, we used [18F]florbetaben (FBB) and [18F]florbetapir (FBP) data from the Alzheimer’s Disease Neuroimaging Initiative (ADNI) to derive (1) standardized Centiloid (CL) transformations and (2) internally consistent positivity thresholds based on separate young control samples.","container-title":"Alzheimer's Research &amp; Therapy","DOI":"10.1186/s13195-021-00836-1","ISSN":"1758-9193","issue":"1","journalAbbreviation":"Alzheimer's Research &amp; Therapy","page":"99","source":"BioMed Central","title":"Validation of amyloid PET positivity thresholds in centiloids: a multisite PET study approach","title-short":"Validation of amyloid PET positivity thresholds in centiloids","volume":"13","author":[{"family":"Royse","given":"Sarah K."},{"family":"Minhas","given":"Davneet S."},{"family":"Lopresti","given":"Brian J."},{"family":"Murphy","given":"Alice"},{"family":"Ward","given":"Tyler"},{"family":"Koeppe","given":"Robert A."},{"family":"Bullich","given":"Santiago"},{"family":"DeSanti","given":"Susan"},{"family":"Jagust","given":"William J."},{"family":"Landau","given":"Susan M."},{"literal":"for the Alzheimer’s Disease Neuroimaging Initiative"}],"issued":{"date-parts":[["2021",5,10]]}}}],"schema":"https://github.com/citation-style-language/schema/raw/master/csl-citation.json"} </w:instrText>
      </w:r>
      <w:r w:rsidR="003B07E8">
        <w:rPr>
          <w:rFonts w:eastAsiaTheme="minorHAnsi"/>
        </w:rPr>
        <w:fldChar w:fldCharType="separate"/>
      </w:r>
      <w:r w:rsidR="00A31EBD" w:rsidRPr="00A31EBD">
        <w:t>[8]</w:t>
      </w:r>
      <w:r w:rsidR="003B07E8">
        <w:rPr>
          <w:rFonts w:eastAsiaTheme="minorHAnsi"/>
        </w:rPr>
        <w:fldChar w:fldCharType="end"/>
      </w:r>
      <w:r w:rsidR="003B07E8" w:rsidRPr="00E033B0">
        <w:rPr>
          <w:rFonts w:eastAsiaTheme="minorHAnsi"/>
        </w:rPr>
        <w:t xml:space="preserve"> </w:t>
      </w:r>
      <w:r w:rsidRPr="00E033B0">
        <w:rPr>
          <w:rFonts w:eastAsiaTheme="minorHAnsi"/>
        </w:rPr>
        <w:t xml:space="preserve">To obtain a measure of global cortical </w:t>
      </w:r>
      <w:r>
        <w:rPr>
          <w:rFonts w:eastAsiaTheme="minorHAnsi"/>
        </w:rPr>
        <w:t xml:space="preserve">amyloid </w:t>
      </w:r>
      <w:r w:rsidRPr="00E033B0">
        <w:rPr>
          <w:rFonts w:eastAsiaTheme="minorHAnsi"/>
        </w:rPr>
        <w:t>burden, we extracted a mean, cortical SUVR value for each tracer in native space using a weighted average of all FreeSurfer-derived cortical regions. </w:t>
      </w:r>
      <w:r>
        <w:rPr>
          <w:rFonts w:eastAsiaTheme="minorHAnsi"/>
        </w:rPr>
        <w:t xml:space="preserve">[18]F-Florbetapir SUVR </w:t>
      </w:r>
      <w:r w:rsidR="00E50B40">
        <w:rPr>
          <w:rFonts w:eastAsiaTheme="minorHAnsi"/>
        </w:rPr>
        <w:t>v</w:t>
      </w:r>
      <w:r>
        <w:rPr>
          <w:rFonts w:eastAsiaTheme="minorHAnsi"/>
        </w:rPr>
        <w:t>alues were</w:t>
      </w:r>
      <w:r w:rsidRPr="00E033B0">
        <w:rPr>
          <w:rFonts w:eastAsiaTheme="minorHAnsi"/>
        </w:rPr>
        <w:t xml:space="preserve"> converted to </w:t>
      </w:r>
      <w:proofErr w:type="spellStart"/>
      <w:r w:rsidRPr="00E033B0">
        <w:rPr>
          <w:rFonts w:eastAsiaTheme="minorHAnsi"/>
        </w:rPr>
        <w:t>Centiloid</w:t>
      </w:r>
      <w:proofErr w:type="spellEnd"/>
      <w:r w:rsidRPr="00E033B0">
        <w:rPr>
          <w:rFonts w:eastAsiaTheme="minorHAnsi"/>
        </w:rPr>
        <w:t xml:space="preserve"> values</w:t>
      </w:r>
      <w:r>
        <w:rPr>
          <w:rFonts w:eastAsiaTheme="minorHAnsi"/>
        </w:rPr>
        <w:t xml:space="preserve"> using a previously validated equation.</w:t>
      </w:r>
      <w:r w:rsidR="003B07E8">
        <w:rPr>
          <w:rFonts w:eastAsiaTheme="minorHAnsi"/>
        </w:rPr>
        <w:fldChar w:fldCharType="begin"/>
      </w:r>
      <w:r w:rsidR="006B530D">
        <w:rPr>
          <w:rFonts w:eastAsiaTheme="minorHAnsi"/>
        </w:rPr>
        <w:instrText xml:space="preserve"> ADDIN ZOTERO_ITEM CSL_CITATION {"citationID":"uyxJZWdL","properties":{"formattedCitation":"[1, 8]","plainCitation":"[1, 8]","noteIndex":0},"citationItems":[{"id":"Z9s1ijue/slvF01ov","uris":["http://zotero.org/users/11298871/items/US8C4E5V"],"itemData":{"id":"bIHIVUOH/Jcz3JqaQ","type":"article-journal","abstract":"Inconsistent positivity thresholds, image analysis pipelines, and quantitative outcomes are key challenges of multisite studies using more than one β-amyloid (Aβ) radiotracer in positron emission tomography (PET). Variability related to these factors contributes to disagreement and lack of replicability in research and clinical trials. To address these problems and promote Aβ PET harmonization, we used [18F]florbetaben (FBB) and [18F]florbetapir (FBP) data from the Alzheimer’s Disease Neuroimaging Initiative (ADNI) to derive (1) standardized Centiloid (CL) transformations and (2) internally consistent positivity thresholds based on separate young control samples.","container-title":"Alzheimer's Research &amp; Therapy","DOI":"10.1186/s13195-021-00836-1","ISSN":"1758-9193","issue":"1","journalAbbreviation":"Alzheimer's Research &amp; Therapy","page":"99","source":"BioMed Central","title":"Validation of amyloid PET positivity thresholds in centiloids: a multisite PET study approach","title-short":"Validation of amyloid PET positivity thresholds in centiloids","volume":"13","author":[{"family":"Royse","given":"Sarah K."},{"family":"Minhas","given":"Davneet S."},{"family":"Lopresti","given":"Brian J."},{"family":"Murphy","given":"Alice"},{"family":"Ward","given":"Tyler"},{"family":"Koeppe","given":"Robert A."},{"family":"Bullich","given":"Santiago"},{"family":"DeSanti","given":"Susan"},{"family":"Jagust","given":"William J."},{"family":"Landau","given":"Susan M."},{"literal":"for the Alzheimer’s Disease Neuroimaging Initiative"}],"issued":{"date-parts":[["2021",5,10]]}}},{"id":81,"uris":["http://zotero.org/users/11298871/items/WZNXWL2K"],"itemData":{"id":81,"type":"article-journal","abstract":"Although amyloid imaging with PiB-PET ([C-11]Pittsburgh Compound-B positron emission tomography), and now with F-18-labeled tracers, has produced remarkably consistent qualitative findings across a large number of centers, there has been considerable variability in the exact numbers reported as quantitative outcome measures of tracer retention. In some cases this is as trivial as the choice of units, in some cases it is scanner dependent, and of course, different tracers yield different numbers. Our working group was formed to standardize quantitative amyloid imaging measures by scaling the outcome of each particular analysis method or tracer to a 0 to 100 scale, anchored by young controls (≤ 45 years) and typical Alzheimer's disease patients. The units of this scale have been named \"Centiloids.\" Basically, we describe a \"standard\" method of analyzing PiB PET data and then a method for scaling any \"nonstandard\" method of PiB PET analysis (or any other tracer) to the Centiloid scale.","container-title":"Alzheimer's &amp; Dementia: The Journal of the Alzheimer's Association","DOI":"10.1016/j.jalz.2014.07.003","ISSN":"1552-5279","issue":"1","journalAbbreviation":"Alzheimers Dement","language":"eng","note":"PMID: 25443857\nPMCID: PMC4300247","page":"1-15.e1-4","source":"PubMed","title":"The Centiloid Project: standardizing quantitative amyloid plaque estimation by PET","title-short":"The Centiloid Project","volume":"11","author":[{"family":"Klunk","given":"William E."},{"family":"Koeppe","given":"Robert A."},{"family":"Price","given":"Julie C."},{"family":"Benzinger","given":"Tammie L."},{"family":"Devous","given":"Michael D."},{"family":"Jagust","given":"William J."},{"family":"Johnson","given":"Keith A."},{"family":"Mathis","given":"Chester A."},{"family":"Minhas","given":"Davneet"},{"family":"Pontecorvo","given":"Michael J."},{"family":"Rowe","given":"Christopher C."},{"family":"Skovronsky","given":"Daniel M."},{"family":"Mintun","given":"Mark A."}],"issued":{"date-parts":[["2015",1]]}}}],"schema":"https://github.com/citation-style-language/schema/raw/master/csl-citation.json"} </w:instrText>
      </w:r>
      <w:r w:rsidR="003B07E8">
        <w:rPr>
          <w:rFonts w:eastAsiaTheme="minorHAnsi"/>
        </w:rPr>
        <w:fldChar w:fldCharType="separate"/>
      </w:r>
      <w:r w:rsidR="00A31EBD" w:rsidRPr="00A31EBD">
        <w:t>[1, 8]</w:t>
      </w:r>
      <w:r w:rsidR="003B07E8">
        <w:rPr>
          <w:rFonts w:eastAsiaTheme="minorHAnsi"/>
        </w:rPr>
        <w:fldChar w:fldCharType="end"/>
      </w:r>
    </w:p>
    <w:p w14:paraId="1438CF5D" w14:textId="77777777" w:rsidR="00E033B0" w:rsidRDefault="00E033B0" w:rsidP="006B530D">
      <w:pPr>
        <w:spacing w:line="480" w:lineRule="auto"/>
      </w:pPr>
    </w:p>
    <w:p w14:paraId="1DEAA1E0" w14:textId="2FDBA35B" w:rsidR="00400B6A" w:rsidRPr="006B530D" w:rsidRDefault="00400B6A" w:rsidP="006B530D">
      <w:pPr>
        <w:spacing w:line="480" w:lineRule="auto"/>
        <w:rPr>
          <w:u w:val="single"/>
        </w:rPr>
      </w:pPr>
      <w:r w:rsidRPr="006B530D">
        <w:rPr>
          <w:u w:val="single"/>
        </w:rPr>
        <w:t>[18]F-Flortaucipir</w:t>
      </w:r>
    </w:p>
    <w:p w14:paraId="0692C5CA" w14:textId="5DF50E2C" w:rsidR="00400B6A" w:rsidRPr="00370025" w:rsidRDefault="00401FD2" w:rsidP="006B530D">
      <w:pPr>
        <w:spacing w:line="480" w:lineRule="auto"/>
        <w:rPr>
          <w:rFonts w:eastAsiaTheme="minorHAnsi"/>
        </w:rPr>
      </w:pPr>
      <w:r w:rsidRPr="008426A9">
        <w:rPr>
          <w:rFonts w:eastAsiaTheme="minorHAnsi"/>
        </w:rPr>
        <w:t xml:space="preserve">[18]F-Flortaucipir </w:t>
      </w:r>
      <w:r w:rsidR="00400B6A" w:rsidRPr="008426A9">
        <w:rPr>
          <w:rFonts w:eastAsiaTheme="minorHAnsi"/>
        </w:rPr>
        <w:t xml:space="preserve">PET data were acquired at </w:t>
      </w:r>
      <w:r w:rsidR="008426A9" w:rsidRPr="008426A9">
        <w:rPr>
          <w:rFonts w:eastAsiaTheme="minorHAnsi"/>
        </w:rPr>
        <w:t xml:space="preserve">the Lawrence Berkeley National Laboratory </w:t>
      </w:r>
      <w:r w:rsidR="00833890">
        <w:rPr>
          <w:rFonts w:eastAsiaTheme="minorHAnsi"/>
        </w:rPr>
        <w:t xml:space="preserve">(LBNL) </w:t>
      </w:r>
      <w:r w:rsidR="008426A9" w:rsidRPr="008426A9">
        <w:rPr>
          <w:rFonts w:eastAsiaTheme="minorHAnsi"/>
        </w:rPr>
        <w:t xml:space="preserve">on a single Siemens Biograph PET/CT scanner (Patient </w:t>
      </w:r>
      <w:r w:rsidR="008426A9">
        <w:rPr>
          <w:rFonts w:eastAsiaTheme="minorHAnsi"/>
        </w:rPr>
        <w:t>1</w:t>
      </w:r>
      <w:r w:rsidR="00E50B40">
        <w:rPr>
          <w:rFonts w:eastAsiaTheme="minorHAnsi"/>
        </w:rPr>
        <w:t>,</w:t>
      </w:r>
      <w:r w:rsidR="008426A9" w:rsidRPr="008426A9">
        <w:rPr>
          <w:rFonts w:eastAsiaTheme="minorHAnsi"/>
        </w:rPr>
        <w:t xml:space="preserve"> 2015 scan) </w:t>
      </w:r>
      <w:r w:rsidR="00400B6A" w:rsidRPr="008426A9">
        <w:rPr>
          <w:rFonts w:eastAsiaTheme="minorHAnsi"/>
        </w:rPr>
        <w:t>UCSF China Basin on a GE Discovery STE scanner</w:t>
      </w:r>
      <w:r w:rsidR="008426A9" w:rsidRPr="008426A9">
        <w:rPr>
          <w:rFonts w:eastAsiaTheme="minorHAnsi"/>
        </w:rPr>
        <w:t xml:space="preserve"> (Patient </w:t>
      </w:r>
      <w:r w:rsidR="008426A9">
        <w:rPr>
          <w:rFonts w:eastAsiaTheme="minorHAnsi"/>
        </w:rPr>
        <w:t>1</w:t>
      </w:r>
      <w:r w:rsidR="008426A9" w:rsidRPr="008426A9">
        <w:rPr>
          <w:rFonts w:eastAsiaTheme="minorHAnsi"/>
        </w:rPr>
        <w:t>, 2019 scan)</w:t>
      </w:r>
      <w:r w:rsidR="00400B6A" w:rsidRPr="008426A9">
        <w:rPr>
          <w:rFonts w:eastAsiaTheme="minorHAnsi"/>
        </w:rPr>
        <w:t xml:space="preserve">.  </w:t>
      </w:r>
      <w:r w:rsidR="00833890" w:rsidRPr="00833890">
        <w:t xml:space="preserve">A low-dose CT scan was acquired for attenuation correction prior to PET acquisition, and PET data were reconstructed using an ordered subset expectation maximization algorithm with weighted attenuation and scatter correction </w:t>
      </w:r>
      <w:r w:rsidR="00400B6A" w:rsidRPr="008426A9">
        <w:rPr>
          <w:rFonts w:eastAsiaTheme="minorHAnsi"/>
        </w:rPr>
        <w:t>[18]F-Flortaucipir r</w:t>
      </w:r>
      <w:r w:rsidR="00400B6A" w:rsidRPr="00370025">
        <w:rPr>
          <w:rFonts w:eastAsiaTheme="minorHAnsi"/>
        </w:rPr>
        <w:t>adiotracer</w:t>
      </w:r>
      <w:r w:rsidR="00400B6A" w:rsidRPr="008426A9">
        <w:rPr>
          <w:rFonts w:eastAsiaTheme="minorHAnsi"/>
        </w:rPr>
        <w:t xml:space="preserve"> was</w:t>
      </w:r>
      <w:r w:rsidR="00400B6A" w:rsidRPr="00370025">
        <w:rPr>
          <w:rFonts w:eastAsiaTheme="minorHAnsi"/>
        </w:rPr>
        <w:t xml:space="preserve"> injected intravenously as a bolus, and data analyzed in this paper were acquired for </w:t>
      </w:r>
      <w:r w:rsidR="008426A9">
        <w:rPr>
          <w:rFonts w:eastAsiaTheme="minorHAnsi"/>
        </w:rPr>
        <w:t>2</w:t>
      </w:r>
      <w:r w:rsidR="00400B6A">
        <w:rPr>
          <w:rFonts w:eastAsiaTheme="minorHAnsi"/>
        </w:rPr>
        <w:t>0</w:t>
      </w:r>
      <w:r w:rsidR="00400B6A" w:rsidRPr="00370025">
        <w:rPr>
          <w:rFonts w:eastAsiaTheme="minorHAnsi"/>
        </w:rPr>
        <w:t xml:space="preserve"> min starting </w:t>
      </w:r>
      <w:r w:rsidR="008426A9">
        <w:rPr>
          <w:rFonts w:eastAsiaTheme="minorHAnsi"/>
        </w:rPr>
        <w:t>80</w:t>
      </w:r>
      <w:r w:rsidR="00400B6A" w:rsidRPr="00370025">
        <w:rPr>
          <w:rFonts w:eastAsiaTheme="minorHAnsi"/>
        </w:rPr>
        <w:t xml:space="preserve"> min post injection. </w:t>
      </w:r>
      <w:r w:rsidR="00400B6A">
        <w:t>[18]F-Flor</w:t>
      </w:r>
      <w:r w:rsidR="008426A9">
        <w:t>taucipir</w:t>
      </w:r>
      <w:r w:rsidR="00400B6A">
        <w:t xml:space="preserve">-PET </w:t>
      </w:r>
      <w:r w:rsidR="00400B6A" w:rsidRPr="00370025">
        <w:rPr>
          <w:rFonts w:eastAsiaTheme="minorHAnsi"/>
        </w:rPr>
        <w:t>data was reconstructed as four 5-min frames</w:t>
      </w:r>
      <w:r w:rsidR="00833890">
        <w:rPr>
          <w:rFonts w:eastAsiaTheme="minorHAnsi"/>
        </w:rPr>
        <w:t>.</w:t>
      </w:r>
    </w:p>
    <w:p w14:paraId="28E2BFF3" w14:textId="77777777" w:rsidR="00400B6A" w:rsidRPr="00E033B0" w:rsidRDefault="00400B6A" w:rsidP="006B530D">
      <w:pPr>
        <w:spacing w:line="480" w:lineRule="auto"/>
      </w:pPr>
    </w:p>
    <w:p w14:paraId="12A5354A" w14:textId="033DA2F9" w:rsidR="00B313C0" w:rsidRDefault="00E033B0" w:rsidP="006B530D">
      <w:pPr>
        <w:spacing w:line="480" w:lineRule="auto"/>
      </w:pPr>
      <w:r>
        <w:t>The</w:t>
      </w:r>
      <w:r w:rsidR="00B313C0" w:rsidRPr="00050A9E">
        <w:t xml:space="preserve"> MRI closest in time to each PET time point was segmented </w:t>
      </w:r>
      <w:r w:rsidR="006C76C6">
        <w:t xml:space="preserve">and parcellated </w:t>
      </w:r>
      <w:r w:rsidR="00B313C0" w:rsidRPr="00050A9E">
        <w:t xml:space="preserve">using FreeSurfer </w:t>
      </w:r>
      <w:r w:rsidR="006C76C6">
        <w:t xml:space="preserve">version </w:t>
      </w:r>
      <w:r w:rsidR="00B313C0" w:rsidRPr="00050A9E">
        <w:t>5.3 (</w:t>
      </w:r>
      <w:r w:rsidR="008426A9" w:rsidRPr="008426A9">
        <w:t>https://surfer.nmr.mgh.harvard.edu/</w:t>
      </w:r>
      <w:r w:rsidR="00B313C0" w:rsidRPr="00050A9E">
        <w:t>)</w:t>
      </w:r>
      <w:r w:rsidR="008426A9">
        <w:t xml:space="preserve">. </w:t>
      </w:r>
      <w:r w:rsidR="008426A9" w:rsidRPr="00E033B0">
        <w:rPr>
          <w:rFonts w:eastAsiaTheme="minorHAnsi"/>
        </w:rPr>
        <w:t xml:space="preserve">PET frames were realigned </w:t>
      </w:r>
      <w:r w:rsidR="00E50B40">
        <w:rPr>
          <w:rFonts w:eastAsiaTheme="minorHAnsi"/>
        </w:rPr>
        <w:t>using rigid-body transformations</w:t>
      </w:r>
      <w:r w:rsidR="008426A9" w:rsidRPr="00E033B0">
        <w:rPr>
          <w:rFonts w:eastAsiaTheme="minorHAnsi"/>
        </w:rPr>
        <w:t xml:space="preserve">, averaged, and coregistered to their corresponding MRI using Statistical Parametric Mapping 12 (SPM12; </w:t>
      </w:r>
      <w:proofErr w:type="spellStart"/>
      <w:r w:rsidR="008426A9" w:rsidRPr="00E033B0">
        <w:rPr>
          <w:rFonts w:eastAsiaTheme="minorHAnsi"/>
        </w:rPr>
        <w:t>Wellcome</w:t>
      </w:r>
      <w:proofErr w:type="spellEnd"/>
      <w:r w:rsidR="008426A9" w:rsidRPr="00E033B0">
        <w:rPr>
          <w:rFonts w:eastAsiaTheme="minorHAnsi"/>
        </w:rPr>
        <w:t xml:space="preserve"> Department of Imaging Neuroscience, Institute of Neurology, London, UK).</w:t>
      </w:r>
      <w:r w:rsidR="008426A9">
        <w:rPr>
          <w:rFonts w:eastAsiaTheme="minorHAnsi"/>
        </w:rPr>
        <w:t xml:space="preserve"> </w:t>
      </w:r>
      <w:r w:rsidR="008426A9" w:rsidRPr="00E033B0">
        <w:rPr>
          <w:rFonts w:eastAsiaTheme="minorHAnsi"/>
        </w:rPr>
        <w:t>Standardized uptake value ratio (SUVR) images were created using</w:t>
      </w:r>
      <w:r w:rsidR="008426A9">
        <w:t xml:space="preserve"> </w:t>
      </w:r>
      <w:r w:rsidR="00B313C0" w:rsidRPr="00050A9E">
        <w:lastRenderedPageBreak/>
        <w:t xml:space="preserve">inferior cerebellar gray </w:t>
      </w:r>
      <w:r w:rsidR="008426A9">
        <w:t>as reference region.</w:t>
      </w:r>
      <w:r w:rsidR="003B07E8">
        <w:fldChar w:fldCharType="begin"/>
      </w:r>
      <w:r w:rsidR="00377F8D">
        <w:instrText xml:space="preserve"> ADDIN ZOTERO_ITEM CSL_CITATION {"citationID":"cnnHvQyp","properties":{"formattedCitation":"[2]","plainCitation":"[2]","noteIndex":0},"citationItems":[{"id":88,"uris":["http://zotero.org/users/11298871/items/BHHYVSCF"],"itemData":{"id":88,"type":"article-journal","abstract":"OBJECTIVE: To assess the relationships between fluid and imaging biomarkers of tau pathology and compare their diagnostic utility in a clinically heterogeneous sample.\nMETHODS: Fifty-three patients (28 with clinical Alzheimer disease [AD] and 25 with non-AD clinical neurodegenerative diagnoses) underwent β-amyloid (Aβ) and tau ([18F]AV1451) PET and lumbar puncture. CSF biomarkers (Aβ42, total tau [t-tau], and phosphorylated tau [p-tau]) were measured by multianalyte immunoassay (AlzBio3). Receiver operator characteristic analyses were performed to compare discrimination of Aβ-positive AD from non-AD conditions across biomarkers. Correlations between CSF biomarkers and PET standardized uptake value ratios (SUVR) were assessed using skipped Pearson correlation coefficients. Voxelwise analyses were run to assess regional CSF-PET associations.\nRESULTS: [18F]AV1451-PET cortical SUVR and p-tau showed excellent discrimination between Aβ-positive AD and non-AD conditions (area under the curve 0.92-0.94; ≤0.83 for other CSF measures), and reached 83% classification agreement. In the full sample, cortical [18F]AV1451 was associated with all CSF biomarkers, most strongly with p-tau (r = 0.75 vs 0.57 for t-tau and -0.49 for Aβ42). When restricted to Aβ-positive patients with AD, [18F]AV1451 SUVR correlated modestly with p-tau and t-tau (both r = 0.46) but not Aβ42 (r = 0.02). On voxelwise analysis, [18F]AV1451 correlated with CSF p-tau in temporoparietal cortices and with t-tau in medial prefrontal regions. Within AD, Mini-Mental State Examination scores were associated with [18F]AV1451-PET, but not CSF biomarkers.\nCONCLUSION: [18F]AV1451-PET and CSF p-tau had comparable value for differential diagnosis. Correlations were robust in a heterogeneous clinical group but attenuated (although significant) in AD, suggesting that fluid and imaging biomarkers capture different aspects of tau pathology.\nCLASSIFICATION OF EVIDENCE: This study provides Class III evidence that, in a clinical sample of patients with a variety of suspected neurodegenerative diseases, both CSF p-tau and [18F]AV1451 distinguish AD from non-AD conditions.","container-title":"Neurology","DOI":"10.1212/WNL.0000000000004860","ISSN":"1526-632X","issue":"4","journalAbbreviation":"Neurology","language":"eng","note":"PMID: 29282337\nPMCID: PMC5798657","page":"e282-e290","source":"PubMed","title":"Associations between [18F]AV1451 tau PET and CSF measures of tau pathology in a clinical sample","volume":"90","author":[{"family":"La Joie","given":"Renaud"},{"family":"Bejanin","given":"Alexandre"},{"family":"Fagan","given":"Anne M."},{"family":"Ayakta","given":"Nagehan"},{"family":"Baker","given":"Suzanne L."},{"family":"Bourakova","given":"Viktoriya"},{"family":"Boxer","given":"Adam L."},{"family":"Cha","given":"Jungho"},{"family":"Karydas","given":"Anna"},{"family":"Jerome","given":"Gina"},{"family":"Maass","given":"Anne"},{"family":"Mensing","given":"Ashley"},{"family":"Miller","given":"Zachary A."},{"family":"O'Neil","given":"James P."},{"family":"Pham","given":"Julie"},{"family":"Rosen","given":"Howard J."},{"family":"Tsai","given":"Richard"},{"family":"Visani","given":"Adrienne V."},{"family":"Miller","given":"Bruce L."},{"family":"Jagust","given":"William J."},{"family":"Rabinovici","given":"Gil D."}],"issued":{"date-parts":[["2018",1,23]]}}}],"schema":"https://github.com/citation-style-language/schema/raw/master/csl-citation.json"} </w:instrText>
      </w:r>
      <w:r w:rsidR="003B07E8">
        <w:fldChar w:fldCharType="separate"/>
      </w:r>
      <w:r w:rsidR="00377F8D" w:rsidRPr="00377F8D">
        <w:t>[2]</w:t>
      </w:r>
      <w:r w:rsidR="003B07E8">
        <w:fldChar w:fldCharType="end"/>
      </w:r>
      <w:r w:rsidR="008426A9">
        <w:t xml:space="preserve"> SUVR images were smoothed to </w:t>
      </w:r>
      <w:r w:rsidR="00833890">
        <w:t xml:space="preserve">reach a </w:t>
      </w:r>
      <w:r w:rsidR="008426A9">
        <w:t>final resolution of 8mm</w:t>
      </w:r>
      <w:r w:rsidR="00833890">
        <w:rPr>
          <w:vertAlign w:val="superscript"/>
        </w:rPr>
        <w:t>3</w:t>
      </w:r>
      <w:r w:rsidR="00833890">
        <w:t xml:space="preserve"> and warped to </w:t>
      </w:r>
      <w:r w:rsidR="00E50B40">
        <w:t xml:space="preserve">Montreal Neuroimaging Institute (MNI) </w:t>
      </w:r>
      <w:r w:rsidR="00833890">
        <w:t xml:space="preserve">template. </w:t>
      </w:r>
      <w:r w:rsidR="0048110E">
        <w:t xml:space="preserve">Smoothed and warped SUVR images were then converted to </w:t>
      </w:r>
      <w:r w:rsidR="00122009">
        <w:t xml:space="preserve">W-score maps that </w:t>
      </w:r>
      <w:r w:rsidR="00E50B40">
        <w:t xml:space="preserve">quantify </w:t>
      </w:r>
      <w:r w:rsidR="00122009">
        <w:t>the difference between patient 1’s scan and a group of 88 amyloid-PET-negative</w:t>
      </w:r>
      <w:r w:rsidR="0048110E">
        <w:t xml:space="preserve"> cognitively unimpaired controls</w:t>
      </w:r>
      <w:r w:rsidR="00122009">
        <w:t xml:space="preserve"> (</w:t>
      </w:r>
      <w:r w:rsidR="0048110E">
        <w:t>age=66.14</w:t>
      </w:r>
      <m:oMath>
        <m:r>
          <w:rPr>
            <w:rFonts w:ascii="Cambria Math" w:hAnsi="Cambria Math"/>
          </w:rPr>
          <m:t>±</m:t>
        </m:r>
      </m:oMath>
      <w:r w:rsidR="0048110E">
        <w:t>19.86</w:t>
      </w:r>
      <w:r w:rsidR="00122009">
        <w:t>)</w:t>
      </w:r>
      <w:r w:rsidR="0048110E">
        <w:t>.</w:t>
      </w:r>
      <w:r w:rsidR="003B07E8">
        <w:fldChar w:fldCharType="begin"/>
      </w:r>
      <w:r w:rsidR="00377F8D">
        <w:instrText xml:space="preserve"> ADDIN ZOTERO_ITEM CSL_CITATION {"citationID":"8DqyQzPR","properties":{"formattedCitation":"[3]","plainCitation":"[3]","noteIndex":0},"citationItems":[{"id":91,"uris":["http://zotero.org/users/11298871/items/3WC42CCJ"],"itemData":{"id":91,"type":"article-journal","abstract":"Gray matter atrophy, glucose hypometabolism, and β-amyloid Aβ deposition are well-described hallmarks of Alzheimer's disease, but their relationships are poorly understood. The present study aims to compare the local levels of these three alterations in humans with Alzheimer's disease. Structural magnetic resonance imaging, (18)F-fluorodeoxyglucose positron emission tomography (PET), and (18)F-florbetapir PET data from 34 amyloid-negative healthy controls and 20 demented patients with a high probability of Alzheimer's disease etiology (attested using neuroimaging biomarkers as recently recommended) were analyzed. For each patient and imaging modality, age-adjusted Z-score maps were computed, and direct between-modality voxelwise comparison and correlation analyses were performed. Significant differences in the levels of atrophy, hypometabolism, and Aβ deposition were found in most brain areas, but the hierarchy differed across regions. A cluster analysis revealed distinct subsets of regions: (1) in the hippocampus, atrophy exceeded hypometabolism, whereas Aβ load was minimal; (2) in posterior association areas, Aβ deposition was predominant, together with high hypometabolism and lower but still significant atrophy; and (3) in frontal regions, Aβ deposition was maximal, whereas structural and metabolic alterations were low. Atrophy and hypometabolism significantly correlated in the hippocampus and temporo-parietal cortex, whereas Aβ load was not significantly related to either atrophy or hypometabolism. These findings provide direct evidence for regional variations in the hierarchy and relationships between Aβ load, hypometabolism, and atrophy. Altogether, these variations probably reflect the differential involvement of region-specific pathological or protective mechanisms, such as the presence of neurofibrillary tangles, disconnection, as well as compensation processes.","container-title":"The Journal of Neuroscience: The Official Journal of the Society for Neuroscience","DOI":"10.1523/JNEUROSCI.2170-12.2012","ISSN":"1529-2401","issue":"46","journalAbbreviation":"J Neurosci","language":"eng","note":"PMID: 23152610\nPMCID: PMC6794030","page":"16265-16273","source":"PubMed","title":"Region-specific hierarchy between atrophy, hypometabolism, and β-amyloid (Aβ) load in Alzheimer's disease dementia","volume":"32","author":[{"family":"La Joie","given":"Renaud"},{"family":"Perrotin","given":"Audrey"},{"family":"Barré","given":"Louisa"},{"family":"Hommet","given":"Caroline"},{"family":"Mézenge","given":"Florence"},{"family":"Ibazizene","given":"Méziane"},{"family":"Camus","given":"Vincent"},{"family":"Abbas","given":"Ahmed"},{"family":"Landeau","given":"Brigitte"},{"family":"Guilloteau","given":"Denis"},{"family":"La Sayette","given":"Vincent","non-dropping-particle":"de"},{"family":"Eustache","given":"Francis"},{"family":"Desgranges","given":"Béatrice"},{"family":"Chételat","given":"Gaël"}],"issued":{"date-parts":[["2012",11,14]]}}}],"schema":"https://github.com/citation-style-language/schema/raw/master/csl-citation.json"} </w:instrText>
      </w:r>
      <w:r w:rsidR="003B07E8">
        <w:fldChar w:fldCharType="separate"/>
      </w:r>
      <w:r w:rsidR="00377F8D" w:rsidRPr="00377F8D">
        <w:t>[3]</w:t>
      </w:r>
      <w:r w:rsidR="003B07E8">
        <w:fldChar w:fldCharType="end"/>
      </w:r>
      <w:r w:rsidR="0048110E">
        <w:t xml:space="preserve"> </w:t>
      </w:r>
      <w:r w:rsidR="00122009">
        <w:t xml:space="preserve">W-scores are age-adjusted Z-score (mean=0, SD=1 in the control group in each voxel). </w:t>
      </w:r>
    </w:p>
    <w:p w14:paraId="0149B427" w14:textId="0E73CF6A" w:rsidR="002023A3" w:rsidRPr="00246AFD" w:rsidRDefault="00246AFD" w:rsidP="006B530D">
      <w:pPr>
        <w:spacing w:line="480" w:lineRule="auto"/>
        <w:rPr>
          <w:b/>
          <w:bCs/>
        </w:rPr>
      </w:pPr>
      <w:r w:rsidRPr="00246AFD">
        <w:rPr>
          <w:b/>
          <w:bCs/>
        </w:rPr>
        <w:t xml:space="preserve"> </w:t>
      </w:r>
    </w:p>
    <w:p w14:paraId="2270A18B" w14:textId="3BF638BD" w:rsidR="004B1C45" w:rsidRPr="006B530D" w:rsidRDefault="004B1C45" w:rsidP="00737AAE">
      <w:pPr>
        <w:spacing w:line="480" w:lineRule="auto"/>
        <w:rPr>
          <w:b/>
          <w:iCs/>
        </w:rPr>
      </w:pPr>
      <w:r w:rsidRPr="006B530D">
        <w:rPr>
          <w:b/>
          <w:iCs/>
        </w:rPr>
        <w:t xml:space="preserve">Neuropathologic </w:t>
      </w:r>
      <w:r w:rsidR="006B530D">
        <w:rPr>
          <w:b/>
          <w:iCs/>
        </w:rPr>
        <w:t>A</w:t>
      </w:r>
      <w:r w:rsidRPr="006B530D">
        <w:rPr>
          <w:b/>
          <w:iCs/>
        </w:rPr>
        <w:t>ssessment</w:t>
      </w:r>
    </w:p>
    <w:p w14:paraId="4447AD01" w14:textId="5F648CFF" w:rsidR="004B1C45" w:rsidRPr="006B530D" w:rsidRDefault="004B1C45" w:rsidP="00737AAE">
      <w:pPr>
        <w:spacing w:line="480" w:lineRule="auto"/>
        <w:ind w:firstLine="720"/>
        <w:rPr>
          <w:lang w:eastAsia="ko-KR"/>
        </w:rPr>
      </w:pPr>
      <w:r w:rsidRPr="001D4860">
        <w:t>Brain autopsies w</w:t>
      </w:r>
      <w:r>
        <w:t>ere</w:t>
      </w:r>
      <w:r w:rsidRPr="001D4860">
        <w:t xml:space="preserve"> performed </w:t>
      </w:r>
      <w:r>
        <w:t xml:space="preserve">using 72-hour fixation </w:t>
      </w:r>
      <w:r w:rsidR="00EB7C5C">
        <w:t xml:space="preserve">of freshly cut 1 cm-thick coronal slabs </w:t>
      </w:r>
      <w:r>
        <w:t>(Case 1) or whole brain immersion fixation for 3 weeks (Case 2)</w:t>
      </w:r>
      <w:r w:rsidRPr="005D1216">
        <w:t xml:space="preserve">. </w:t>
      </w:r>
      <w:r>
        <w:t>Following fixation, regional dissections were carried out using a previously described protocol to enable</w:t>
      </w:r>
      <w:r w:rsidRPr="001D4860">
        <w:t xml:space="preserve"> tissue sampling </w:t>
      </w:r>
      <w:r>
        <w:t xml:space="preserve">of 50 discrete brain </w:t>
      </w:r>
      <w:r w:rsidRPr="001D4860">
        <w:t>regions relevant to the differential diagnosis of dementia based on published consensus criteria</w:t>
      </w:r>
      <w:r>
        <w:rPr>
          <w:rFonts w:hint="eastAsia"/>
          <w:lang w:eastAsia="ko-KR"/>
        </w:rPr>
        <w:t>.</w:t>
      </w:r>
      <w:r w:rsidR="00DE6BFA">
        <w:rPr>
          <w:lang w:eastAsia="ko-KR"/>
        </w:rPr>
        <w:fldChar w:fldCharType="begin"/>
      </w:r>
      <w:r w:rsidR="00DE6BFA">
        <w:rPr>
          <w:lang w:eastAsia="ko-KR"/>
        </w:rPr>
        <w:instrText xml:space="preserve"> ADDIN ZOTERO_ITEM CSL_CITATION {"citationID":"Y3G0nhMl","properties":{"formattedCitation":"[5\\uc0\\u8211{}7, 9]","plainCitation":"[5–7, 9]","noteIndex":0},"citationItems":[{"id":108,"uris":["http://zotero.org/users/11298871/items/JJUEHWII"],"itemData":{"id":108,"type":"article-journal","abstract":"Dementia with Lewy bodies (DLB) was considered to be an uncommon cause of dementia until improved neuropathological staining methods for ubiquitin were developed in the late 1980's. Subsequent recognition that 10-15% of dementia cases in older people were associated with Lewy body pathology led to the publication in 1996 of Consensus clinical and pathological diagnostic criteria for the disorder. These have greatly raised global awareness of DLB and helped to generate a body of knowledge which informs modern clinical management of this pharmacologically sensitive group of patients. They have also enabled important issues surrounding the relationships of DLB with Alzheimer's disease and Parkinson's disease to be addressed and partially resolved. A recent re-evaluation of the Consensus criteria has confirmed many aspects of the original recommendations, supplementing these with suggestions for improved pathological characterisation, clinical detection and management. Virtu-ally unrecognised 20 years ago, DLB could within this decade be one of the best characterised and potentially treatable neurodegenerative disorders of late life.","container-title":"Journal of Alzheimer's disease: JAD","DOI":"10.3233/jad-2006-9s347","ISSN":"1387-2877","issue":"3 Suppl","journalAbbreviation":"J Alzheimers Dis","language":"eng","note":"PMID: 16914880","page":"417-423","source":"PubMed","title":"Consensus guidelines for the clinical and pathologic diagnosis of dementia with Lewy bodies (DLB): report of the Consortium on DLB International Workshop","title-short":"Consensus guidelines for the clinical and pathologic diagnosis of dementia with Lewy bodies (DLB)","volume":"9","author":[{"family":"McKeith","given":"Ian G."}],"issued":{"date-parts":[["2006"]]}}},{"id":100,"uris":["http://zotero.org/users/11298871/items/UE5PGJAU"],"itemData":{"id":100,"type":"article-journal","abstract":"We present a practical guide for the implementation of recently revised National Institute on Aging-Alzheimer’s Association guidelines for the neuropathologic assessment of Alzheimer’s disease (AD). Major revisions from previous consensus criteria are: (i) recognition that AD neuropathologic changes may occur in the apparent absence of cognitive impairment, (ii) an “ABC” score for AD neuropathologic change that incorporates histopathologic assessments of amyloid β deposits (A), staging of neurofibrillary tangles (B), and scoring of neuritic plaques (C), and (iii) more detailed approaches for assessing commonly co-morbid conditions such as Lewy body disease, vascular brain injury, hippocampal sclerosis, and TAR DNA binding protein (TDP)-43 immunoreactive inclusions. Recommendations also are made for the minimum sampling of brain, preferred staining methods with acceptable alternatives, reporting of results, and clinico-pathologic correlations.","container-title":"Acta Neuropathologica","DOI":"10.1007/s00401-011-0910-3","ISSN":"0001-6322","issue":"1","journalAbbreviation":"Acta Neuropathol","note":"PMID: 22101365\nPMCID: PMC3268003","page":"1-11","source":"PubMed Central","title":"National Institute on Aging-Alzheimer’s Association guidelines for the neuropathologic assessment of Alzheimer’s disease: a practical approach","title-short":"National Institute on Aging-Alzheimer’s Association guidelines for the neuropathologic assessment of Alzheimer’s disease","volume":"123","author":[{"family":"Montine","given":"Thomas J."},{"family":"Phelps","given":"Creighton H."},{"family":"Beach","given":"Thomas G."},{"family":"Bigio","given":"Eileen H."},{"family":"Cairns","given":"Nigel J."},{"family":"Dickson","given":"Dennis W."},{"family":"Duyckaerts","given":"Charles"},{"family":"Frosch","given":"Matthew P."},{"family":"Masliah","given":"Eliezer"},{"family":"Mirra","given":"Suzanne S."},{"family":"Nelson","given":"Peter T."},{"family":"Schneider","given":"Julie A."},{"family":"Thal","given":"Dietmar Rudolf"},{"family":"Trojanowski","given":"John Q."},{"family":"Vinters","given":"Harry V."},{"family":"Hyman","given":"Bradley T."}],"issued":{"date-parts":[["2012",1]]}}},{"id":103,"uris":["http://zotero.org/users/11298871/items/NLAZ9RKN"],"itemData":{"id":103,"type":"article-journal","abstract":"We describe a recently recognized disease entity, limbic-predominant age-related TDP-43 encephalopathy (LATE). LATE neuropathological change (LATE-NC) is defined by a stereotypical TDP-43 proteinopathy in older adults, with or without coexisting hippocampal sclerosis pathology. LATE-NC is a common TDP-43 proteinopathy, associated with an amnestic dementia syndrome that mimicked Alzheimer's-type dementia in retrospective autopsy studies. LATE is distinguished from frontotemporal lobar degeneration with TDP-43 pathology based on its epidemiology (LATE generally affects older subjects), and relatively restricted neuroanatomical distribution of TDP-43 proteinopathy. In community-based autopsy cohorts, </w:instrText>
      </w:r>
      <w:r w:rsidR="00DE6BFA">
        <w:rPr>
          <w:rFonts w:ascii="Cambria Math" w:hAnsi="Cambria Math" w:cs="Cambria Math"/>
          <w:lang w:eastAsia="ko-KR"/>
        </w:rPr>
        <w:instrText>∼</w:instrText>
      </w:r>
      <w:r w:rsidR="00DE6BFA">
        <w:rPr>
          <w:lang w:eastAsia="ko-KR"/>
        </w:rPr>
        <w:instrText xml:space="preserve">25% of brains had sufficient burden of LATE-NC to be associated with discernible cognitive impairment. Many subjects with LATE-NC have comorbid brain pathologies, often including amyloid-β plaques and tauopathy. Given that the 'oldest-old' are at greatest risk for LATE-NC, and subjects of advanced age constitute a rapidly growing demographic group in many countries, LATE has an expanding but under-recognized impact on public health. For these reasons, a working group was convened to develop diagnostic criteria for LATE, aiming both to stimulate research and to promote awareness of this pathway to dementia. We report consensus-based recommendations including guidelines for diagnosis and staging of LATE-NC. For routine autopsy workup of LATE-NC, an anatomically-based preliminary staging scheme is proposed with TDP-43 immunohistochemistry on tissue from three brain areas, reflecting a hierarchical pattern of brain involvement: amygdala, hippocampus, and middle frontal gyrus. LATE-NC appears to affect the medial temporal lobe structures preferentially, but other areas also are impacted. Neuroimaging studies demonstrated that subjects with LATE-NC also had atrophy in the medial temporal lobes, frontal cortex, and other brain regions. Genetic studies have thus far indicated five genes with risk alleles for LATE-NC: GRN, TMEM106B, ABCC9, KCNMB2, and APOE. The discovery of these genetic risk variants indicate that LATE shares pathogenetic mechanisms with both frontotemporal lobar degeneration and Alzheimer's disease, but also suggests disease-specific underlying mechanisms. Large gaps remain in our understanding of LATE. For advances in prevention, diagnosis, and treatment, there is an urgent need for research focused on LATE, including in vitro and animal models. An obstacle to clinical progress is lack of diagnostic tools, such as biofluid or neuroimaging biomarkers, for ante-mortem detection of LATE. Development of a disease biomarker would augment observational studies seeking to further define the risk factors, natural history, and clinical features of LATE, as well as eventual subject recruitment for targeted therapies in clinical trials.","container-title":"Brain: A Journal of Neurology","DOI":"10.1093/brain/awz099","ISSN":"1460-2156","issue":"6","journalAbbreviation":"Brain","language":"eng","note":"PMID: 31039256\nPMCID: PMC6536849","page":"1503-1527","source":"PubMed","title":"Limbic-predominant age-related TDP-43 encephalopathy (LATE): consensus working group report","title-short":"Limbic-predominant age-related TDP-43 encephalopathy (LATE)","volume":"142","author":[{"family":"Nelson","given":"Peter T."},{"family":"Dickson","given":"Dennis W."},{"family":"Trojanowski","given":"John Q."},{"family":"Jack","given":"Clifford R."},{"family":"Boyle","given":"Patricia A."},{"family":"Arfanakis","given":"Konstantinos"},{"family":"Rademakers","given":"Rosa"},{"family":"Alafuzoff","given":"Irina"},{"family":"Attems","given":"Johannes"},{"family":"Brayne","given":"Carol"},{"family":"Coyle-Gilchrist","given":"Ian T. S."},{"family":"Chui","given":"Helena C."},{"family":"Fardo","given":"David W."},{"family":"Flanagan","given":"Margaret E."},{"family":"Halliday","given":"Glenda"},{"family":"Hokkanen","given":"Suvi R. K."},{"family":"Hunter","given":"Sally"},{"family":"Jicha","given":"Gregory A."},{"family":"Katsumata","given":"Yuriko"},{"family":"Kawas","given":"Claudia H."},{"family":"Keene","given":"C. Dirk"},{"family":"Kovacs","given":"Gabor G."},{"family":"Kukull","given":"Walter A."},{"family":"Levey","given":"Allan I."},{"family":"Makkinejad","given":"Nazanin"},{"family":"Montine","given":"Thomas J."},{"family":"Murayama","given":"Shigeo"},{"family":"Murray","given":"Melissa E."},{"family":"Nag","given":"Sukriti"},{"family":"Rissman","given":"Robert A."},{"family":"Seeley","given":"William W."},{"family":"Sperling","given":"Reisa A."},{"family":"White","given":"Charles L."},{"family":"Yu","given":"Lei"},{"family":"Schneider","given":"Julie A."}],"issued":{"date-parts":[["2019",6,1]]}}},{"id":116,"uris":["http://zotero.org/users/11298871/items/ZD5XNX5Y"],"itemData":{"id":116,"type":"article-journal","abstract":"To identify those factors associated with cerebral hemorrhage among brains with cerebral amyloid angiopathy (CAA), we undertook a comparative postmortem histopathological study of amyloid-containing vessels in the brains of patients with and without hemorrhage. Those without hemorrhage were represented by the following two groups: (1) elderly patients from a large general hospital (n = 66; age range, 75-107 years) and (2) patients with various neuropsychiatric disorders (n = 70; age range, 27-96 years). CAA was found in 45% of the first group and in 54% of the second group. The findings in these patients were compared with those in 17 brains in which both CAA and cerebral hemorrhage were present. We found that CAA was more severe in the brains with cerebral hemorrhage than in those without, and that fibrinoid necrosis was seen only in the brains with cerebral hemorrhage (12 of the 17 brains). Microaneurysms occurred only in the presence of severe, rather than moderate or mild, CAA. Serial sections in 2 brains of patients with cerebral hemorrhage showed fibrinoid necrosis, microaneurysms, and vascular rupture in close association with the hemorrhage. In 2 patients, hemorrhage was precipitated by trauma, and in 1, it was secondary to metastatic carcinoma. The features of brains from patients with CAA that are most consistently related to cerebral hemorrhage are (1) a severe degree of CAA and (2) the presence of fibrinoid necrosis, with or without microaneurysms.","container-title":"Annals of Neurology","DOI":"10.1002/ana.410300503","ISSN":"0364-5134","issue":"5","journalAbbreviation":"Ann Neurol","language":"eng","note":"PMID: 1763890","page":"637-649","source":"PubMed","title":"Cerebral amyloid angiopathy without and with cerebral hemorrhages: a comparative histological study","title-short":"Cerebral amyloid angiopathy without and with cerebral hemorrhages","volume":"30","author":[{"family":"Vonsattel","given":"J. P."},{"family":"Myers","given":"R. H."},{"family":"Hedley-Whyte","given":"E. T."},{"family":"Ropper","given":"A. H."},{"family":"Bird","given":"E. D."},{"family":"Richardson","given":"E. P."}],"issued":{"date-parts":[["1991",11]]}}}],"schema":"https://github.com/citation-style-language/schema/raw/master/csl-citation.json"} </w:instrText>
      </w:r>
      <w:r w:rsidR="00DE6BFA">
        <w:rPr>
          <w:lang w:eastAsia="ko-KR"/>
        </w:rPr>
        <w:fldChar w:fldCharType="separate"/>
      </w:r>
      <w:r w:rsidR="00DE6BFA" w:rsidRPr="00DE6BFA">
        <w:t>[5–7, 9]</w:t>
      </w:r>
      <w:r w:rsidR="00DE6BFA">
        <w:rPr>
          <w:lang w:eastAsia="ko-KR"/>
        </w:rPr>
        <w:fldChar w:fldCharType="end"/>
      </w:r>
      <w:r w:rsidRPr="001D4860">
        <w:t xml:space="preserve"> </w:t>
      </w:r>
      <w:r w:rsidR="00EB7C5C">
        <w:t>Blocks were embedded in paraffin wax and cut into eight micron-thick sections. S</w:t>
      </w:r>
      <w:r>
        <w:t>taining included hematoxylin and eosin (H&amp;E) on all regions, to enable assessment of the regional neurodegeneration landscape, cerebrovascular disease, and vascular brain injury</w:t>
      </w:r>
      <w:r w:rsidR="00EB7C5C">
        <w:t xml:space="preserve"> (including lacunes and microinfarcts)</w:t>
      </w:r>
      <w:r>
        <w:t>, following consensus approaches.</w:t>
      </w:r>
      <w:r w:rsidR="006B530D">
        <w:fldChar w:fldCharType="begin"/>
      </w:r>
      <w:r w:rsidR="006B530D">
        <w:instrText xml:space="preserve"> ADDIN ZOTERO_ITEM CSL_CITATION {"citationID":"0pt54ky0","properties":{"formattedCitation":"[6]","plainCitation":"[6]","noteIndex":0},"citationItems":[{"id":100,"uris":["http://zotero.org/users/11298871/items/UE5PGJAU"],"itemData":{"id":100,"type":"article-journal","abstract":"We present a practical guide for the implementation of recently revised National Institute on Aging-Alzheimer’s Association guidelines for the neuropathologic assessment of Alzheimer’s disease (AD). Major revisions from previous consensus criteria are: (i) recognition that AD neuropathologic changes may occur in the apparent absence of cognitive impairment, (ii) an “ABC” score for AD neuropathologic change that incorporates histopathologic assessments of amyloid β deposits (A), staging of neurofibrillary tangles (B), and scoring of neuritic plaques (C), and (iii) more detailed approaches for assessing commonly co-morbid conditions such as Lewy body disease, vascular brain injury, hippocampal sclerosis, and TAR DNA binding protein (TDP)-43 immunoreactive inclusions. Recommendations also are made for the minimum sampling of brain, preferred staining methods with acceptable alternatives, reporting of results, and clinico-pathologic correlations.","container-title":"Acta Neuropathologica","DOI":"10.1007/s00401-011-0910-3","ISSN":"0001-6322","issue":"1","journalAbbreviation":"Acta Neuropathol","note":"PMID: 22101365\nPMCID: PMC3268003","page":"1-11","source":"PubMed Central","title":"National Institute on Aging-Alzheimer’s Association guidelines for the neuropathologic assessment of Alzheimer’s disease: a practical approach","title-short":"National Institute on Aging-Alzheimer’s Association guidelines for the neuropathologic assessment of Alzheimer’s disease","volume":"123","author":[{"family":"Montine","given":"Thomas J."},{"family":"Phelps","given":"Creighton H."},{"family":"Beach","given":"Thomas G."},{"family":"Bigio","given":"Eileen H."},{"family":"Cairns","given":"Nigel J."},{"family":"Dickson","given":"Dennis W."},{"family":"Duyckaerts","given":"Charles"},{"family":"Frosch","given":"Matthew P."},{"family":"Masliah","given":"Eliezer"},{"family":"Mirra","given":"Suzanne S."},{"family":"Nelson","given":"Peter T."},{"family":"Schneider","given":"Julie A."},{"family":"Thal","given":"Dietmar Rudolf"},{"family":"Trojanowski","given":"John Q."},{"family":"Vinters","given":"Harry V."},{"family":"Hyman","given":"Bradley T."}],"issued":{"date-parts":[["2012",1]]}}}],"schema":"https://github.com/citation-style-language/schema/raw/master/csl-citation.json"} </w:instrText>
      </w:r>
      <w:r w:rsidR="006B530D">
        <w:fldChar w:fldCharType="separate"/>
      </w:r>
      <w:r w:rsidR="006B530D" w:rsidRPr="006B530D">
        <w:t>[6]</w:t>
      </w:r>
      <w:r w:rsidR="006B530D">
        <w:fldChar w:fldCharType="end"/>
      </w:r>
      <w:r>
        <w:t xml:space="preserve"> Immunohistochemistry</w:t>
      </w:r>
      <w:r w:rsidRPr="001D4860">
        <w:t xml:space="preserve"> for Aβ</w:t>
      </w:r>
      <w:r>
        <w:rPr>
          <w:rFonts w:hint="eastAsia"/>
          <w:lang w:eastAsia="ko-KR"/>
        </w:rPr>
        <w:t>,</w:t>
      </w:r>
      <w:r w:rsidRPr="001D4860">
        <w:t xml:space="preserve"> hyperphosphorylated tau, α-synuclein, ubiquitin, and</w:t>
      </w:r>
      <w:r>
        <w:t xml:space="preserve"> </w:t>
      </w:r>
      <w:r w:rsidRPr="002D6664">
        <w:t>transactive response DNA binding protein 43</w:t>
      </w:r>
      <w:r w:rsidRPr="001D4860">
        <w:t xml:space="preserve"> </w:t>
      </w:r>
      <w:r>
        <w:t>(</w:t>
      </w:r>
      <w:r w:rsidRPr="001D4860">
        <w:t>TDP</w:t>
      </w:r>
      <w:r>
        <w:t>-</w:t>
      </w:r>
      <w:r w:rsidRPr="001D4860">
        <w:t>43</w:t>
      </w:r>
      <w:r>
        <w:t xml:space="preserve">) was carried out to identify the diagnostic lesions </w:t>
      </w:r>
      <w:r w:rsidR="00EB7C5C">
        <w:t>observed in</w:t>
      </w:r>
      <w:r>
        <w:t xml:space="preserve"> the most common neurodegenerative diseases</w:t>
      </w:r>
      <w:r w:rsidRPr="001D4860">
        <w:t xml:space="preserve">. </w:t>
      </w:r>
      <w:r>
        <w:t xml:space="preserve">Alzheimer’s disease-related changes </w:t>
      </w:r>
      <w:r w:rsidRPr="00DB378E">
        <w:t xml:space="preserve">were </w:t>
      </w:r>
      <w:r>
        <w:rPr>
          <w:rFonts w:hint="eastAsia"/>
          <w:lang w:eastAsia="ko-KR"/>
        </w:rPr>
        <w:t>assessed</w:t>
      </w:r>
      <w:r w:rsidRPr="00DB378E">
        <w:t xml:space="preserve"> according to the</w:t>
      </w:r>
      <w:r>
        <w:rPr>
          <w:rFonts w:hint="eastAsia"/>
          <w:lang w:eastAsia="ko-KR"/>
        </w:rPr>
        <w:t xml:space="preserve"> </w:t>
      </w:r>
      <w:proofErr w:type="spellStart"/>
      <w:r>
        <w:rPr>
          <w:rFonts w:hint="eastAsia"/>
          <w:lang w:eastAsia="ko-KR"/>
        </w:rPr>
        <w:t>Thal</w:t>
      </w:r>
      <w:proofErr w:type="spellEnd"/>
      <w:r>
        <w:rPr>
          <w:rFonts w:hint="eastAsia"/>
          <w:lang w:eastAsia="ko-KR"/>
        </w:rPr>
        <w:t xml:space="preserve"> </w:t>
      </w:r>
      <w:r>
        <w:rPr>
          <w:lang w:eastAsia="ko-KR"/>
        </w:rPr>
        <w:t xml:space="preserve">amyloid </w:t>
      </w:r>
      <w:r>
        <w:rPr>
          <w:rFonts w:hint="eastAsia"/>
          <w:lang w:eastAsia="ko-KR"/>
        </w:rPr>
        <w:t xml:space="preserve">phase, </w:t>
      </w:r>
      <w:proofErr w:type="spellStart"/>
      <w:r w:rsidRPr="00DB378E">
        <w:t>Braak</w:t>
      </w:r>
      <w:proofErr w:type="spellEnd"/>
      <w:r w:rsidRPr="00DB378E">
        <w:t xml:space="preserve"> </w:t>
      </w:r>
      <w:r>
        <w:t>neurofibrillary tangle</w:t>
      </w:r>
      <w:r w:rsidRPr="00DB378E">
        <w:t xml:space="preserve"> </w:t>
      </w:r>
      <w:r>
        <w:t xml:space="preserve">(NFT) </w:t>
      </w:r>
      <w:r w:rsidRPr="00DB378E">
        <w:t>stage</w:t>
      </w:r>
      <w:r>
        <w:rPr>
          <w:rFonts w:hint="eastAsia"/>
          <w:lang w:eastAsia="ko-KR"/>
        </w:rPr>
        <w:t>,</w:t>
      </w:r>
      <w:r w:rsidRPr="00DB378E">
        <w:t xml:space="preserve"> </w:t>
      </w:r>
      <w:r>
        <w:rPr>
          <w:rFonts w:hint="eastAsia"/>
          <w:lang w:eastAsia="ko-KR"/>
        </w:rPr>
        <w:t>and</w:t>
      </w:r>
      <w:r w:rsidRPr="00DB378E">
        <w:t xml:space="preserve"> Consortium to Establish a Registry for Alzheimer’s Disease (CERAD)</w:t>
      </w:r>
      <w:r>
        <w:t xml:space="preserve"> plaque score</w:t>
      </w:r>
      <w:r>
        <w:rPr>
          <w:rFonts w:hint="eastAsia"/>
          <w:lang w:eastAsia="ko-KR"/>
        </w:rPr>
        <w:t>.</w:t>
      </w:r>
      <w:r w:rsidR="00DE6BFA">
        <w:rPr>
          <w:noProof/>
          <w:vertAlign w:val="superscript"/>
          <w:lang w:eastAsia="ko-KR"/>
        </w:rPr>
        <w:t xml:space="preserve"> </w:t>
      </w:r>
      <w:r>
        <w:t xml:space="preserve">Overall severity of </w:t>
      </w:r>
      <w:r w:rsidRPr="001D4860">
        <w:t>AD neuropatholog</w:t>
      </w:r>
      <w:r>
        <w:t>ical change (ADNC)</w:t>
      </w:r>
      <w:r w:rsidRPr="001D4860">
        <w:t xml:space="preserve"> was </w:t>
      </w:r>
      <w:r>
        <w:t xml:space="preserve">assigned using </w:t>
      </w:r>
      <w:r w:rsidRPr="001D4860">
        <w:t>the National Institute on Aging</w:t>
      </w:r>
      <w:r>
        <w:t xml:space="preserve"> (NIA)</w:t>
      </w:r>
      <w:r w:rsidRPr="001D4860">
        <w:t xml:space="preserve"> – Reagan criteria</w:t>
      </w:r>
      <w:r>
        <w:rPr>
          <w:rFonts w:hint="eastAsia"/>
          <w:lang w:eastAsia="ko-KR"/>
        </w:rPr>
        <w:t xml:space="preserve"> and </w:t>
      </w:r>
      <w:r>
        <w:t>NIA-Alzheimer Association criteria for AD</w:t>
      </w:r>
      <w:r w:rsidR="00DE6BFA">
        <w:t>.</w:t>
      </w:r>
      <w:r w:rsidRPr="001D4860">
        <w:t xml:space="preserve"> </w:t>
      </w:r>
      <w:r w:rsidRPr="003957EA">
        <w:t>Coexisting</w:t>
      </w:r>
      <w:r w:rsidRPr="00DB378E">
        <w:t xml:space="preserve"> </w:t>
      </w:r>
      <w:r>
        <w:rPr>
          <w:rFonts w:hint="eastAsia"/>
          <w:lang w:eastAsia="ko-KR"/>
        </w:rPr>
        <w:lastRenderedPageBreak/>
        <w:t>cerebral amyloid angiopathy (CAA), vascular brain injury (VBI), arteriosclerosis, atherosclerosis, argyrophilic gra</w:t>
      </w:r>
      <w:r>
        <w:rPr>
          <w:lang w:eastAsia="ko-KR"/>
        </w:rPr>
        <w:t>in</w:t>
      </w:r>
      <w:r>
        <w:rPr>
          <w:rFonts w:hint="eastAsia"/>
          <w:lang w:eastAsia="ko-KR"/>
        </w:rPr>
        <w:t xml:space="preserve"> disease (AGD), </w:t>
      </w:r>
      <w:r>
        <w:rPr>
          <w:lang w:eastAsia="ko-KR"/>
        </w:rPr>
        <w:t>Lewy body disease</w:t>
      </w:r>
      <w:r>
        <w:rPr>
          <w:rFonts w:hint="eastAsia"/>
          <w:lang w:eastAsia="ko-KR"/>
        </w:rPr>
        <w:t xml:space="preserve"> (</w:t>
      </w:r>
      <w:r>
        <w:rPr>
          <w:lang w:eastAsia="ko-KR"/>
        </w:rPr>
        <w:t>LBD</w:t>
      </w:r>
      <w:r>
        <w:rPr>
          <w:rFonts w:hint="eastAsia"/>
          <w:lang w:eastAsia="ko-KR"/>
        </w:rPr>
        <w:t xml:space="preserve">), </w:t>
      </w:r>
      <w:r w:rsidR="00EB7C5C">
        <w:rPr>
          <w:lang w:eastAsia="ko-KR"/>
        </w:rPr>
        <w:t>and limbic age-related TDP-43 encephalopathy (LATE)</w:t>
      </w:r>
      <w:r w:rsidR="006B530D">
        <w:rPr>
          <w:lang w:eastAsia="ko-KR"/>
        </w:rPr>
        <w:fldChar w:fldCharType="begin"/>
      </w:r>
      <w:r w:rsidR="006B530D">
        <w:rPr>
          <w:lang w:eastAsia="ko-KR"/>
        </w:rPr>
        <w:instrText xml:space="preserve"> ADDIN ZOTERO_ITEM CSL_CITATION {"citationID":"TdgGDue2","properties":{"formattedCitation":"[6]","plainCitation":"[6]","noteIndex":0},"citationItems":[{"id":100,"uris":["http://zotero.org/users/11298871/items/UE5PGJAU"],"itemData":{"id":100,"type":"article-journal","abstract":"We present a practical guide for the implementation of recently revised National Institute on Aging-Alzheimer’s Association guidelines for the neuropathologic assessment of Alzheimer’s disease (AD). Major revisions from previous consensus criteria are: (i) recognition that AD neuropathologic changes may occur in the apparent absence of cognitive impairment, (ii) an “ABC” score for AD neuropathologic change that incorporates histopathologic assessments of amyloid β deposits (A), staging of neurofibrillary tangles (B), and scoring of neuritic plaques (C), and (iii) more detailed approaches for assessing commonly co-morbid conditions such as Lewy body disease, vascular brain injury, hippocampal sclerosis, and TAR DNA binding protein (TDP)-43 immunoreactive inclusions. Recommendations also are made for the minimum sampling of brain, preferred staining methods with acceptable alternatives, reporting of results, and clinico-pathologic correlations.","container-title":"Acta Neuropathologica","DOI":"10.1007/s00401-011-0910-3","ISSN":"0001-6322","issue":"1","journalAbbreviation":"Acta Neuropathol","note":"PMID: 22101365\nPMCID: PMC3268003","page":"1-11","source":"PubMed Central","title":"National Institute on Aging-Alzheimer’s Association guidelines for the neuropathologic assessment of Alzheimer’s disease: a practical approach","title-short":"National Institute on Aging-Alzheimer’s Association guidelines for the neuropathologic assessment of Alzheimer’s disease","volume":"123","author":[{"family":"Montine","given":"Thomas J."},{"family":"Phelps","given":"Creighton H."},{"family":"Beach","given":"Thomas G."},{"family":"Bigio","given":"Eileen H."},{"family":"Cairns","given":"Nigel J."},{"family":"Dickson","given":"Dennis W."},{"family":"Duyckaerts","given":"Charles"},{"family":"Frosch","given":"Matthew P."},{"family":"Masliah","given":"Eliezer"},{"family":"Mirra","given":"Suzanne S."},{"family":"Nelson","given":"Peter T."},{"family":"Schneider","given":"Julie A."},{"family":"Thal","given":"Dietmar Rudolf"},{"family":"Trojanowski","given":"John Q."},{"family":"Vinters","given":"Harry V."},{"family":"Hyman","given":"Bradley T."}],"issued":{"date-parts":[["2012",1]]}}}],"schema":"https://github.com/citation-style-language/schema/raw/master/csl-citation.json"} </w:instrText>
      </w:r>
      <w:r w:rsidR="006B530D">
        <w:rPr>
          <w:lang w:eastAsia="ko-KR"/>
        </w:rPr>
        <w:fldChar w:fldCharType="separate"/>
      </w:r>
      <w:r w:rsidR="006B530D" w:rsidRPr="006B530D">
        <w:t>[6]</w:t>
      </w:r>
      <w:r w:rsidR="006B530D">
        <w:rPr>
          <w:lang w:eastAsia="ko-KR"/>
        </w:rPr>
        <w:fldChar w:fldCharType="end"/>
      </w:r>
      <w:r w:rsidR="00EB7C5C">
        <w:rPr>
          <w:lang w:eastAsia="ko-KR"/>
        </w:rPr>
        <w:t xml:space="preserve"> </w:t>
      </w:r>
      <w:r>
        <w:rPr>
          <w:rFonts w:hint="eastAsia"/>
          <w:lang w:eastAsia="ko-KR"/>
        </w:rPr>
        <w:t>were</w:t>
      </w:r>
      <w:r w:rsidRPr="00DB378E">
        <w:t xml:space="preserve"> noted when present in the available materials.</w:t>
      </w:r>
      <w:r w:rsidRPr="00E90081">
        <w:t xml:space="preserve"> </w:t>
      </w:r>
    </w:p>
    <w:p w14:paraId="3F86E80B" w14:textId="77777777" w:rsidR="00DE6BFA" w:rsidRDefault="00DE6BFA" w:rsidP="006B530D">
      <w:pPr>
        <w:spacing w:line="480" w:lineRule="auto"/>
        <w:rPr>
          <w:b/>
          <w:bCs/>
          <w:u w:val="single"/>
        </w:rPr>
      </w:pPr>
    </w:p>
    <w:p w14:paraId="59EA6AF2" w14:textId="778B8C01" w:rsidR="00246AFD" w:rsidRPr="00246AFD" w:rsidRDefault="00246AFD" w:rsidP="006B530D">
      <w:pPr>
        <w:spacing w:line="480" w:lineRule="auto"/>
        <w:rPr>
          <w:b/>
          <w:bCs/>
          <w:u w:val="single"/>
        </w:rPr>
      </w:pPr>
      <w:r w:rsidRPr="00246AFD">
        <w:rPr>
          <w:b/>
          <w:bCs/>
          <w:u w:val="single"/>
        </w:rPr>
        <w:t>Supplemental Results</w:t>
      </w:r>
    </w:p>
    <w:p w14:paraId="167C4704" w14:textId="33ED1D8E" w:rsidR="00246AFD" w:rsidRDefault="00246AFD" w:rsidP="006B530D">
      <w:pPr>
        <w:spacing w:line="480" w:lineRule="auto"/>
        <w:rPr>
          <w:b/>
          <w:bCs/>
        </w:rPr>
      </w:pPr>
      <w:r w:rsidRPr="00246AFD">
        <w:rPr>
          <w:b/>
          <w:bCs/>
        </w:rPr>
        <w:t>Neuropathology</w:t>
      </w:r>
      <w:r>
        <w:rPr>
          <w:b/>
          <w:bCs/>
        </w:rPr>
        <w:t xml:space="preserve"> Results</w:t>
      </w:r>
    </w:p>
    <w:p w14:paraId="261DA158" w14:textId="2D3E0982" w:rsidR="00246AFD" w:rsidRDefault="00E02136" w:rsidP="006B530D">
      <w:pPr>
        <w:spacing w:line="480" w:lineRule="auto"/>
      </w:pPr>
      <w:r w:rsidRPr="00E02136">
        <w:rPr>
          <w:b/>
          <w:bCs/>
        </w:rPr>
        <w:t>Table 1</w:t>
      </w:r>
      <w:r>
        <w:t xml:space="preserve"> Neuropatholog</w:t>
      </w:r>
      <w:r w:rsidR="00A31EBD">
        <w:t>ical</w:t>
      </w:r>
      <w:r>
        <w:t xml:space="preserve"> </w:t>
      </w:r>
      <w:r w:rsidR="00A31EBD">
        <w:t>Staging</w:t>
      </w:r>
    </w:p>
    <w:tbl>
      <w:tblPr>
        <w:tblStyle w:val="TableGrid"/>
        <w:tblpPr w:leftFromText="180" w:rightFromText="180" w:vertAnchor="text" w:horzAnchor="margin" w:tblpXSpec="center" w:tblpY="410"/>
        <w:tblW w:w="11041" w:type="dxa"/>
        <w:tblLook w:val="04A0" w:firstRow="1" w:lastRow="0" w:firstColumn="1" w:lastColumn="0" w:noHBand="0" w:noVBand="1"/>
      </w:tblPr>
      <w:tblGrid>
        <w:gridCol w:w="827"/>
        <w:gridCol w:w="1227"/>
        <w:gridCol w:w="950"/>
        <w:gridCol w:w="1527"/>
        <w:gridCol w:w="928"/>
        <w:gridCol w:w="1816"/>
        <w:gridCol w:w="1105"/>
        <w:gridCol w:w="750"/>
        <w:gridCol w:w="828"/>
        <w:gridCol w:w="1283"/>
      </w:tblGrid>
      <w:tr w:rsidR="00DE6BFA" w14:paraId="15DD38DC" w14:textId="77777777" w:rsidTr="00DE6BFA">
        <w:trPr>
          <w:trHeight w:val="1898"/>
        </w:trPr>
        <w:tc>
          <w:tcPr>
            <w:tcW w:w="827" w:type="dxa"/>
          </w:tcPr>
          <w:p w14:paraId="305A2239" w14:textId="77777777" w:rsidR="00DE6BFA" w:rsidRPr="00DE6BFA" w:rsidRDefault="00DE6BFA" w:rsidP="00DE6BFA">
            <w:pPr>
              <w:spacing w:line="480" w:lineRule="auto"/>
              <w:rPr>
                <w:b/>
                <w:bCs/>
                <w:sz w:val="20"/>
                <w:szCs w:val="20"/>
              </w:rPr>
            </w:pPr>
            <w:r w:rsidRPr="00DE6BFA">
              <w:rPr>
                <w:b/>
                <w:bCs/>
                <w:sz w:val="20"/>
                <w:szCs w:val="20"/>
              </w:rPr>
              <w:t>Patient</w:t>
            </w:r>
          </w:p>
        </w:tc>
        <w:tc>
          <w:tcPr>
            <w:tcW w:w="1227" w:type="dxa"/>
          </w:tcPr>
          <w:p w14:paraId="0CDFAB4B" w14:textId="77777777" w:rsidR="00DE6BFA" w:rsidRPr="00DE6BFA" w:rsidRDefault="00DE6BFA" w:rsidP="00DE6BFA">
            <w:pPr>
              <w:spacing w:line="480" w:lineRule="auto"/>
              <w:rPr>
                <w:b/>
                <w:bCs/>
                <w:sz w:val="20"/>
                <w:szCs w:val="20"/>
              </w:rPr>
            </w:pPr>
            <w:r w:rsidRPr="00DE6BFA">
              <w:rPr>
                <w:b/>
                <w:bCs/>
                <w:sz w:val="20"/>
                <w:szCs w:val="20"/>
              </w:rPr>
              <w:t>ADNC</w:t>
            </w:r>
            <w:r w:rsidRPr="00DE6BFA">
              <w:rPr>
                <w:b/>
                <w:bCs/>
                <w:sz w:val="20"/>
                <w:szCs w:val="20"/>
              </w:rPr>
              <w:fldChar w:fldCharType="begin"/>
            </w:r>
            <w:r w:rsidRPr="00DE6BFA">
              <w:rPr>
                <w:b/>
                <w:bCs/>
                <w:sz w:val="20"/>
                <w:szCs w:val="20"/>
              </w:rPr>
              <w:instrText xml:space="preserve"> ADDIN ZOTERO_ITEM CSL_CITATION {"citationID":"6oZ92AtP","properties":{"formattedCitation":"[6]","plainCitation":"[6]","noteIndex":0},"citationItems":[{"id":100,"uris":["http://zotero.org/users/11298871/items/UE5PGJAU"],"itemData":{"id":100,"type":"article-journal","abstract":"We present a practical guide for the implementation of recently revised National Institute on Aging-Alzheimer’s Association guidelines for the neuropathologic assessment of Alzheimer’s disease (AD). Major revisions from previous consensus criteria are: (i) recognition that AD neuropathologic changes may occur in the apparent absence of cognitive impairment, (ii) an “ABC” score for AD neuropathologic change that incorporates histopathologic assessments of amyloid β deposits (A), staging of neurofibrillary tangles (B), and scoring of neuritic plaques (C), and (iii) more detailed approaches for assessing commonly co-morbid conditions such as Lewy body disease, vascular brain injury, hippocampal sclerosis, and TAR DNA binding protein (TDP)-43 immunoreactive inclusions. Recommendations also are made for the minimum sampling of brain, preferred staining methods with acceptable alternatives, reporting of results, and clinico-pathologic correlations.","container-title":"Acta Neuropathologica","DOI":"10.1007/s00401-011-0910-3","ISSN":"0001-6322","issue":"1","journalAbbreviation":"Acta Neuropathol","note":"PMID: 22101365\nPMCID: PMC3268003","page":"1-11","source":"PubMed Central","title":"National Institute on Aging-Alzheimer’s Association guidelines for the neuropathologic assessment of Alzheimer’s disease: a practical approach","title-short":"National Institute on Aging-Alzheimer’s Association guidelines for the neuropathologic assessment of Alzheimer’s disease","volume":"123","author":[{"family":"Montine","given":"Thomas J."},{"family":"Phelps","given":"Creighton H."},{"family":"Beach","given":"Thomas G."},{"family":"Bigio","given":"Eileen H."},{"family":"Cairns","given":"Nigel J."},{"family":"Dickson","given":"Dennis W."},{"family":"Duyckaerts","given":"Charles"},{"family":"Frosch","given":"Matthew P."},{"family":"Masliah","given":"Eliezer"},{"family":"Mirra","given":"Suzanne S."},{"family":"Nelson","given":"Peter T."},{"family":"Schneider","given":"Julie A."},{"family":"Thal","given":"Dietmar Rudolf"},{"family":"Trojanowski","given":"John Q."},{"family":"Vinters","given":"Harry V."},{"family":"Hyman","given":"Bradley T."}],"issued":{"date-parts":[["2012",1]]}}}],"schema":"https://github.com/citation-style-language/schema/raw/master/csl-citation.json"} </w:instrText>
            </w:r>
            <w:r w:rsidRPr="00DE6BFA">
              <w:rPr>
                <w:b/>
                <w:bCs/>
                <w:sz w:val="20"/>
                <w:szCs w:val="20"/>
              </w:rPr>
              <w:fldChar w:fldCharType="separate"/>
            </w:r>
            <w:r w:rsidRPr="00DE6BFA">
              <w:rPr>
                <w:b/>
                <w:bCs/>
                <w:sz w:val="20"/>
              </w:rPr>
              <w:t>[6]</w:t>
            </w:r>
            <w:r w:rsidRPr="00DE6BFA">
              <w:rPr>
                <w:b/>
                <w:bCs/>
                <w:sz w:val="20"/>
                <w:szCs w:val="20"/>
              </w:rPr>
              <w:fldChar w:fldCharType="end"/>
            </w:r>
          </w:p>
        </w:tc>
        <w:tc>
          <w:tcPr>
            <w:tcW w:w="950" w:type="dxa"/>
          </w:tcPr>
          <w:p w14:paraId="7BBB13C4" w14:textId="77777777" w:rsidR="00DE6BFA" w:rsidRPr="00DE6BFA" w:rsidRDefault="00DE6BFA" w:rsidP="00DE6BFA">
            <w:pPr>
              <w:spacing w:line="480" w:lineRule="auto"/>
              <w:rPr>
                <w:b/>
                <w:bCs/>
                <w:sz w:val="20"/>
                <w:szCs w:val="20"/>
              </w:rPr>
            </w:pPr>
            <w:r w:rsidRPr="00DE6BFA">
              <w:rPr>
                <w:b/>
                <w:bCs/>
                <w:sz w:val="20"/>
                <w:szCs w:val="20"/>
              </w:rPr>
              <w:t>Thal Amyloid Plaque Phase</w:t>
            </w:r>
          </w:p>
        </w:tc>
        <w:tc>
          <w:tcPr>
            <w:tcW w:w="1527" w:type="dxa"/>
          </w:tcPr>
          <w:p w14:paraId="52F236E5" w14:textId="77777777" w:rsidR="00DE6BFA" w:rsidRPr="00DE6BFA" w:rsidRDefault="00DE6BFA" w:rsidP="00DE6BFA">
            <w:pPr>
              <w:spacing w:line="480" w:lineRule="auto"/>
              <w:rPr>
                <w:b/>
                <w:bCs/>
                <w:sz w:val="20"/>
                <w:szCs w:val="20"/>
              </w:rPr>
            </w:pPr>
            <w:proofErr w:type="spellStart"/>
            <w:r w:rsidRPr="00DE6BFA">
              <w:rPr>
                <w:b/>
                <w:bCs/>
                <w:sz w:val="20"/>
                <w:szCs w:val="20"/>
              </w:rPr>
              <w:t>Braak</w:t>
            </w:r>
            <w:proofErr w:type="spellEnd"/>
            <w:r w:rsidRPr="00DE6BFA">
              <w:rPr>
                <w:b/>
                <w:bCs/>
                <w:sz w:val="20"/>
                <w:szCs w:val="20"/>
              </w:rPr>
              <w:t xml:space="preserve"> Neurofibrillary Tangle Stage</w:t>
            </w:r>
          </w:p>
        </w:tc>
        <w:tc>
          <w:tcPr>
            <w:tcW w:w="928" w:type="dxa"/>
          </w:tcPr>
          <w:p w14:paraId="3130D03A" w14:textId="77777777" w:rsidR="00DE6BFA" w:rsidRPr="00DE6BFA" w:rsidRDefault="00DE6BFA" w:rsidP="00DE6BFA">
            <w:pPr>
              <w:spacing w:line="480" w:lineRule="auto"/>
              <w:rPr>
                <w:b/>
                <w:bCs/>
                <w:sz w:val="20"/>
                <w:szCs w:val="20"/>
              </w:rPr>
            </w:pPr>
            <w:r w:rsidRPr="00DE6BFA">
              <w:rPr>
                <w:b/>
                <w:bCs/>
                <w:sz w:val="20"/>
                <w:szCs w:val="20"/>
              </w:rPr>
              <w:t>CERAD Neuritic Plaque Score</w:t>
            </w:r>
          </w:p>
        </w:tc>
        <w:tc>
          <w:tcPr>
            <w:tcW w:w="1286" w:type="dxa"/>
          </w:tcPr>
          <w:p w14:paraId="38B0FD2A" w14:textId="77777777" w:rsidR="00DE6BFA" w:rsidRPr="00DE6BFA" w:rsidRDefault="00DE6BFA" w:rsidP="00DE6BFA">
            <w:pPr>
              <w:spacing w:line="480" w:lineRule="auto"/>
              <w:rPr>
                <w:b/>
                <w:bCs/>
                <w:sz w:val="20"/>
                <w:szCs w:val="20"/>
              </w:rPr>
            </w:pPr>
            <w:r w:rsidRPr="00DE6BFA">
              <w:rPr>
                <w:b/>
                <w:bCs/>
                <w:sz w:val="20"/>
                <w:szCs w:val="20"/>
              </w:rPr>
              <w:t>Cerebral Amyloid Angiopathy</w:t>
            </w:r>
            <w:r w:rsidRPr="00DE6BFA">
              <w:rPr>
                <w:b/>
                <w:bCs/>
                <w:sz w:val="20"/>
                <w:szCs w:val="20"/>
              </w:rPr>
              <w:fldChar w:fldCharType="begin"/>
            </w:r>
            <w:r w:rsidRPr="00DE6BFA">
              <w:rPr>
                <w:b/>
                <w:bCs/>
                <w:sz w:val="20"/>
                <w:szCs w:val="20"/>
              </w:rPr>
              <w:instrText xml:space="preserve"> ADDIN ZOTERO_ITEM CSL_CITATION {"citationID":"FGFnTfML","properties":{"formattedCitation":"[9]","plainCitation":"[9]","noteIndex":0},"citationItems":[{"id":116,"uris":["http://zotero.org/users/11298871/items/ZD5XNX5Y"],"itemData":{"id":116,"type":"article-journal","abstract":"To identify those factors associated with cerebral hemorrhage among brains with cerebral amyloid angiopathy (CAA), we undertook a comparative postmortem histopathological study of amyloid-containing vessels in the brains of patients with and without hemorrhage. Those without hemorrhage were represented by the following two groups: (1) elderly patients from a large general hospital (n = 66; age range, 75-107 years) and (2) patients with various neuropsychiatric disorders (n = 70; age range, 27-96 years). CAA was found in 45% of the first group and in 54% of the second group. The findings in these patients were compared with those in 17 brains in which both CAA and cerebral hemorrhage were present. We found that CAA was more severe in the brains with cerebral hemorrhage than in those without, and that fibrinoid necrosis was seen only in the brains with cerebral hemorrhage (12 of the 17 brains). Microaneurysms occurred only in the presence of severe, rather than moderate or mild, CAA. Serial sections in 2 brains of patients with cerebral hemorrhage showed fibrinoid necrosis, microaneurysms, and vascular rupture in close association with the hemorrhage. In 2 patients, hemorrhage was precipitated by trauma, and in 1, it was secondary to metastatic carcinoma. The features of brains from patients with CAA that are most consistently related to cerebral hemorrhage are (1) a severe degree of CAA and (2) the presence of fibrinoid necrosis, with or without microaneurysms.","container-title":"Annals of Neurology","DOI":"10.1002/ana.410300503","ISSN":"0364-5134","issue":"5","journalAbbreviation":"Ann Neurol","language":"eng","note":"PMID: 1763890","page":"637-649","source":"PubMed","title":"Cerebral amyloid angiopathy without and with cerebral hemorrhages: a comparative histological study","title-short":"Cerebral amyloid angiopathy without and with cerebral hemorrhages","volume":"30","author":[{"family":"Vonsattel","given":"J. P."},{"family":"Myers","given":"R. H."},{"family":"Hedley-Whyte","given":"E. T."},{"family":"Ropper","given":"A. H."},{"family":"Bird","given":"E. D."},{"family":"Richardson","given":"E. P."}],"issued":{"date-parts":[["1991",11]]}}}],"schema":"https://github.com/citation-style-language/schema/raw/master/csl-citation.json"} </w:instrText>
            </w:r>
            <w:r w:rsidRPr="00DE6BFA">
              <w:rPr>
                <w:b/>
                <w:bCs/>
                <w:sz w:val="20"/>
                <w:szCs w:val="20"/>
              </w:rPr>
              <w:fldChar w:fldCharType="separate"/>
            </w:r>
            <w:r w:rsidRPr="00DE6BFA">
              <w:rPr>
                <w:b/>
                <w:bCs/>
                <w:sz w:val="20"/>
              </w:rPr>
              <w:t>[9]</w:t>
            </w:r>
            <w:r w:rsidRPr="00DE6BFA">
              <w:rPr>
                <w:b/>
                <w:bCs/>
                <w:sz w:val="20"/>
                <w:szCs w:val="20"/>
              </w:rPr>
              <w:fldChar w:fldCharType="end"/>
            </w:r>
          </w:p>
        </w:tc>
        <w:tc>
          <w:tcPr>
            <w:tcW w:w="1435" w:type="dxa"/>
          </w:tcPr>
          <w:p w14:paraId="78ED01A8" w14:textId="77777777" w:rsidR="00DE6BFA" w:rsidRPr="00DE6BFA" w:rsidRDefault="00DE6BFA" w:rsidP="00DE6BFA">
            <w:pPr>
              <w:spacing w:line="480" w:lineRule="auto"/>
              <w:rPr>
                <w:b/>
                <w:bCs/>
                <w:sz w:val="20"/>
                <w:szCs w:val="20"/>
              </w:rPr>
            </w:pPr>
            <w:r w:rsidRPr="00DE6BFA">
              <w:rPr>
                <w:b/>
                <w:bCs/>
                <w:sz w:val="20"/>
                <w:szCs w:val="20"/>
              </w:rPr>
              <w:t>Lewy Body Disease</w:t>
            </w:r>
            <w:r w:rsidRPr="00DE6BFA">
              <w:rPr>
                <w:b/>
                <w:bCs/>
                <w:sz w:val="20"/>
                <w:szCs w:val="20"/>
              </w:rPr>
              <w:fldChar w:fldCharType="begin"/>
            </w:r>
            <w:r w:rsidRPr="00DE6BFA">
              <w:rPr>
                <w:b/>
                <w:bCs/>
                <w:sz w:val="20"/>
                <w:szCs w:val="20"/>
              </w:rPr>
              <w:instrText xml:space="preserve"> ADDIN ZOTERO_ITEM CSL_CITATION {"citationID":"3koA9z9f","properties":{"formattedCitation":"[5]","plainCitation":"[5]","noteIndex":0},"citationItems":[{"id":108,"uris":["http://zotero.org/users/11298871/items/JJUEHWII"],"itemData":{"id":108,"type":"article-journal","abstract":"Dementia with Lewy bodies (DLB) was considered to be an uncommon cause of dementia until improved neuropathological staining methods for ubiquitin were developed in the late 1980's. Subsequent recognition that 10-15% of dementia cases in older people were associated with Lewy body pathology led to the publication in 1996 of Consensus clinical and pathological diagnostic criteria for the disorder. These have greatly raised global awareness of DLB and helped to generate a body of knowledge which informs modern clinical management of this pharmacologically sensitive group of patients. They have also enabled important issues surrounding the relationships of DLB with Alzheimer's disease and Parkinson's disease to be addressed and partially resolved. A recent re-evaluation of the Consensus criteria has confirmed many aspects of the original recommendations, supplementing these with suggestions for improved pathological characterisation, clinical detection and management. Virtu-ally unrecognised 20 years ago, DLB could within this decade be one of the best characterised and potentially treatable neurodegenerative disorders of late life.","container-title":"Journal of Alzheimer's disease: JAD","DOI":"10.3233/jad-2006-9s347","ISSN":"1387-2877","issue":"3 Suppl","journalAbbreviation":"J Alzheimers Dis","language":"eng","note":"PMID: 16914880","page":"417-423","source":"PubMed","title":"Consensus guidelines for the clinical and pathologic diagnosis of dementia with Lewy bodies (DLB): report of the Consortium on DLB International Workshop","title-short":"Consensus guidelines for the clinical and pathologic diagnosis of dementia with Lewy bodies (DLB)","volume":"9","author":[{"family":"McKeith","given":"Ian G."}],"issued":{"date-parts":[["2006"]]}}}],"schema":"https://github.com/citation-style-language/schema/raw/master/csl-citation.json"} </w:instrText>
            </w:r>
            <w:r w:rsidRPr="00DE6BFA">
              <w:rPr>
                <w:b/>
                <w:bCs/>
                <w:sz w:val="20"/>
                <w:szCs w:val="20"/>
              </w:rPr>
              <w:fldChar w:fldCharType="separate"/>
            </w:r>
            <w:r w:rsidRPr="00DE6BFA">
              <w:rPr>
                <w:b/>
                <w:bCs/>
                <w:sz w:val="20"/>
              </w:rPr>
              <w:t>[5]</w:t>
            </w:r>
            <w:r w:rsidRPr="00DE6BFA">
              <w:rPr>
                <w:b/>
                <w:bCs/>
                <w:sz w:val="20"/>
                <w:szCs w:val="20"/>
              </w:rPr>
              <w:fldChar w:fldCharType="end"/>
            </w:r>
          </w:p>
        </w:tc>
        <w:tc>
          <w:tcPr>
            <w:tcW w:w="750" w:type="dxa"/>
          </w:tcPr>
          <w:p w14:paraId="37657C39" w14:textId="77777777" w:rsidR="00DE6BFA" w:rsidRPr="00DE6BFA" w:rsidRDefault="00DE6BFA" w:rsidP="00DE6BFA">
            <w:pPr>
              <w:spacing w:line="480" w:lineRule="auto"/>
              <w:rPr>
                <w:b/>
                <w:bCs/>
                <w:sz w:val="20"/>
                <w:szCs w:val="20"/>
              </w:rPr>
            </w:pPr>
            <w:r w:rsidRPr="00DE6BFA">
              <w:rPr>
                <w:b/>
                <w:bCs/>
                <w:sz w:val="20"/>
                <w:szCs w:val="20"/>
              </w:rPr>
              <w:t>PD Braak Stage</w:t>
            </w:r>
          </w:p>
        </w:tc>
        <w:tc>
          <w:tcPr>
            <w:tcW w:w="828" w:type="dxa"/>
          </w:tcPr>
          <w:p w14:paraId="4B5B69A7" w14:textId="77777777" w:rsidR="00DE6BFA" w:rsidRPr="00DE6BFA" w:rsidRDefault="00DE6BFA" w:rsidP="00DE6BFA">
            <w:pPr>
              <w:spacing w:line="480" w:lineRule="auto"/>
              <w:rPr>
                <w:b/>
                <w:bCs/>
                <w:sz w:val="20"/>
                <w:szCs w:val="20"/>
              </w:rPr>
            </w:pPr>
            <w:r w:rsidRPr="00DE6BFA">
              <w:rPr>
                <w:b/>
                <w:bCs/>
                <w:sz w:val="20"/>
                <w:szCs w:val="20"/>
              </w:rPr>
              <w:t>LATE- NC</w:t>
            </w:r>
            <w:r w:rsidRPr="00DE6BFA">
              <w:rPr>
                <w:b/>
                <w:bCs/>
                <w:sz w:val="20"/>
                <w:szCs w:val="20"/>
              </w:rPr>
              <w:fldChar w:fldCharType="begin"/>
            </w:r>
            <w:r w:rsidRPr="00DE6BFA">
              <w:rPr>
                <w:b/>
                <w:bCs/>
                <w:sz w:val="20"/>
                <w:szCs w:val="20"/>
              </w:rPr>
              <w:instrText xml:space="preserve"> ADDIN ZOTERO_ITEM CSL_CITATION {"citationID":"bp0ymCdI","properties":{"formattedCitation":"[7]","plainCitation":"[7]","noteIndex":0},"citationItems":[{"id":103,"uris":["http://zotero.org/users/11298871/items/NLAZ9RKN"],"itemData":{"id":103,"type":"article-journal","abstract":"We describe a recently recognized disease entity, limbic-predominant age-related TDP-43 encephalopathy (LATE). LATE neuropathological change (LATE-NC) is defined by a stereotypical TDP-43 proteinopathy in older adults, with or without coexisting hippocampal sclerosis pathology. LATE-NC is a common TDP-43 proteinopathy, associated with an amnestic dementia syndrome that mimicked Alzheimer's-type dementia in retrospective autopsy studies. LATE is distinguished from frontotemporal lobar degeneration with TDP-43 pathology based on its epidemiology (LATE generally affects older subjects), and relatively restricted neuroanatomical distribution of TDP-43 proteinopathy. In community-based autopsy cohorts, </w:instrText>
            </w:r>
            <w:r w:rsidRPr="00DE6BFA">
              <w:rPr>
                <w:rFonts w:ascii="Cambria Math" w:hAnsi="Cambria Math" w:cs="Cambria Math"/>
                <w:b/>
                <w:bCs/>
                <w:sz w:val="20"/>
                <w:szCs w:val="20"/>
              </w:rPr>
              <w:instrText>∼</w:instrText>
            </w:r>
            <w:r w:rsidRPr="00DE6BFA">
              <w:rPr>
                <w:b/>
                <w:bCs/>
                <w:sz w:val="20"/>
                <w:szCs w:val="20"/>
              </w:rPr>
              <w:instrText xml:space="preserve">25% of brains had sufficient burden of LATE-NC to be associated with discernible cognitive impairment. Many subjects with LATE-NC have comorbid brain pathologies, often including amyloid-β plaques and tauopathy. Given that the 'oldest-old' are at greatest risk for LATE-NC, and subjects of advanced age constitute a rapidly growing demographic group in many countries, LATE has an expanding but under-recognized impact on public health. For these reasons, a working group was convened to develop diagnostic criteria for LATE, aiming both to stimulate research and to promote awareness of this pathway to dementia. We report consensus-based recommendations including guidelines for diagnosis and staging of LATE-NC. For routine autopsy workup of LATE-NC, an anatomically-based preliminary staging scheme is proposed with TDP-43 immunohistochemistry on tissue from three brain areas, reflecting a hierarchical pattern of brain involvement: amygdala, hippocampus, and middle frontal gyrus. LATE-NC appears to affect the medial temporal lobe structures preferentially, but other areas also are impacted. Neuroimaging studies demonstrated that subjects with LATE-NC also had atrophy in the medial temporal lobes, frontal cortex, and other brain regions. Genetic studies have thus far indicated five genes with risk alleles for LATE-NC: GRN, TMEM106B, ABCC9, KCNMB2, and APOE. The discovery of these genetic risk variants indicate that LATE shares pathogenetic mechanisms with both frontotemporal lobar degeneration and Alzheimer's disease, but also suggests disease-specific underlying mechanisms. Large gaps remain in our understanding of LATE. For advances in prevention, diagnosis, and treatment, there is an urgent need for research focused on LATE, including in vitro and animal models. An obstacle to clinical progress is lack of diagnostic tools, such as biofluid or neuroimaging biomarkers, for ante-mortem detection of LATE. Development of a disease biomarker would augment observational studies seeking to further define the risk factors, natural history, and clinical features of LATE, as well as eventual subject recruitment for targeted therapies in clinical trials.","container-title":"Brain: A Journal of Neurology","DOI":"10.1093/brain/awz099","ISSN":"1460-2156","issue":"6","journalAbbreviation":"Brain","language":"eng","note":"PMID: 31039256\nPMCID: PMC6536849","page":"1503-1527","source":"PubMed","title":"Limbic-predominant age-related TDP-43 encephalopathy (LATE): consensus working group report","title-short":"Limbic-predominant age-related TDP-43 encephalopathy (LATE)","volume":"142","author":[{"family":"Nelson","given":"Peter T."},{"family":"Dickson","given":"Dennis W."},{"family":"Trojanowski","given":"John Q."},{"family":"Jack","given":"Clifford R."},{"family":"Boyle","given":"Patricia A."},{"family":"Arfanakis","given":"Konstantinos"},{"family":"Rademakers","given":"Rosa"},{"family":"Alafuzoff","given":"Irina"},{"family":"Attems","given":"Johannes"},{"family":"Brayne","given":"Carol"},{"family":"Coyle-Gilchrist","given":"Ian T. S."},{"family":"Chui","given":"Helena C."},{"family":"Fardo","given":"David W."},{"family":"Flanagan","given":"Margaret E."},{"family":"Halliday","given":"Glenda"},{"family":"Hokkanen","given":"Suvi R. K."},{"family":"Hunter","given":"Sally"},{"family":"Jicha","given":"Gregory A."},{"family":"Katsumata","given":"Yuriko"},{"family":"Kawas","given":"Claudia H."},{"family":"Keene","given":"C. Dirk"},{"family":"Kovacs","given":"Gabor G."},{"family":"Kukull","given":"Walter A."},{"family":"Levey","given":"Allan I."},{"family":"Makkinejad","given":"Nazanin"},{"family":"Montine","given":"Thomas J."},{"family":"Murayama","given":"Shigeo"},{"family":"Murray","given":"Melissa E."},{"family":"Nag","given":"Sukriti"},{"family":"Rissman","given":"Robert A."},{"family":"Seeley","given":"William W."},{"family":"Sperling","given":"Reisa A."},{"family":"White","given":"Charles L."},{"family":"Yu","given":"Lei"},{"family":"Schneider","given":"Julie A."}],"issued":{"date-parts":[["2019",6,1]]}}}],"schema":"https://github.com/citation-style-language/schema/raw/master/csl-citation.json"} </w:instrText>
            </w:r>
            <w:r w:rsidRPr="00DE6BFA">
              <w:rPr>
                <w:b/>
                <w:bCs/>
                <w:sz w:val="20"/>
                <w:szCs w:val="20"/>
              </w:rPr>
              <w:fldChar w:fldCharType="separate"/>
            </w:r>
            <w:r w:rsidRPr="00DE6BFA">
              <w:rPr>
                <w:b/>
                <w:bCs/>
                <w:sz w:val="20"/>
              </w:rPr>
              <w:t>[7]</w:t>
            </w:r>
            <w:r w:rsidRPr="00DE6BFA">
              <w:rPr>
                <w:b/>
                <w:bCs/>
                <w:sz w:val="20"/>
                <w:szCs w:val="20"/>
              </w:rPr>
              <w:fldChar w:fldCharType="end"/>
            </w:r>
          </w:p>
        </w:tc>
        <w:tc>
          <w:tcPr>
            <w:tcW w:w="1283" w:type="dxa"/>
          </w:tcPr>
          <w:p w14:paraId="0CF1086F" w14:textId="77777777" w:rsidR="00DE6BFA" w:rsidRPr="00DE6BFA" w:rsidRDefault="00DE6BFA" w:rsidP="00DE6BFA">
            <w:pPr>
              <w:spacing w:line="480" w:lineRule="auto"/>
              <w:rPr>
                <w:b/>
                <w:bCs/>
                <w:sz w:val="20"/>
                <w:szCs w:val="20"/>
              </w:rPr>
            </w:pPr>
            <w:r w:rsidRPr="00DE6BFA">
              <w:rPr>
                <w:b/>
                <w:bCs/>
                <w:sz w:val="20"/>
                <w:szCs w:val="20"/>
              </w:rPr>
              <w:t xml:space="preserve">Vascular Brain Injury </w:t>
            </w:r>
          </w:p>
        </w:tc>
      </w:tr>
      <w:tr w:rsidR="00DE6BFA" w14:paraId="7C398968" w14:textId="77777777" w:rsidTr="00DE6BFA">
        <w:trPr>
          <w:trHeight w:val="1426"/>
        </w:trPr>
        <w:tc>
          <w:tcPr>
            <w:tcW w:w="827" w:type="dxa"/>
          </w:tcPr>
          <w:p w14:paraId="62DAFBAE" w14:textId="77777777" w:rsidR="00DE6BFA" w:rsidRPr="00E02136" w:rsidRDefault="00DE6BFA" w:rsidP="00DE6BFA">
            <w:pPr>
              <w:spacing w:line="480" w:lineRule="auto"/>
              <w:rPr>
                <w:sz w:val="20"/>
                <w:szCs w:val="20"/>
              </w:rPr>
            </w:pPr>
            <w:r>
              <w:rPr>
                <w:sz w:val="20"/>
                <w:szCs w:val="20"/>
              </w:rPr>
              <w:t>1</w:t>
            </w:r>
          </w:p>
        </w:tc>
        <w:tc>
          <w:tcPr>
            <w:tcW w:w="1227" w:type="dxa"/>
          </w:tcPr>
          <w:p w14:paraId="05F61F0D" w14:textId="77777777" w:rsidR="00DE6BFA" w:rsidRPr="00E02136" w:rsidRDefault="00DE6BFA" w:rsidP="00DE6BFA">
            <w:pPr>
              <w:spacing w:line="480" w:lineRule="auto"/>
              <w:rPr>
                <w:sz w:val="20"/>
                <w:szCs w:val="20"/>
              </w:rPr>
            </w:pPr>
            <w:r w:rsidRPr="00E02136">
              <w:rPr>
                <w:sz w:val="20"/>
                <w:szCs w:val="20"/>
              </w:rPr>
              <w:t>Intermediate (A2, B3, C3)</w:t>
            </w:r>
          </w:p>
        </w:tc>
        <w:tc>
          <w:tcPr>
            <w:tcW w:w="950" w:type="dxa"/>
          </w:tcPr>
          <w:p w14:paraId="4E11EB39" w14:textId="77777777" w:rsidR="00DE6BFA" w:rsidRPr="00E02136" w:rsidRDefault="00DE6BFA" w:rsidP="00DE6BFA">
            <w:pPr>
              <w:spacing w:line="480" w:lineRule="auto"/>
              <w:rPr>
                <w:sz w:val="20"/>
                <w:szCs w:val="20"/>
              </w:rPr>
            </w:pPr>
            <w:r w:rsidRPr="00E02136">
              <w:rPr>
                <w:sz w:val="20"/>
                <w:szCs w:val="20"/>
              </w:rPr>
              <w:t>Phase 3</w:t>
            </w:r>
          </w:p>
        </w:tc>
        <w:tc>
          <w:tcPr>
            <w:tcW w:w="1527" w:type="dxa"/>
          </w:tcPr>
          <w:p w14:paraId="2079B7B6" w14:textId="77777777" w:rsidR="00DE6BFA" w:rsidRPr="00E02136" w:rsidRDefault="00DE6BFA" w:rsidP="00DE6BFA">
            <w:pPr>
              <w:spacing w:line="480" w:lineRule="auto"/>
              <w:rPr>
                <w:sz w:val="20"/>
                <w:szCs w:val="20"/>
              </w:rPr>
            </w:pPr>
            <w:r w:rsidRPr="00E02136">
              <w:rPr>
                <w:sz w:val="20"/>
                <w:szCs w:val="20"/>
              </w:rPr>
              <w:t>Stage 5</w:t>
            </w:r>
          </w:p>
        </w:tc>
        <w:tc>
          <w:tcPr>
            <w:tcW w:w="928" w:type="dxa"/>
          </w:tcPr>
          <w:p w14:paraId="788977F6" w14:textId="77777777" w:rsidR="00DE6BFA" w:rsidRPr="00E02136" w:rsidRDefault="00DE6BFA" w:rsidP="00DE6BFA">
            <w:pPr>
              <w:spacing w:line="480" w:lineRule="auto"/>
              <w:rPr>
                <w:sz w:val="20"/>
                <w:szCs w:val="20"/>
              </w:rPr>
            </w:pPr>
            <w:r w:rsidRPr="00E02136">
              <w:rPr>
                <w:sz w:val="20"/>
                <w:szCs w:val="20"/>
              </w:rPr>
              <w:t>Frequent</w:t>
            </w:r>
          </w:p>
        </w:tc>
        <w:tc>
          <w:tcPr>
            <w:tcW w:w="1286" w:type="dxa"/>
          </w:tcPr>
          <w:p w14:paraId="4CCC1712" w14:textId="48DB6AD6" w:rsidR="00DE6BFA" w:rsidRPr="00E02136" w:rsidRDefault="00DE6BFA" w:rsidP="00DE6BFA">
            <w:pPr>
              <w:spacing w:line="480" w:lineRule="auto"/>
              <w:rPr>
                <w:sz w:val="20"/>
                <w:szCs w:val="20"/>
              </w:rPr>
            </w:pPr>
            <w:r w:rsidRPr="00E02136">
              <w:rPr>
                <w:sz w:val="20"/>
                <w:szCs w:val="20"/>
              </w:rPr>
              <w:t>Mild (CA1/</w:t>
            </w:r>
            <w:proofErr w:type="gramStart"/>
            <w:r w:rsidRPr="00E02136">
              <w:rPr>
                <w:sz w:val="20"/>
                <w:szCs w:val="20"/>
              </w:rPr>
              <w:t>subiculum)</w:t>
            </w:r>
            <w:r w:rsidR="00431359">
              <w:rPr>
                <w:sz w:val="20"/>
                <w:szCs w:val="20"/>
              </w:rPr>
              <w:t>*</w:t>
            </w:r>
            <w:proofErr w:type="gramEnd"/>
            <w:r w:rsidR="00431359">
              <w:rPr>
                <w:sz w:val="20"/>
                <w:szCs w:val="20"/>
              </w:rPr>
              <w:t>*</w:t>
            </w:r>
          </w:p>
        </w:tc>
        <w:tc>
          <w:tcPr>
            <w:tcW w:w="1435" w:type="dxa"/>
          </w:tcPr>
          <w:p w14:paraId="4C9DED5F" w14:textId="77777777" w:rsidR="00DE6BFA" w:rsidRPr="00E02136" w:rsidRDefault="00DE6BFA" w:rsidP="00DE6BFA">
            <w:pPr>
              <w:spacing w:line="480" w:lineRule="auto"/>
              <w:rPr>
                <w:sz w:val="20"/>
                <w:szCs w:val="20"/>
              </w:rPr>
            </w:pPr>
            <w:r>
              <w:rPr>
                <w:sz w:val="20"/>
                <w:szCs w:val="20"/>
              </w:rPr>
              <w:t>None</w:t>
            </w:r>
          </w:p>
        </w:tc>
        <w:tc>
          <w:tcPr>
            <w:tcW w:w="750" w:type="dxa"/>
          </w:tcPr>
          <w:p w14:paraId="61A83B90" w14:textId="77777777" w:rsidR="00DE6BFA" w:rsidRDefault="00DE6BFA" w:rsidP="00DE6BFA">
            <w:pPr>
              <w:spacing w:line="480" w:lineRule="auto"/>
              <w:rPr>
                <w:sz w:val="20"/>
                <w:szCs w:val="20"/>
              </w:rPr>
            </w:pPr>
            <w:r>
              <w:rPr>
                <w:sz w:val="20"/>
                <w:szCs w:val="20"/>
              </w:rPr>
              <w:t>Stage 0</w:t>
            </w:r>
          </w:p>
        </w:tc>
        <w:tc>
          <w:tcPr>
            <w:tcW w:w="828" w:type="dxa"/>
          </w:tcPr>
          <w:p w14:paraId="0E01EC4A" w14:textId="77777777" w:rsidR="00DE6BFA" w:rsidRDefault="00DE6BFA" w:rsidP="00DE6BFA">
            <w:pPr>
              <w:spacing w:line="480" w:lineRule="auto"/>
              <w:rPr>
                <w:sz w:val="20"/>
                <w:szCs w:val="20"/>
              </w:rPr>
            </w:pPr>
            <w:r>
              <w:rPr>
                <w:sz w:val="20"/>
                <w:szCs w:val="20"/>
              </w:rPr>
              <w:t>None</w:t>
            </w:r>
          </w:p>
        </w:tc>
        <w:tc>
          <w:tcPr>
            <w:tcW w:w="1283" w:type="dxa"/>
          </w:tcPr>
          <w:p w14:paraId="7AD298B6" w14:textId="77777777" w:rsidR="00DE6BFA" w:rsidRDefault="00DE6BFA" w:rsidP="00DE6BFA">
            <w:pPr>
              <w:spacing w:line="480" w:lineRule="auto"/>
              <w:rPr>
                <w:sz w:val="20"/>
                <w:szCs w:val="20"/>
              </w:rPr>
            </w:pPr>
            <w:r>
              <w:rPr>
                <w:sz w:val="20"/>
                <w:szCs w:val="20"/>
              </w:rPr>
              <w:t>Chronic microinfarcts with gliosis*</w:t>
            </w:r>
          </w:p>
        </w:tc>
      </w:tr>
      <w:tr w:rsidR="00DE6BFA" w14:paraId="2DA44DA4" w14:textId="77777777" w:rsidTr="00DE6BFA">
        <w:trPr>
          <w:trHeight w:val="2370"/>
        </w:trPr>
        <w:tc>
          <w:tcPr>
            <w:tcW w:w="827" w:type="dxa"/>
          </w:tcPr>
          <w:p w14:paraId="46594E65" w14:textId="77777777" w:rsidR="00DE6BFA" w:rsidRPr="00E02136" w:rsidRDefault="00DE6BFA" w:rsidP="00DE6BFA">
            <w:pPr>
              <w:spacing w:line="480" w:lineRule="auto"/>
              <w:rPr>
                <w:sz w:val="20"/>
                <w:szCs w:val="20"/>
              </w:rPr>
            </w:pPr>
            <w:r>
              <w:rPr>
                <w:sz w:val="20"/>
                <w:szCs w:val="20"/>
              </w:rPr>
              <w:t>2</w:t>
            </w:r>
          </w:p>
        </w:tc>
        <w:tc>
          <w:tcPr>
            <w:tcW w:w="1227" w:type="dxa"/>
          </w:tcPr>
          <w:p w14:paraId="6B215D05" w14:textId="77777777" w:rsidR="00DE6BFA" w:rsidRPr="00E02136" w:rsidRDefault="00DE6BFA" w:rsidP="00DE6BFA">
            <w:pPr>
              <w:spacing w:line="480" w:lineRule="auto"/>
              <w:rPr>
                <w:sz w:val="20"/>
                <w:szCs w:val="20"/>
              </w:rPr>
            </w:pPr>
            <w:r w:rsidRPr="00E02136">
              <w:rPr>
                <w:sz w:val="20"/>
                <w:szCs w:val="20"/>
              </w:rPr>
              <w:t>High (A3, B3, C3)</w:t>
            </w:r>
          </w:p>
        </w:tc>
        <w:tc>
          <w:tcPr>
            <w:tcW w:w="950" w:type="dxa"/>
          </w:tcPr>
          <w:p w14:paraId="79FA6AF8" w14:textId="77777777" w:rsidR="00DE6BFA" w:rsidRPr="00E02136" w:rsidRDefault="00DE6BFA" w:rsidP="00DE6BFA">
            <w:pPr>
              <w:spacing w:line="480" w:lineRule="auto"/>
              <w:rPr>
                <w:sz w:val="20"/>
                <w:szCs w:val="20"/>
              </w:rPr>
            </w:pPr>
            <w:r w:rsidRPr="00E02136">
              <w:rPr>
                <w:sz w:val="20"/>
                <w:szCs w:val="20"/>
              </w:rPr>
              <w:t>Phase 5</w:t>
            </w:r>
          </w:p>
        </w:tc>
        <w:tc>
          <w:tcPr>
            <w:tcW w:w="1527" w:type="dxa"/>
          </w:tcPr>
          <w:p w14:paraId="16E6AA80" w14:textId="77777777" w:rsidR="00DE6BFA" w:rsidRPr="00E02136" w:rsidRDefault="00DE6BFA" w:rsidP="00DE6BFA">
            <w:pPr>
              <w:spacing w:line="480" w:lineRule="auto"/>
              <w:rPr>
                <w:sz w:val="20"/>
                <w:szCs w:val="20"/>
              </w:rPr>
            </w:pPr>
            <w:r w:rsidRPr="00E02136">
              <w:rPr>
                <w:sz w:val="20"/>
                <w:szCs w:val="20"/>
              </w:rPr>
              <w:t>Stage 6</w:t>
            </w:r>
          </w:p>
        </w:tc>
        <w:tc>
          <w:tcPr>
            <w:tcW w:w="928" w:type="dxa"/>
          </w:tcPr>
          <w:p w14:paraId="2A27B476" w14:textId="77777777" w:rsidR="00DE6BFA" w:rsidRPr="00E02136" w:rsidRDefault="00DE6BFA" w:rsidP="00DE6BFA">
            <w:pPr>
              <w:spacing w:line="480" w:lineRule="auto"/>
              <w:rPr>
                <w:sz w:val="20"/>
                <w:szCs w:val="20"/>
              </w:rPr>
            </w:pPr>
            <w:r w:rsidRPr="00E02136">
              <w:rPr>
                <w:sz w:val="20"/>
                <w:szCs w:val="20"/>
              </w:rPr>
              <w:t>Frequent</w:t>
            </w:r>
          </w:p>
        </w:tc>
        <w:tc>
          <w:tcPr>
            <w:tcW w:w="1286" w:type="dxa"/>
          </w:tcPr>
          <w:p w14:paraId="5042E30A" w14:textId="6C29A6F2" w:rsidR="00DE6BFA" w:rsidRPr="00E02136" w:rsidRDefault="00DE6BFA" w:rsidP="00DE6BFA">
            <w:pPr>
              <w:spacing w:line="480" w:lineRule="auto"/>
              <w:rPr>
                <w:sz w:val="20"/>
                <w:szCs w:val="20"/>
              </w:rPr>
            </w:pPr>
            <w:r w:rsidRPr="00E02136">
              <w:rPr>
                <w:sz w:val="20"/>
                <w:szCs w:val="20"/>
              </w:rPr>
              <w:t xml:space="preserve">Moderate (frontal, temporal, parietal, </w:t>
            </w:r>
            <w:proofErr w:type="gramStart"/>
            <w:r w:rsidRPr="00E02136">
              <w:rPr>
                <w:sz w:val="20"/>
                <w:szCs w:val="20"/>
              </w:rPr>
              <w:t>cerebellum)</w:t>
            </w:r>
            <w:r w:rsidR="00431359">
              <w:rPr>
                <w:sz w:val="20"/>
                <w:szCs w:val="20"/>
              </w:rPr>
              <w:t>*</w:t>
            </w:r>
            <w:proofErr w:type="gramEnd"/>
            <w:r w:rsidR="00431359">
              <w:rPr>
                <w:sz w:val="20"/>
                <w:szCs w:val="20"/>
              </w:rPr>
              <w:t>*</w:t>
            </w:r>
          </w:p>
        </w:tc>
        <w:tc>
          <w:tcPr>
            <w:tcW w:w="1435" w:type="dxa"/>
          </w:tcPr>
          <w:p w14:paraId="310CDE1C" w14:textId="77777777" w:rsidR="00DE6BFA" w:rsidRPr="00E02136" w:rsidRDefault="00DE6BFA" w:rsidP="00DE6BFA">
            <w:pPr>
              <w:spacing w:line="480" w:lineRule="auto"/>
              <w:rPr>
                <w:sz w:val="20"/>
                <w:szCs w:val="20"/>
              </w:rPr>
            </w:pPr>
            <w:r>
              <w:rPr>
                <w:sz w:val="20"/>
                <w:szCs w:val="20"/>
              </w:rPr>
              <w:t>Diffuse neocortical</w:t>
            </w:r>
          </w:p>
        </w:tc>
        <w:tc>
          <w:tcPr>
            <w:tcW w:w="750" w:type="dxa"/>
          </w:tcPr>
          <w:p w14:paraId="55B1AC17" w14:textId="77777777" w:rsidR="00DE6BFA" w:rsidRDefault="00DE6BFA" w:rsidP="00DE6BFA">
            <w:pPr>
              <w:spacing w:line="480" w:lineRule="auto"/>
              <w:rPr>
                <w:sz w:val="20"/>
                <w:szCs w:val="20"/>
              </w:rPr>
            </w:pPr>
            <w:r>
              <w:rPr>
                <w:sz w:val="20"/>
                <w:szCs w:val="20"/>
              </w:rPr>
              <w:t>Stage 6</w:t>
            </w:r>
          </w:p>
        </w:tc>
        <w:tc>
          <w:tcPr>
            <w:tcW w:w="828" w:type="dxa"/>
          </w:tcPr>
          <w:p w14:paraId="1C23D8FB" w14:textId="77777777" w:rsidR="00DE6BFA" w:rsidRDefault="00DE6BFA" w:rsidP="00DE6BFA">
            <w:pPr>
              <w:spacing w:line="480" w:lineRule="auto"/>
              <w:rPr>
                <w:sz w:val="20"/>
                <w:szCs w:val="20"/>
              </w:rPr>
            </w:pPr>
            <w:r>
              <w:rPr>
                <w:sz w:val="20"/>
                <w:szCs w:val="20"/>
              </w:rPr>
              <w:t>Stage 1</w:t>
            </w:r>
          </w:p>
        </w:tc>
        <w:tc>
          <w:tcPr>
            <w:tcW w:w="1283" w:type="dxa"/>
          </w:tcPr>
          <w:p w14:paraId="2647DADE" w14:textId="77777777" w:rsidR="00DE6BFA" w:rsidRDefault="00DE6BFA" w:rsidP="00DE6BFA">
            <w:pPr>
              <w:spacing w:line="480" w:lineRule="auto"/>
              <w:rPr>
                <w:sz w:val="20"/>
                <w:szCs w:val="20"/>
              </w:rPr>
            </w:pPr>
            <w:r>
              <w:rPr>
                <w:sz w:val="20"/>
                <w:szCs w:val="20"/>
              </w:rPr>
              <w:t>absent</w:t>
            </w:r>
          </w:p>
        </w:tc>
      </w:tr>
    </w:tbl>
    <w:p w14:paraId="3FFF8071" w14:textId="77777777" w:rsidR="00AB00B6" w:rsidRDefault="00AB00B6" w:rsidP="006B530D">
      <w:pPr>
        <w:spacing w:line="480" w:lineRule="auto"/>
      </w:pPr>
    </w:p>
    <w:p w14:paraId="3896D8BB" w14:textId="56A2CC88" w:rsidR="00246AFD" w:rsidRPr="00431359" w:rsidRDefault="0067211A" w:rsidP="006B530D">
      <w:pPr>
        <w:spacing w:line="480" w:lineRule="auto"/>
        <w:rPr>
          <w:sz w:val="20"/>
          <w:szCs w:val="20"/>
        </w:rPr>
      </w:pPr>
      <w:r w:rsidRPr="00431359">
        <w:rPr>
          <w:sz w:val="20"/>
          <w:szCs w:val="20"/>
        </w:rPr>
        <w:t xml:space="preserve">* </w:t>
      </w:r>
      <w:proofErr w:type="gramStart"/>
      <w:r w:rsidRPr="00431359">
        <w:rPr>
          <w:sz w:val="20"/>
          <w:szCs w:val="20"/>
        </w:rPr>
        <w:t>involving</w:t>
      </w:r>
      <w:proofErr w:type="gramEnd"/>
      <w:r w:rsidRPr="00431359">
        <w:rPr>
          <w:sz w:val="20"/>
          <w:szCs w:val="20"/>
        </w:rPr>
        <w:t xml:space="preserve"> subcortical white matter and deep gray nuclei</w:t>
      </w:r>
    </w:p>
    <w:p w14:paraId="7E63F455" w14:textId="6B6695EE" w:rsidR="00246AFD" w:rsidRPr="00431359" w:rsidRDefault="00431359" w:rsidP="006B530D">
      <w:pPr>
        <w:spacing w:line="480" w:lineRule="auto"/>
        <w:rPr>
          <w:sz w:val="20"/>
          <w:szCs w:val="20"/>
        </w:rPr>
      </w:pPr>
      <w:r w:rsidRPr="00431359">
        <w:rPr>
          <w:sz w:val="20"/>
          <w:szCs w:val="20"/>
        </w:rPr>
        <w:t>**</w:t>
      </w:r>
      <w:r>
        <w:rPr>
          <w:sz w:val="20"/>
          <w:szCs w:val="20"/>
        </w:rPr>
        <w:t xml:space="preserve"> </w:t>
      </w:r>
      <w:r w:rsidRPr="00431359">
        <w:rPr>
          <w:sz w:val="20"/>
          <w:szCs w:val="20"/>
        </w:rPr>
        <w:t xml:space="preserve">capillary CAA </w:t>
      </w:r>
      <w:proofErr w:type="gramStart"/>
      <w:r w:rsidRPr="00431359">
        <w:rPr>
          <w:sz w:val="20"/>
          <w:szCs w:val="20"/>
        </w:rPr>
        <w:t>not present</w:t>
      </w:r>
      <w:proofErr w:type="gramEnd"/>
    </w:p>
    <w:p w14:paraId="3457F425" w14:textId="13436200" w:rsidR="00AB00B6" w:rsidRDefault="00AB00B6" w:rsidP="006B530D">
      <w:pPr>
        <w:spacing w:line="480" w:lineRule="auto"/>
      </w:pPr>
    </w:p>
    <w:p w14:paraId="1B13502D" w14:textId="4EF78E56" w:rsidR="00DE6BFA" w:rsidRDefault="00DE6BFA" w:rsidP="006B530D">
      <w:pPr>
        <w:spacing w:line="480" w:lineRule="auto"/>
      </w:pPr>
    </w:p>
    <w:p w14:paraId="0A1C57BB" w14:textId="7C5E5647" w:rsidR="00DE6BFA" w:rsidRDefault="00DE6BFA" w:rsidP="006B530D">
      <w:pPr>
        <w:spacing w:line="480" w:lineRule="auto"/>
      </w:pPr>
    </w:p>
    <w:p w14:paraId="4A20EE95" w14:textId="5EFF778A" w:rsidR="00DE6BFA" w:rsidRDefault="00DE6BFA" w:rsidP="006B530D">
      <w:pPr>
        <w:spacing w:line="480" w:lineRule="auto"/>
      </w:pPr>
    </w:p>
    <w:tbl>
      <w:tblPr>
        <w:tblW w:w="8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16"/>
      </w:tblGrid>
      <w:tr w:rsidR="00431359" w14:paraId="59441DF5" w14:textId="77777777" w:rsidTr="00431359">
        <w:trPr>
          <w:trHeight w:val="221"/>
        </w:trPr>
        <w:tc>
          <w:tcPr>
            <w:tcW w:w="8616" w:type="dxa"/>
            <w:vAlign w:val="bottom"/>
          </w:tcPr>
          <w:p w14:paraId="7C0B518A" w14:textId="2E6A400C" w:rsidR="00431359" w:rsidRPr="00431359" w:rsidRDefault="00431359" w:rsidP="008D1161">
            <w:pPr>
              <w:rPr>
                <w:rFonts w:ascii="Arial" w:hAnsi="Arial" w:cs="Arial"/>
                <w:b/>
                <w:bCs/>
                <w:sz w:val="20"/>
                <w:szCs w:val="20"/>
              </w:rPr>
            </w:pPr>
            <w:r w:rsidRPr="00431359">
              <w:rPr>
                <w:rFonts w:ascii="Arial" w:hAnsi="Arial" w:cs="Arial"/>
                <w:b/>
                <w:bCs/>
                <w:sz w:val="20"/>
                <w:szCs w:val="20"/>
              </w:rPr>
              <w:lastRenderedPageBreak/>
              <w:t>REGIONS EXAMINED</w:t>
            </w:r>
          </w:p>
        </w:tc>
      </w:tr>
      <w:tr w:rsidR="00431359" w14:paraId="2D61AA92" w14:textId="77777777" w:rsidTr="00431359">
        <w:trPr>
          <w:trHeight w:val="221"/>
        </w:trPr>
        <w:tc>
          <w:tcPr>
            <w:tcW w:w="8616" w:type="dxa"/>
            <w:vAlign w:val="bottom"/>
          </w:tcPr>
          <w:p w14:paraId="6B581670" w14:textId="77777777" w:rsidR="00431359" w:rsidRDefault="00431359" w:rsidP="008D1161">
            <w:pPr>
              <w:rPr>
                <w:rFonts w:ascii="Arial" w:hAnsi="Arial" w:cs="Arial"/>
                <w:sz w:val="20"/>
                <w:szCs w:val="20"/>
              </w:rPr>
            </w:pPr>
            <w:r>
              <w:rPr>
                <w:rFonts w:ascii="Arial" w:hAnsi="Arial" w:cs="Arial"/>
                <w:sz w:val="20"/>
                <w:szCs w:val="20"/>
              </w:rPr>
              <w:t>Frontal pole</w:t>
            </w:r>
          </w:p>
        </w:tc>
      </w:tr>
      <w:tr w:rsidR="00431359" w14:paraId="2B968F17" w14:textId="77777777" w:rsidTr="00431359">
        <w:trPr>
          <w:trHeight w:val="221"/>
        </w:trPr>
        <w:tc>
          <w:tcPr>
            <w:tcW w:w="8616" w:type="dxa"/>
            <w:vAlign w:val="bottom"/>
          </w:tcPr>
          <w:p w14:paraId="16D95B77" w14:textId="77777777" w:rsidR="00431359" w:rsidRDefault="00431359" w:rsidP="008D1161">
            <w:pPr>
              <w:rPr>
                <w:rFonts w:ascii="Arial" w:hAnsi="Arial" w:cs="Arial"/>
                <w:sz w:val="20"/>
                <w:szCs w:val="20"/>
              </w:rPr>
            </w:pPr>
            <w:r>
              <w:rPr>
                <w:rFonts w:ascii="Arial" w:hAnsi="Arial" w:cs="Arial"/>
                <w:sz w:val="20"/>
                <w:szCs w:val="20"/>
              </w:rPr>
              <w:t>Anterior orbital gyrus</w:t>
            </w:r>
          </w:p>
        </w:tc>
      </w:tr>
      <w:tr w:rsidR="00431359" w14:paraId="6C7BB98F" w14:textId="77777777" w:rsidTr="00431359">
        <w:trPr>
          <w:trHeight w:val="221"/>
        </w:trPr>
        <w:tc>
          <w:tcPr>
            <w:tcW w:w="8616" w:type="dxa"/>
            <w:vAlign w:val="bottom"/>
          </w:tcPr>
          <w:p w14:paraId="49FC3B4C" w14:textId="77777777" w:rsidR="00431359" w:rsidRDefault="00431359" w:rsidP="008D1161">
            <w:pPr>
              <w:rPr>
                <w:rFonts w:ascii="Arial" w:hAnsi="Arial" w:cs="Arial"/>
                <w:sz w:val="20"/>
                <w:szCs w:val="20"/>
              </w:rPr>
            </w:pPr>
            <w:r>
              <w:rPr>
                <w:rFonts w:ascii="Arial" w:hAnsi="Arial" w:cs="Arial"/>
                <w:sz w:val="20"/>
                <w:szCs w:val="20"/>
              </w:rPr>
              <w:t>Anterior cingulate cortex</w:t>
            </w:r>
          </w:p>
        </w:tc>
      </w:tr>
      <w:tr w:rsidR="00431359" w14:paraId="1C2F3D1C" w14:textId="77777777" w:rsidTr="00431359">
        <w:trPr>
          <w:trHeight w:val="221"/>
        </w:trPr>
        <w:tc>
          <w:tcPr>
            <w:tcW w:w="8616" w:type="dxa"/>
            <w:vAlign w:val="bottom"/>
          </w:tcPr>
          <w:p w14:paraId="618A92D1" w14:textId="77777777" w:rsidR="00431359" w:rsidRDefault="00431359" w:rsidP="008D1161">
            <w:pPr>
              <w:rPr>
                <w:rFonts w:ascii="Arial" w:hAnsi="Arial" w:cs="Arial"/>
                <w:sz w:val="20"/>
                <w:szCs w:val="20"/>
              </w:rPr>
            </w:pPr>
            <w:r>
              <w:rPr>
                <w:rFonts w:ascii="Arial" w:hAnsi="Arial" w:cs="Arial"/>
                <w:sz w:val="20"/>
                <w:szCs w:val="20"/>
              </w:rPr>
              <w:t>Middle frontal gyrus</w:t>
            </w:r>
          </w:p>
        </w:tc>
      </w:tr>
      <w:tr w:rsidR="00431359" w14:paraId="79C8010C" w14:textId="77777777" w:rsidTr="00431359">
        <w:trPr>
          <w:trHeight w:val="221"/>
        </w:trPr>
        <w:tc>
          <w:tcPr>
            <w:tcW w:w="8616" w:type="dxa"/>
            <w:vAlign w:val="bottom"/>
          </w:tcPr>
          <w:p w14:paraId="5B482533" w14:textId="77777777" w:rsidR="00431359" w:rsidRDefault="00431359" w:rsidP="008D1161">
            <w:pPr>
              <w:rPr>
                <w:rFonts w:ascii="Arial" w:hAnsi="Arial" w:cs="Arial"/>
                <w:sz w:val="20"/>
                <w:szCs w:val="20"/>
              </w:rPr>
            </w:pPr>
            <w:r>
              <w:rPr>
                <w:rFonts w:ascii="Arial" w:hAnsi="Arial" w:cs="Arial"/>
                <w:sz w:val="20"/>
                <w:szCs w:val="20"/>
              </w:rPr>
              <w:t xml:space="preserve">Inferior frontal gyrus, pars </w:t>
            </w:r>
            <w:proofErr w:type="spellStart"/>
            <w:r>
              <w:rPr>
                <w:rFonts w:ascii="Arial" w:hAnsi="Arial" w:cs="Arial"/>
                <w:sz w:val="20"/>
                <w:szCs w:val="20"/>
              </w:rPr>
              <w:t>opercularis</w:t>
            </w:r>
            <w:proofErr w:type="spellEnd"/>
          </w:p>
        </w:tc>
      </w:tr>
      <w:tr w:rsidR="00431359" w14:paraId="25938207" w14:textId="77777777" w:rsidTr="00431359">
        <w:trPr>
          <w:trHeight w:val="221"/>
        </w:trPr>
        <w:tc>
          <w:tcPr>
            <w:tcW w:w="8616" w:type="dxa"/>
            <w:vAlign w:val="bottom"/>
          </w:tcPr>
          <w:p w14:paraId="08DD1C4E" w14:textId="77777777" w:rsidR="00431359" w:rsidRDefault="00431359" w:rsidP="008D1161">
            <w:pPr>
              <w:rPr>
                <w:rFonts w:ascii="Arial" w:hAnsi="Arial" w:cs="Arial"/>
                <w:sz w:val="20"/>
                <w:szCs w:val="20"/>
              </w:rPr>
            </w:pPr>
            <w:proofErr w:type="spellStart"/>
            <w:r>
              <w:rPr>
                <w:rFonts w:ascii="Arial" w:hAnsi="Arial" w:cs="Arial"/>
                <w:sz w:val="20"/>
                <w:szCs w:val="20"/>
              </w:rPr>
              <w:t>Subgenual</w:t>
            </w:r>
            <w:proofErr w:type="spellEnd"/>
            <w:r>
              <w:rPr>
                <w:rFonts w:ascii="Arial" w:hAnsi="Arial" w:cs="Arial"/>
                <w:sz w:val="20"/>
                <w:szCs w:val="20"/>
              </w:rPr>
              <w:t xml:space="preserve"> cingulate cortex</w:t>
            </w:r>
          </w:p>
        </w:tc>
      </w:tr>
      <w:tr w:rsidR="00431359" w14:paraId="6170EB4D" w14:textId="77777777" w:rsidTr="00431359">
        <w:trPr>
          <w:trHeight w:val="221"/>
        </w:trPr>
        <w:tc>
          <w:tcPr>
            <w:tcW w:w="8616" w:type="dxa"/>
            <w:vAlign w:val="bottom"/>
          </w:tcPr>
          <w:p w14:paraId="26F00808" w14:textId="77777777" w:rsidR="00431359" w:rsidRDefault="00431359" w:rsidP="008D1161">
            <w:pPr>
              <w:rPr>
                <w:rFonts w:ascii="Arial" w:hAnsi="Arial" w:cs="Arial"/>
                <w:sz w:val="20"/>
                <w:szCs w:val="20"/>
              </w:rPr>
            </w:pPr>
            <w:r>
              <w:rPr>
                <w:rFonts w:ascii="Arial" w:hAnsi="Arial" w:cs="Arial"/>
                <w:sz w:val="20"/>
                <w:szCs w:val="20"/>
              </w:rPr>
              <w:t>Precentral gyrus</w:t>
            </w:r>
          </w:p>
        </w:tc>
      </w:tr>
      <w:tr w:rsidR="00431359" w14:paraId="4B0E9B9D" w14:textId="77777777" w:rsidTr="00431359">
        <w:trPr>
          <w:trHeight w:val="221"/>
        </w:trPr>
        <w:tc>
          <w:tcPr>
            <w:tcW w:w="8616" w:type="dxa"/>
            <w:vAlign w:val="bottom"/>
          </w:tcPr>
          <w:p w14:paraId="43FFE55B" w14:textId="77777777" w:rsidR="00431359" w:rsidRDefault="00431359" w:rsidP="008D1161">
            <w:pPr>
              <w:rPr>
                <w:rFonts w:ascii="Arial" w:hAnsi="Arial" w:cs="Arial"/>
                <w:sz w:val="20"/>
                <w:szCs w:val="20"/>
              </w:rPr>
            </w:pPr>
            <w:r>
              <w:rPr>
                <w:rFonts w:ascii="Arial" w:hAnsi="Arial" w:cs="Arial"/>
                <w:sz w:val="20"/>
                <w:szCs w:val="20"/>
              </w:rPr>
              <w:t>Superior frontal sulcus</w:t>
            </w:r>
          </w:p>
        </w:tc>
      </w:tr>
      <w:tr w:rsidR="00431359" w14:paraId="3C3AF723" w14:textId="77777777" w:rsidTr="00431359">
        <w:trPr>
          <w:trHeight w:val="221"/>
        </w:trPr>
        <w:tc>
          <w:tcPr>
            <w:tcW w:w="8616" w:type="dxa"/>
            <w:vAlign w:val="bottom"/>
          </w:tcPr>
          <w:p w14:paraId="0A74C1C9" w14:textId="77777777" w:rsidR="00431359" w:rsidRDefault="00431359" w:rsidP="008D1161">
            <w:pPr>
              <w:rPr>
                <w:rFonts w:ascii="Arial" w:hAnsi="Arial" w:cs="Arial"/>
                <w:sz w:val="20"/>
                <w:szCs w:val="20"/>
              </w:rPr>
            </w:pPr>
            <w:r>
              <w:rPr>
                <w:rFonts w:ascii="Arial" w:hAnsi="Arial" w:cs="Arial"/>
                <w:sz w:val="20"/>
                <w:szCs w:val="20"/>
              </w:rPr>
              <w:t>Middle insula</w:t>
            </w:r>
          </w:p>
        </w:tc>
      </w:tr>
      <w:tr w:rsidR="00431359" w14:paraId="3DBA8B70" w14:textId="77777777" w:rsidTr="00431359">
        <w:trPr>
          <w:trHeight w:val="221"/>
        </w:trPr>
        <w:tc>
          <w:tcPr>
            <w:tcW w:w="8616" w:type="dxa"/>
            <w:vAlign w:val="bottom"/>
          </w:tcPr>
          <w:p w14:paraId="3D27DF9E" w14:textId="77777777" w:rsidR="00431359" w:rsidRDefault="00431359" w:rsidP="008D1161">
            <w:pPr>
              <w:rPr>
                <w:rFonts w:ascii="Arial" w:hAnsi="Arial" w:cs="Arial"/>
                <w:sz w:val="20"/>
                <w:szCs w:val="20"/>
              </w:rPr>
            </w:pPr>
            <w:r>
              <w:rPr>
                <w:rFonts w:ascii="Arial" w:hAnsi="Arial" w:cs="Arial"/>
                <w:sz w:val="20"/>
                <w:szCs w:val="20"/>
              </w:rPr>
              <w:t>Entorhinal cortex</w:t>
            </w:r>
          </w:p>
        </w:tc>
      </w:tr>
      <w:tr w:rsidR="00431359" w14:paraId="3E43BE05" w14:textId="77777777" w:rsidTr="00431359">
        <w:trPr>
          <w:trHeight w:val="221"/>
        </w:trPr>
        <w:tc>
          <w:tcPr>
            <w:tcW w:w="8616" w:type="dxa"/>
            <w:vAlign w:val="bottom"/>
          </w:tcPr>
          <w:p w14:paraId="388415C3" w14:textId="77777777" w:rsidR="00431359" w:rsidRDefault="00431359" w:rsidP="008D1161">
            <w:pPr>
              <w:rPr>
                <w:rFonts w:ascii="Arial" w:hAnsi="Arial" w:cs="Arial"/>
                <w:sz w:val="20"/>
                <w:szCs w:val="20"/>
              </w:rPr>
            </w:pPr>
            <w:r>
              <w:rPr>
                <w:rFonts w:ascii="Arial" w:hAnsi="Arial" w:cs="Arial"/>
                <w:sz w:val="20"/>
                <w:szCs w:val="20"/>
              </w:rPr>
              <w:t>Inferior temporal gyrus</w:t>
            </w:r>
          </w:p>
        </w:tc>
      </w:tr>
      <w:tr w:rsidR="00431359" w14:paraId="1B6B2B68" w14:textId="77777777" w:rsidTr="00431359">
        <w:trPr>
          <w:trHeight w:val="221"/>
        </w:trPr>
        <w:tc>
          <w:tcPr>
            <w:tcW w:w="8616" w:type="dxa"/>
            <w:vAlign w:val="bottom"/>
          </w:tcPr>
          <w:p w14:paraId="47DD9A09" w14:textId="77777777" w:rsidR="00431359" w:rsidRDefault="00431359" w:rsidP="008D1161">
            <w:pPr>
              <w:rPr>
                <w:rFonts w:ascii="Arial" w:hAnsi="Arial" w:cs="Arial"/>
                <w:sz w:val="20"/>
                <w:szCs w:val="20"/>
              </w:rPr>
            </w:pPr>
            <w:r>
              <w:rPr>
                <w:rFonts w:ascii="Arial" w:hAnsi="Arial" w:cs="Arial"/>
                <w:sz w:val="20"/>
                <w:szCs w:val="20"/>
              </w:rPr>
              <w:t>Superior/middle temporal gyrus</w:t>
            </w:r>
          </w:p>
        </w:tc>
      </w:tr>
      <w:tr w:rsidR="00431359" w14:paraId="62591AAC" w14:textId="77777777" w:rsidTr="00431359">
        <w:trPr>
          <w:trHeight w:val="221"/>
        </w:trPr>
        <w:tc>
          <w:tcPr>
            <w:tcW w:w="8616" w:type="dxa"/>
            <w:vAlign w:val="bottom"/>
          </w:tcPr>
          <w:p w14:paraId="796CE9FA" w14:textId="77777777" w:rsidR="00431359" w:rsidRDefault="00431359" w:rsidP="008D1161">
            <w:pPr>
              <w:rPr>
                <w:rFonts w:ascii="Arial" w:hAnsi="Arial" w:cs="Arial"/>
                <w:sz w:val="20"/>
                <w:szCs w:val="20"/>
              </w:rPr>
            </w:pPr>
            <w:r>
              <w:rPr>
                <w:rFonts w:ascii="Arial" w:hAnsi="Arial" w:cs="Arial"/>
                <w:sz w:val="20"/>
                <w:szCs w:val="20"/>
              </w:rPr>
              <w:t>Postcentral gyrus</w:t>
            </w:r>
          </w:p>
        </w:tc>
      </w:tr>
      <w:tr w:rsidR="00431359" w14:paraId="1D05696D" w14:textId="77777777" w:rsidTr="00431359">
        <w:trPr>
          <w:trHeight w:val="221"/>
        </w:trPr>
        <w:tc>
          <w:tcPr>
            <w:tcW w:w="8616" w:type="dxa"/>
            <w:vAlign w:val="bottom"/>
          </w:tcPr>
          <w:p w14:paraId="0F612642" w14:textId="77777777" w:rsidR="00431359" w:rsidRDefault="00431359" w:rsidP="008D1161">
            <w:pPr>
              <w:rPr>
                <w:rFonts w:ascii="Arial" w:hAnsi="Arial" w:cs="Arial"/>
                <w:sz w:val="20"/>
                <w:szCs w:val="20"/>
              </w:rPr>
            </w:pPr>
            <w:r>
              <w:rPr>
                <w:rFonts w:ascii="Arial" w:hAnsi="Arial" w:cs="Arial"/>
                <w:sz w:val="20"/>
                <w:szCs w:val="20"/>
              </w:rPr>
              <w:t>Posterior cingulate cortex</w:t>
            </w:r>
          </w:p>
        </w:tc>
      </w:tr>
      <w:tr w:rsidR="00431359" w14:paraId="6517C528" w14:textId="77777777" w:rsidTr="00431359">
        <w:trPr>
          <w:trHeight w:val="221"/>
        </w:trPr>
        <w:tc>
          <w:tcPr>
            <w:tcW w:w="8616" w:type="dxa"/>
            <w:vAlign w:val="bottom"/>
          </w:tcPr>
          <w:p w14:paraId="73AA3DF5" w14:textId="77777777" w:rsidR="00431359" w:rsidRDefault="00431359" w:rsidP="008D1161">
            <w:pPr>
              <w:rPr>
                <w:rFonts w:ascii="Arial" w:hAnsi="Arial" w:cs="Arial"/>
                <w:sz w:val="20"/>
                <w:szCs w:val="20"/>
              </w:rPr>
            </w:pPr>
            <w:r>
              <w:rPr>
                <w:rFonts w:ascii="Arial" w:hAnsi="Arial" w:cs="Arial"/>
                <w:sz w:val="20"/>
                <w:szCs w:val="20"/>
              </w:rPr>
              <w:t>Angular Gyrus</w:t>
            </w:r>
          </w:p>
        </w:tc>
      </w:tr>
      <w:tr w:rsidR="00431359" w14:paraId="256024B3" w14:textId="77777777" w:rsidTr="00431359">
        <w:trPr>
          <w:trHeight w:val="221"/>
        </w:trPr>
        <w:tc>
          <w:tcPr>
            <w:tcW w:w="8616" w:type="dxa"/>
            <w:vAlign w:val="bottom"/>
          </w:tcPr>
          <w:p w14:paraId="5BF371C3" w14:textId="77777777" w:rsidR="00431359" w:rsidRDefault="00431359" w:rsidP="008D1161">
            <w:pPr>
              <w:rPr>
                <w:rFonts w:ascii="Arial" w:hAnsi="Arial" w:cs="Arial"/>
                <w:sz w:val="20"/>
                <w:szCs w:val="20"/>
              </w:rPr>
            </w:pPr>
            <w:r>
              <w:rPr>
                <w:rFonts w:ascii="Arial" w:hAnsi="Arial" w:cs="Arial"/>
                <w:sz w:val="20"/>
                <w:szCs w:val="20"/>
              </w:rPr>
              <w:t>Striate cortex</w:t>
            </w:r>
          </w:p>
        </w:tc>
      </w:tr>
      <w:tr w:rsidR="00431359" w14:paraId="0AF0992B" w14:textId="77777777" w:rsidTr="00431359">
        <w:trPr>
          <w:trHeight w:val="221"/>
        </w:trPr>
        <w:tc>
          <w:tcPr>
            <w:tcW w:w="8616" w:type="dxa"/>
            <w:vAlign w:val="bottom"/>
          </w:tcPr>
          <w:p w14:paraId="746CBF37" w14:textId="77777777" w:rsidR="00431359" w:rsidRDefault="00431359" w:rsidP="008D1161">
            <w:pPr>
              <w:rPr>
                <w:rFonts w:ascii="Arial" w:hAnsi="Arial" w:cs="Arial"/>
                <w:sz w:val="20"/>
                <w:szCs w:val="20"/>
              </w:rPr>
            </w:pPr>
            <w:r>
              <w:rPr>
                <w:rFonts w:ascii="Arial" w:hAnsi="Arial" w:cs="Arial"/>
                <w:sz w:val="20"/>
                <w:szCs w:val="20"/>
              </w:rPr>
              <w:t>Amygdala</w:t>
            </w:r>
          </w:p>
        </w:tc>
      </w:tr>
      <w:tr w:rsidR="00431359" w14:paraId="29658B7A" w14:textId="77777777" w:rsidTr="00431359">
        <w:trPr>
          <w:trHeight w:val="221"/>
        </w:trPr>
        <w:tc>
          <w:tcPr>
            <w:tcW w:w="8616" w:type="dxa"/>
            <w:vAlign w:val="bottom"/>
          </w:tcPr>
          <w:p w14:paraId="4B30C795" w14:textId="77777777" w:rsidR="00431359" w:rsidRDefault="00431359" w:rsidP="008D1161">
            <w:pPr>
              <w:rPr>
                <w:rFonts w:ascii="Arial" w:hAnsi="Arial" w:cs="Arial"/>
                <w:sz w:val="20"/>
                <w:szCs w:val="20"/>
              </w:rPr>
            </w:pPr>
            <w:r>
              <w:rPr>
                <w:rFonts w:ascii="Arial" w:hAnsi="Arial" w:cs="Arial"/>
                <w:sz w:val="20"/>
                <w:szCs w:val="20"/>
              </w:rPr>
              <w:t>Dentate gyrus</w:t>
            </w:r>
          </w:p>
        </w:tc>
      </w:tr>
      <w:tr w:rsidR="00431359" w14:paraId="3FC7CA96" w14:textId="77777777" w:rsidTr="00431359">
        <w:trPr>
          <w:trHeight w:val="221"/>
        </w:trPr>
        <w:tc>
          <w:tcPr>
            <w:tcW w:w="8616" w:type="dxa"/>
            <w:vAlign w:val="bottom"/>
          </w:tcPr>
          <w:p w14:paraId="37A493D3" w14:textId="77777777" w:rsidR="00431359" w:rsidRDefault="00431359" w:rsidP="008D1161">
            <w:pPr>
              <w:rPr>
                <w:rFonts w:ascii="Arial" w:hAnsi="Arial" w:cs="Arial"/>
                <w:sz w:val="20"/>
                <w:szCs w:val="20"/>
              </w:rPr>
            </w:pPr>
            <w:r>
              <w:rPr>
                <w:rFonts w:ascii="Arial" w:hAnsi="Arial" w:cs="Arial"/>
                <w:sz w:val="20"/>
                <w:szCs w:val="20"/>
              </w:rPr>
              <w:t>CA3-4</w:t>
            </w:r>
          </w:p>
        </w:tc>
      </w:tr>
      <w:tr w:rsidR="00431359" w14:paraId="0007A550" w14:textId="77777777" w:rsidTr="00431359">
        <w:trPr>
          <w:trHeight w:val="221"/>
        </w:trPr>
        <w:tc>
          <w:tcPr>
            <w:tcW w:w="8616" w:type="dxa"/>
            <w:vAlign w:val="bottom"/>
          </w:tcPr>
          <w:p w14:paraId="6EB3BA86" w14:textId="77777777" w:rsidR="00431359" w:rsidRDefault="00431359" w:rsidP="008D1161">
            <w:pPr>
              <w:rPr>
                <w:rFonts w:ascii="Arial" w:hAnsi="Arial" w:cs="Arial"/>
                <w:sz w:val="20"/>
                <w:szCs w:val="20"/>
              </w:rPr>
            </w:pPr>
            <w:r>
              <w:rPr>
                <w:rFonts w:ascii="Arial" w:hAnsi="Arial" w:cs="Arial"/>
                <w:sz w:val="20"/>
                <w:szCs w:val="20"/>
              </w:rPr>
              <w:t>CA2</w:t>
            </w:r>
          </w:p>
        </w:tc>
      </w:tr>
      <w:tr w:rsidR="00431359" w14:paraId="62E87E5B" w14:textId="77777777" w:rsidTr="00431359">
        <w:trPr>
          <w:trHeight w:val="221"/>
        </w:trPr>
        <w:tc>
          <w:tcPr>
            <w:tcW w:w="8616" w:type="dxa"/>
            <w:vAlign w:val="bottom"/>
          </w:tcPr>
          <w:p w14:paraId="405DA0A4" w14:textId="77777777" w:rsidR="00431359" w:rsidRDefault="00431359" w:rsidP="008D1161">
            <w:pPr>
              <w:rPr>
                <w:rFonts w:ascii="Arial" w:hAnsi="Arial" w:cs="Arial"/>
                <w:sz w:val="20"/>
                <w:szCs w:val="20"/>
              </w:rPr>
            </w:pPr>
            <w:r>
              <w:rPr>
                <w:rFonts w:ascii="Arial" w:hAnsi="Arial" w:cs="Arial"/>
                <w:sz w:val="20"/>
                <w:szCs w:val="20"/>
              </w:rPr>
              <w:t>CA1/Subiculum</w:t>
            </w:r>
          </w:p>
        </w:tc>
      </w:tr>
      <w:tr w:rsidR="00431359" w14:paraId="356A9953" w14:textId="77777777" w:rsidTr="00431359">
        <w:trPr>
          <w:trHeight w:val="221"/>
        </w:trPr>
        <w:tc>
          <w:tcPr>
            <w:tcW w:w="8616" w:type="dxa"/>
            <w:vAlign w:val="bottom"/>
          </w:tcPr>
          <w:p w14:paraId="0C445B2E" w14:textId="77777777" w:rsidR="00431359" w:rsidRDefault="00431359" w:rsidP="008D1161">
            <w:pPr>
              <w:rPr>
                <w:rFonts w:ascii="Arial" w:hAnsi="Arial" w:cs="Arial"/>
                <w:sz w:val="20"/>
                <w:szCs w:val="20"/>
              </w:rPr>
            </w:pPr>
            <w:r>
              <w:rPr>
                <w:rFonts w:ascii="Arial" w:hAnsi="Arial" w:cs="Arial"/>
                <w:sz w:val="20"/>
                <w:szCs w:val="20"/>
              </w:rPr>
              <w:t>Ventral striatum</w:t>
            </w:r>
          </w:p>
        </w:tc>
      </w:tr>
      <w:tr w:rsidR="00431359" w14:paraId="7FEDBBC9" w14:textId="77777777" w:rsidTr="00431359">
        <w:trPr>
          <w:trHeight w:val="221"/>
        </w:trPr>
        <w:tc>
          <w:tcPr>
            <w:tcW w:w="8616" w:type="dxa"/>
            <w:vAlign w:val="bottom"/>
          </w:tcPr>
          <w:p w14:paraId="5588E609" w14:textId="77777777" w:rsidR="00431359" w:rsidRDefault="00431359" w:rsidP="008D1161">
            <w:pPr>
              <w:rPr>
                <w:rFonts w:ascii="Arial" w:hAnsi="Arial" w:cs="Arial"/>
                <w:sz w:val="20"/>
                <w:szCs w:val="20"/>
              </w:rPr>
            </w:pPr>
            <w:r>
              <w:rPr>
                <w:rFonts w:ascii="Arial" w:hAnsi="Arial" w:cs="Arial"/>
                <w:sz w:val="20"/>
                <w:szCs w:val="20"/>
              </w:rPr>
              <w:t>Putamen</w:t>
            </w:r>
          </w:p>
        </w:tc>
      </w:tr>
      <w:tr w:rsidR="00431359" w14:paraId="596F79B2" w14:textId="77777777" w:rsidTr="00431359">
        <w:trPr>
          <w:trHeight w:val="221"/>
        </w:trPr>
        <w:tc>
          <w:tcPr>
            <w:tcW w:w="8616" w:type="dxa"/>
            <w:vAlign w:val="bottom"/>
          </w:tcPr>
          <w:p w14:paraId="5E4A0A06" w14:textId="77777777" w:rsidR="00431359" w:rsidRDefault="00431359" w:rsidP="008D1161">
            <w:pPr>
              <w:rPr>
                <w:rFonts w:ascii="Arial" w:hAnsi="Arial" w:cs="Arial"/>
                <w:sz w:val="20"/>
                <w:szCs w:val="20"/>
              </w:rPr>
            </w:pPr>
            <w:r>
              <w:rPr>
                <w:rFonts w:ascii="Arial" w:hAnsi="Arial" w:cs="Arial"/>
                <w:sz w:val="20"/>
                <w:szCs w:val="20"/>
              </w:rPr>
              <w:t>Globus Pallidus</w:t>
            </w:r>
          </w:p>
        </w:tc>
      </w:tr>
      <w:tr w:rsidR="00431359" w14:paraId="234BE940" w14:textId="77777777" w:rsidTr="00431359">
        <w:trPr>
          <w:trHeight w:val="221"/>
        </w:trPr>
        <w:tc>
          <w:tcPr>
            <w:tcW w:w="8616" w:type="dxa"/>
            <w:vAlign w:val="bottom"/>
          </w:tcPr>
          <w:p w14:paraId="249C82A0" w14:textId="77777777" w:rsidR="00431359" w:rsidRDefault="00431359" w:rsidP="008D1161">
            <w:pPr>
              <w:rPr>
                <w:rFonts w:ascii="Arial" w:hAnsi="Arial" w:cs="Arial"/>
                <w:sz w:val="20"/>
                <w:szCs w:val="20"/>
              </w:rPr>
            </w:pPr>
            <w:r>
              <w:rPr>
                <w:rFonts w:ascii="Arial" w:hAnsi="Arial" w:cs="Arial"/>
                <w:sz w:val="20"/>
                <w:szCs w:val="20"/>
              </w:rPr>
              <w:t>Subthalamic nucleus</w:t>
            </w:r>
          </w:p>
        </w:tc>
      </w:tr>
      <w:tr w:rsidR="00431359" w14:paraId="5E5D3062" w14:textId="77777777" w:rsidTr="00431359">
        <w:trPr>
          <w:trHeight w:val="221"/>
        </w:trPr>
        <w:tc>
          <w:tcPr>
            <w:tcW w:w="8616" w:type="dxa"/>
            <w:vAlign w:val="bottom"/>
          </w:tcPr>
          <w:p w14:paraId="32400DC6" w14:textId="77777777" w:rsidR="00431359" w:rsidRDefault="00431359" w:rsidP="008D1161">
            <w:pPr>
              <w:rPr>
                <w:rFonts w:ascii="Arial" w:hAnsi="Arial" w:cs="Arial"/>
                <w:sz w:val="20"/>
                <w:szCs w:val="20"/>
              </w:rPr>
            </w:pPr>
            <w:r>
              <w:rPr>
                <w:rFonts w:ascii="Arial" w:hAnsi="Arial" w:cs="Arial"/>
                <w:sz w:val="20"/>
                <w:szCs w:val="20"/>
              </w:rPr>
              <w:t>Thalamus</w:t>
            </w:r>
          </w:p>
        </w:tc>
      </w:tr>
      <w:tr w:rsidR="00431359" w14:paraId="3D8DDB8B" w14:textId="77777777" w:rsidTr="00431359">
        <w:trPr>
          <w:trHeight w:val="221"/>
        </w:trPr>
        <w:tc>
          <w:tcPr>
            <w:tcW w:w="8616" w:type="dxa"/>
            <w:vAlign w:val="bottom"/>
          </w:tcPr>
          <w:p w14:paraId="3815F612" w14:textId="77777777" w:rsidR="00431359" w:rsidRDefault="00431359" w:rsidP="008D1161">
            <w:pPr>
              <w:rPr>
                <w:rFonts w:ascii="Arial" w:hAnsi="Arial" w:cs="Arial"/>
                <w:sz w:val="20"/>
                <w:szCs w:val="20"/>
              </w:rPr>
            </w:pPr>
            <w:r>
              <w:rPr>
                <w:rFonts w:ascii="Arial" w:hAnsi="Arial" w:cs="Arial"/>
                <w:sz w:val="20"/>
                <w:szCs w:val="20"/>
              </w:rPr>
              <w:t>Claustrum</w:t>
            </w:r>
          </w:p>
        </w:tc>
      </w:tr>
      <w:tr w:rsidR="00431359" w14:paraId="693449AE" w14:textId="77777777" w:rsidTr="00431359">
        <w:trPr>
          <w:trHeight w:val="221"/>
        </w:trPr>
        <w:tc>
          <w:tcPr>
            <w:tcW w:w="8616" w:type="dxa"/>
            <w:vAlign w:val="bottom"/>
          </w:tcPr>
          <w:p w14:paraId="062C3685" w14:textId="77777777" w:rsidR="00431359" w:rsidRDefault="00431359" w:rsidP="008D1161">
            <w:pPr>
              <w:rPr>
                <w:rFonts w:ascii="Arial" w:hAnsi="Arial" w:cs="Arial"/>
                <w:sz w:val="20"/>
                <w:szCs w:val="20"/>
              </w:rPr>
            </w:pPr>
            <w:r>
              <w:rPr>
                <w:rFonts w:ascii="Arial" w:hAnsi="Arial" w:cs="Arial"/>
                <w:sz w:val="20"/>
                <w:szCs w:val="20"/>
              </w:rPr>
              <w:t>Dentate nucleus</w:t>
            </w:r>
          </w:p>
        </w:tc>
      </w:tr>
      <w:tr w:rsidR="00431359" w14:paraId="6EB71BD3" w14:textId="77777777" w:rsidTr="00431359">
        <w:trPr>
          <w:trHeight w:val="221"/>
        </w:trPr>
        <w:tc>
          <w:tcPr>
            <w:tcW w:w="8616" w:type="dxa"/>
            <w:vAlign w:val="bottom"/>
          </w:tcPr>
          <w:p w14:paraId="15FB8F5A" w14:textId="77777777" w:rsidR="00431359" w:rsidRDefault="00431359" w:rsidP="008D1161">
            <w:pPr>
              <w:rPr>
                <w:rFonts w:ascii="Arial" w:hAnsi="Arial" w:cs="Arial"/>
                <w:sz w:val="20"/>
                <w:szCs w:val="20"/>
              </w:rPr>
            </w:pPr>
            <w:r>
              <w:rPr>
                <w:rFonts w:ascii="Arial" w:hAnsi="Arial" w:cs="Arial"/>
                <w:sz w:val="20"/>
                <w:szCs w:val="20"/>
              </w:rPr>
              <w:t>Folia</w:t>
            </w:r>
          </w:p>
        </w:tc>
      </w:tr>
      <w:tr w:rsidR="00431359" w14:paraId="5B761D22" w14:textId="77777777" w:rsidTr="00431359">
        <w:trPr>
          <w:trHeight w:val="221"/>
        </w:trPr>
        <w:tc>
          <w:tcPr>
            <w:tcW w:w="8616" w:type="dxa"/>
            <w:vAlign w:val="bottom"/>
          </w:tcPr>
          <w:p w14:paraId="01B36D56" w14:textId="77777777" w:rsidR="00431359" w:rsidRDefault="00431359" w:rsidP="008D1161">
            <w:pPr>
              <w:rPr>
                <w:rFonts w:ascii="Arial" w:hAnsi="Arial" w:cs="Arial"/>
                <w:sz w:val="20"/>
                <w:szCs w:val="20"/>
              </w:rPr>
            </w:pPr>
            <w:r>
              <w:rPr>
                <w:rFonts w:ascii="Arial" w:hAnsi="Arial" w:cs="Arial"/>
                <w:sz w:val="20"/>
                <w:szCs w:val="20"/>
              </w:rPr>
              <w:t>Substantia Nigra</w:t>
            </w:r>
          </w:p>
        </w:tc>
      </w:tr>
      <w:tr w:rsidR="00431359" w14:paraId="44EC5E76" w14:textId="77777777" w:rsidTr="00431359">
        <w:trPr>
          <w:trHeight w:val="221"/>
        </w:trPr>
        <w:tc>
          <w:tcPr>
            <w:tcW w:w="8616" w:type="dxa"/>
            <w:vAlign w:val="bottom"/>
          </w:tcPr>
          <w:p w14:paraId="5D489797" w14:textId="77777777" w:rsidR="00431359" w:rsidRDefault="00431359" w:rsidP="008D1161">
            <w:pPr>
              <w:rPr>
                <w:rFonts w:ascii="Arial" w:hAnsi="Arial" w:cs="Arial"/>
                <w:sz w:val="20"/>
                <w:szCs w:val="20"/>
              </w:rPr>
            </w:pPr>
            <w:r>
              <w:rPr>
                <w:rFonts w:ascii="Arial" w:hAnsi="Arial" w:cs="Arial"/>
                <w:sz w:val="20"/>
                <w:szCs w:val="20"/>
              </w:rPr>
              <w:t>Tectum</w:t>
            </w:r>
          </w:p>
        </w:tc>
      </w:tr>
      <w:tr w:rsidR="00431359" w14:paraId="3EA4A4D7" w14:textId="77777777" w:rsidTr="00431359">
        <w:trPr>
          <w:trHeight w:val="221"/>
        </w:trPr>
        <w:tc>
          <w:tcPr>
            <w:tcW w:w="8616" w:type="dxa"/>
            <w:vAlign w:val="bottom"/>
          </w:tcPr>
          <w:p w14:paraId="3AF0B035" w14:textId="77777777" w:rsidR="00431359" w:rsidRDefault="00431359" w:rsidP="008D1161">
            <w:pPr>
              <w:rPr>
                <w:rFonts w:ascii="Arial" w:hAnsi="Arial" w:cs="Arial"/>
                <w:sz w:val="20"/>
                <w:szCs w:val="20"/>
              </w:rPr>
            </w:pPr>
            <w:r>
              <w:rPr>
                <w:rFonts w:ascii="Arial" w:hAnsi="Arial" w:cs="Arial"/>
                <w:sz w:val="20"/>
                <w:szCs w:val="20"/>
              </w:rPr>
              <w:t>Periaqueductal gray</w:t>
            </w:r>
          </w:p>
        </w:tc>
      </w:tr>
      <w:tr w:rsidR="00431359" w14:paraId="42835131" w14:textId="77777777" w:rsidTr="00431359">
        <w:trPr>
          <w:trHeight w:val="221"/>
        </w:trPr>
        <w:tc>
          <w:tcPr>
            <w:tcW w:w="8616" w:type="dxa"/>
            <w:vAlign w:val="bottom"/>
          </w:tcPr>
          <w:p w14:paraId="4D549FCD" w14:textId="77777777" w:rsidR="00431359" w:rsidRDefault="00431359" w:rsidP="008D1161">
            <w:pPr>
              <w:rPr>
                <w:rFonts w:ascii="Arial" w:hAnsi="Arial" w:cs="Arial"/>
                <w:sz w:val="20"/>
                <w:szCs w:val="20"/>
              </w:rPr>
            </w:pPr>
            <w:r>
              <w:rPr>
                <w:rFonts w:ascii="Arial" w:hAnsi="Arial" w:cs="Arial"/>
                <w:sz w:val="20"/>
                <w:szCs w:val="20"/>
              </w:rPr>
              <w:t>Dorsal raphe</w:t>
            </w:r>
          </w:p>
        </w:tc>
      </w:tr>
      <w:tr w:rsidR="00431359" w14:paraId="0A7DD8B4" w14:textId="77777777" w:rsidTr="00431359">
        <w:trPr>
          <w:trHeight w:val="221"/>
        </w:trPr>
        <w:tc>
          <w:tcPr>
            <w:tcW w:w="8616" w:type="dxa"/>
            <w:vAlign w:val="bottom"/>
          </w:tcPr>
          <w:p w14:paraId="42CE96D9" w14:textId="77777777" w:rsidR="00431359" w:rsidRDefault="00431359" w:rsidP="008D1161">
            <w:pPr>
              <w:rPr>
                <w:rFonts w:ascii="Arial" w:hAnsi="Arial" w:cs="Arial"/>
                <w:sz w:val="20"/>
                <w:szCs w:val="20"/>
              </w:rPr>
            </w:pPr>
            <w:r>
              <w:rPr>
                <w:rFonts w:ascii="Arial" w:hAnsi="Arial" w:cs="Arial"/>
                <w:sz w:val="20"/>
                <w:szCs w:val="20"/>
              </w:rPr>
              <w:t>Oculomotor nucleus</w:t>
            </w:r>
          </w:p>
        </w:tc>
      </w:tr>
      <w:tr w:rsidR="00431359" w14:paraId="2A51DFB8" w14:textId="77777777" w:rsidTr="00431359">
        <w:trPr>
          <w:trHeight w:val="221"/>
        </w:trPr>
        <w:tc>
          <w:tcPr>
            <w:tcW w:w="8616" w:type="dxa"/>
            <w:vAlign w:val="bottom"/>
          </w:tcPr>
          <w:p w14:paraId="18EF2B03" w14:textId="77777777" w:rsidR="00431359" w:rsidRDefault="00431359" w:rsidP="008D1161">
            <w:pPr>
              <w:rPr>
                <w:rFonts w:ascii="Arial" w:hAnsi="Arial" w:cs="Arial"/>
                <w:sz w:val="20"/>
                <w:szCs w:val="20"/>
              </w:rPr>
            </w:pPr>
            <w:r>
              <w:rPr>
                <w:rFonts w:ascii="Arial" w:hAnsi="Arial" w:cs="Arial"/>
                <w:sz w:val="20"/>
                <w:szCs w:val="20"/>
              </w:rPr>
              <w:t xml:space="preserve">Locus </w:t>
            </w:r>
            <w:proofErr w:type="spellStart"/>
            <w:r>
              <w:rPr>
                <w:rFonts w:ascii="Arial" w:hAnsi="Arial" w:cs="Arial"/>
                <w:sz w:val="20"/>
                <w:szCs w:val="20"/>
              </w:rPr>
              <w:t>ceruleus</w:t>
            </w:r>
            <w:proofErr w:type="spellEnd"/>
          </w:p>
        </w:tc>
      </w:tr>
      <w:tr w:rsidR="00431359" w14:paraId="01121491" w14:textId="77777777" w:rsidTr="00431359">
        <w:trPr>
          <w:trHeight w:val="221"/>
        </w:trPr>
        <w:tc>
          <w:tcPr>
            <w:tcW w:w="8616" w:type="dxa"/>
            <w:vAlign w:val="bottom"/>
          </w:tcPr>
          <w:p w14:paraId="22005037" w14:textId="77777777" w:rsidR="00431359" w:rsidRDefault="00431359" w:rsidP="008D1161">
            <w:pPr>
              <w:rPr>
                <w:rFonts w:ascii="Arial" w:hAnsi="Arial" w:cs="Arial"/>
                <w:sz w:val="20"/>
                <w:szCs w:val="20"/>
              </w:rPr>
            </w:pPr>
            <w:r>
              <w:rPr>
                <w:rFonts w:ascii="Arial" w:hAnsi="Arial" w:cs="Arial"/>
                <w:sz w:val="20"/>
                <w:szCs w:val="20"/>
              </w:rPr>
              <w:t>Median raphe</w:t>
            </w:r>
          </w:p>
        </w:tc>
      </w:tr>
      <w:tr w:rsidR="00431359" w14:paraId="2F798CDC" w14:textId="77777777" w:rsidTr="00431359">
        <w:trPr>
          <w:trHeight w:val="221"/>
        </w:trPr>
        <w:tc>
          <w:tcPr>
            <w:tcW w:w="8616" w:type="dxa"/>
            <w:vAlign w:val="bottom"/>
          </w:tcPr>
          <w:p w14:paraId="2DABB633" w14:textId="77777777" w:rsidR="00431359" w:rsidRDefault="00431359" w:rsidP="008D1161">
            <w:pPr>
              <w:rPr>
                <w:rFonts w:ascii="Arial" w:hAnsi="Arial" w:cs="Arial"/>
                <w:sz w:val="20"/>
                <w:szCs w:val="20"/>
              </w:rPr>
            </w:pPr>
            <w:r>
              <w:rPr>
                <w:rFonts w:ascii="Arial" w:hAnsi="Arial" w:cs="Arial"/>
                <w:sz w:val="20"/>
                <w:szCs w:val="20"/>
              </w:rPr>
              <w:t>Abducens nucleus</w:t>
            </w:r>
          </w:p>
        </w:tc>
      </w:tr>
      <w:tr w:rsidR="00431359" w14:paraId="3BAD5576" w14:textId="77777777" w:rsidTr="00431359">
        <w:trPr>
          <w:trHeight w:val="221"/>
        </w:trPr>
        <w:tc>
          <w:tcPr>
            <w:tcW w:w="8616" w:type="dxa"/>
            <w:vAlign w:val="bottom"/>
          </w:tcPr>
          <w:p w14:paraId="651D9A17" w14:textId="77777777" w:rsidR="00431359" w:rsidRDefault="00431359" w:rsidP="008D1161">
            <w:pPr>
              <w:rPr>
                <w:rFonts w:ascii="Arial" w:hAnsi="Arial" w:cs="Arial"/>
                <w:sz w:val="20"/>
                <w:szCs w:val="20"/>
              </w:rPr>
            </w:pPr>
            <w:r>
              <w:rPr>
                <w:rFonts w:ascii="Arial" w:hAnsi="Arial" w:cs="Arial"/>
                <w:sz w:val="20"/>
                <w:szCs w:val="20"/>
              </w:rPr>
              <w:t>Facial nucleus</w:t>
            </w:r>
          </w:p>
        </w:tc>
      </w:tr>
      <w:tr w:rsidR="00431359" w14:paraId="39794B3F" w14:textId="77777777" w:rsidTr="00431359">
        <w:trPr>
          <w:trHeight w:val="221"/>
        </w:trPr>
        <w:tc>
          <w:tcPr>
            <w:tcW w:w="8616" w:type="dxa"/>
            <w:vAlign w:val="bottom"/>
          </w:tcPr>
          <w:p w14:paraId="03B45DA6" w14:textId="77777777" w:rsidR="00431359" w:rsidRDefault="00431359" w:rsidP="008D1161">
            <w:pPr>
              <w:rPr>
                <w:rFonts w:ascii="Arial" w:hAnsi="Arial" w:cs="Arial"/>
                <w:sz w:val="20"/>
                <w:szCs w:val="20"/>
              </w:rPr>
            </w:pPr>
            <w:r>
              <w:rPr>
                <w:rFonts w:ascii="Arial" w:hAnsi="Arial" w:cs="Arial"/>
                <w:sz w:val="20"/>
                <w:szCs w:val="20"/>
              </w:rPr>
              <w:t xml:space="preserve">Nucleus raphe </w:t>
            </w:r>
            <w:proofErr w:type="spellStart"/>
            <w:r>
              <w:rPr>
                <w:rFonts w:ascii="Arial" w:hAnsi="Arial" w:cs="Arial"/>
                <w:sz w:val="20"/>
                <w:szCs w:val="20"/>
              </w:rPr>
              <w:t>interpositus</w:t>
            </w:r>
            <w:proofErr w:type="spellEnd"/>
          </w:p>
        </w:tc>
      </w:tr>
      <w:tr w:rsidR="00431359" w14:paraId="6479437D" w14:textId="77777777" w:rsidTr="00431359">
        <w:trPr>
          <w:trHeight w:val="221"/>
        </w:trPr>
        <w:tc>
          <w:tcPr>
            <w:tcW w:w="8616" w:type="dxa"/>
            <w:vAlign w:val="bottom"/>
          </w:tcPr>
          <w:p w14:paraId="7D489496" w14:textId="77777777" w:rsidR="00431359" w:rsidRDefault="00431359" w:rsidP="008D1161">
            <w:pPr>
              <w:rPr>
                <w:rFonts w:ascii="Arial" w:hAnsi="Arial" w:cs="Arial"/>
                <w:sz w:val="20"/>
                <w:szCs w:val="20"/>
              </w:rPr>
            </w:pPr>
            <w:r>
              <w:rPr>
                <w:rFonts w:ascii="Arial" w:hAnsi="Arial" w:cs="Arial"/>
                <w:sz w:val="20"/>
                <w:szCs w:val="20"/>
              </w:rPr>
              <w:t>Hypoglossal nucleus</w:t>
            </w:r>
          </w:p>
        </w:tc>
      </w:tr>
      <w:tr w:rsidR="00431359" w14:paraId="0EBB8982" w14:textId="77777777" w:rsidTr="00431359">
        <w:trPr>
          <w:trHeight w:val="221"/>
        </w:trPr>
        <w:tc>
          <w:tcPr>
            <w:tcW w:w="8616" w:type="dxa"/>
            <w:vAlign w:val="bottom"/>
          </w:tcPr>
          <w:p w14:paraId="1B1EFC23" w14:textId="77777777" w:rsidR="00431359" w:rsidRDefault="00431359" w:rsidP="008D1161">
            <w:pPr>
              <w:rPr>
                <w:rFonts w:ascii="Arial" w:hAnsi="Arial" w:cs="Arial"/>
                <w:sz w:val="20"/>
                <w:szCs w:val="20"/>
              </w:rPr>
            </w:pPr>
            <w:r>
              <w:rPr>
                <w:rFonts w:ascii="Arial" w:hAnsi="Arial" w:cs="Arial"/>
                <w:sz w:val="20"/>
                <w:szCs w:val="20"/>
              </w:rPr>
              <w:t xml:space="preserve">Dorsal efferent nucleus, </w:t>
            </w:r>
            <w:proofErr w:type="spellStart"/>
            <w:r>
              <w:rPr>
                <w:rFonts w:ascii="Arial" w:hAnsi="Arial" w:cs="Arial"/>
                <w:sz w:val="20"/>
                <w:szCs w:val="20"/>
              </w:rPr>
              <w:t>vagus</w:t>
            </w:r>
            <w:proofErr w:type="spellEnd"/>
          </w:p>
        </w:tc>
      </w:tr>
      <w:tr w:rsidR="00431359" w14:paraId="7A4C43D5" w14:textId="77777777" w:rsidTr="00431359">
        <w:trPr>
          <w:trHeight w:val="221"/>
        </w:trPr>
        <w:tc>
          <w:tcPr>
            <w:tcW w:w="8616" w:type="dxa"/>
            <w:vAlign w:val="bottom"/>
          </w:tcPr>
          <w:p w14:paraId="4B96FBF2" w14:textId="77777777" w:rsidR="00431359" w:rsidRDefault="00431359" w:rsidP="008D1161">
            <w:pPr>
              <w:rPr>
                <w:rFonts w:ascii="Arial" w:hAnsi="Arial" w:cs="Arial"/>
                <w:sz w:val="20"/>
                <w:szCs w:val="20"/>
              </w:rPr>
            </w:pPr>
            <w:r>
              <w:rPr>
                <w:rFonts w:ascii="Arial" w:hAnsi="Arial" w:cs="Arial"/>
                <w:sz w:val="20"/>
                <w:szCs w:val="20"/>
              </w:rPr>
              <w:t>Nucleus solitary tract</w:t>
            </w:r>
          </w:p>
        </w:tc>
      </w:tr>
      <w:tr w:rsidR="00431359" w14:paraId="76AB147E" w14:textId="77777777" w:rsidTr="00431359">
        <w:trPr>
          <w:trHeight w:val="221"/>
        </w:trPr>
        <w:tc>
          <w:tcPr>
            <w:tcW w:w="8616" w:type="dxa"/>
            <w:vAlign w:val="bottom"/>
          </w:tcPr>
          <w:p w14:paraId="5AD3492C" w14:textId="77777777" w:rsidR="00431359" w:rsidRDefault="00431359" w:rsidP="008D1161">
            <w:pPr>
              <w:rPr>
                <w:rFonts w:ascii="Arial" w:hAnsi="Arial" w:cs="Arial"/>
                <w:sz w:val="20"/>
                <w:szCs w:val="20"/>
              </w:rPr>
            </w:pPr>
            <w:r>
              <w:rPr>
                <w:rFonts w:ascii="Arial" w:hAnsi="Arial" w:cs="Arial"/>
                <w:sz w:val="20"/>
                <w:szCs w:val="20"/>
              </w:rPr>
              <w:t>Olive</w:t>
            </w:r>
          </w:p>
        </w:tc>
      </w:tr>
      <w:tr w:rsidR="00431359" w14:paraId="15A2EC66" w14:textId="77777777" w:rsidTr="00431359">
        <w:trPr>
          <w:trHeight w:val="221"/>
        </w:trPr>
        <w:tc>
          <w:tcPr>
            <w:tcW w:w="8616" w:type="dxa"/>
            <w:vAlign w:val="bottom"/>
          </w:tcPr>
          <w:p w14:paraId="1C3E1B1D" w14:textId="77777777" w:rsidR="00431359" w:rsidRDefault="00431359" w:rsidP="008D1161">
            <w:pPr>
              <w:rPr>
                <w:rFonts w:ascii="Arial" w:hAnsi="Arial" w:cs="Arial"/>
                <w:sz w:val="20"/>
                <w:szCs w:val="20"/>
              </w:rPr>
            </w:pPr>
            <w:r>
              <w:rPr>
                <w:rFonts w:ascii="Arial" w:hAnsi="Arial" w:cs="Arial"/>
                <w:sz w:val="20"/>
                <w:szCs w:val="20"/>
              </w:rPr>
              <w:t>Cervical anterior horn cells</w:t>
            </w:r>
          </w:p>
        </w:tc>
      </w:tr>
      <w:tr w:rsidR="00431359" w14:paraId="7470AFDC" w14:textId="77777777" w:rsidTr="00431359">
        <w:trPr>
          <w:trHeight w:val="221"/>
        </w:trPr>
        <w:tc>
          <w:tcPr>
            <w:tcW w:w="8616" w:type="dxa"/>
            <w:vAlign w:val="bottom"/>
          </w:tcPr>
          <w:p w14:paraId="2653B5C3" w14:textId="77777777" w:rsidR="00431359" w:rsidRDefault="00431359" w:rsidP="008D1161">
            <w:pPr>
              <w:rPr>
                <w:rFonts w:ascii="Arial" w:hAnsi="Arial" w:cs="Arial"/>
                <w:sz w:val="20"/>
                <w:szCs w:val="20"/>
              </w:rPr>
            </w:pPr>
            <w:r>
              <w:rPr>
                <w:rFonts w:ascii="Arial" w:hAnsi="Arial" w:cs="Arial"/>
                <w:sz w:val="20"/>
                <w:szCs w:val="20"/>
              </w:rPr>
              <w:t>Cervical corticospinal tract</w:t>
            </w:r>
          </w:p>
        </w:tc>
      </w:tr>
      <w:tr w:rsidR="00431359" w14:paraId="7C0A7EC0" w14:textId="77777777" w:rsidTr="00431359">
        <w:trPr>
          <w:trHeight w:val="221"/>
        </w:trPr>
        <w:tc>
          <w:tcPr>
            <w:tcW w:w="8616" w:type="dxa"/>
            <w:vAlign w:val="bottom"/>
          </w:tcPr>
          <w:p w14:paraId="221789B4" w14:textId="77777777" w:rsidR="00431359" w:rsidRDefault="00431359" w:rsidP="008D1161">
            <w:pPr>
              <w:rPr>
                <w:rFonts w:ascii="Arial" w:hAnsi="Arial" w:cs="Arial"/>
                <w:sz w:val="20"/>
                <w:szCs w:val="20"/>
              </w:rPr>
            </w:pPr>
            <w:r>
              <w:rPr>
                <w:rFonts w:ascii="Arial" w:hAnsi="Arial" w:cs="Arial"/>
                <w:sz w:val="20"/>
                <w:szCs w:val="20"/>
              </w:rPr>
              <w:t>Thoracic anterior horn cells</w:t>
            </w:r>
          </w:p>
        </w:tc>
      </w:tr>
      <w:tr w:rsidR="00431359" w14:paraId="5209FF86" w14:textId="77777777" w:rsidTr="00431359">
        <w:trPr>
          <w:trHeight w:val="221"/>
        </w:trPr>
        <w:tc>
          <w:tcPr>
            <w:tcW w:w="8616" w:type="dxa"/>
            <w:vAlign w:val="bottom"/>
          </w:tcPr>
          <w:p w14:paraId="39AD8D14" w14:textId="77777777" w:rsidR="00431359" w:rsidRDefault="00431359" w:rsidP="008D1161">
            <w:pPr>
              <w:rPr>
                <w:rFonts w:ascii="Arial" w:hAnsi="Arial" w:cs="Arial"/>
                <w:sz w:val="20"/>
                <w:szCs w:val="20"/>
              </w:rPr>
            </w:pPr>
            <w:r>
              <w:rPr>
                <w:rFonts w:ascii="Arial" w:hAnsi="Arial" w:cs="Arial"/>
                <w:sz w:val="20"/>
                <w:szCs w:val="20"/>
              </w:rPr>
              <w:t>Thoracic intermediolateral cell column</w:t>
            </w:r>
          </w:p>
        </w:tc>
      </w:tr>
      <w:tr w:rsidR="00431359" w14:paraId="64091E30" w14:textId="77777777" w:rsidTr="00431359">
        <w:trPr>
          <w:trHeight w:val="221"/>
        </w:trPr>
        <w:tc>
          <w:tcPr>
            <w:tcW w:w="8616" w:type="dxa"/>
            <w:vAlign w:val="bottom"/>
          </w:tcPr>
          <w:p w14:paraId="649C878D" w14:textId="77777777" w:rsidR="00431359" w:rsidRDefault="00431359" w:rsidP="008D1161">
            <w:pPr>
              <w:rPr>
                <w:rFonts w:ascii="Arial" w:hAnsi="Arial" w:cs="Arial"/>
                <w:sz w:val="20"/>
                <w:szCs w:val="20"/>
              </w:rPr>
            </w:pPr>
            <w:r>
              <w:rPr>
                <w:rFonts w:ascii="Arial" w:hAnsi="Arial" w:cs="Arial"/>
                <w:sz w:val="20"/>
                <w:szCs w:val="20"/>
              </w:rPr>
              <w:t>Lumbar anterior horn cells</w:t>
            </w:r>
          </w:p>
        </w:tc>
      </w:tr>
      <w:tr w:rsidR="00431359" w14:paraId="14E5503C" w14:textId="77777777" w:rsidTr="00431359">
        <w:trPr>
          <w:trHeight w:val="221"/>
        </w:trPr>
        <w:tc>
          <w:tcPr>
            <w:tcW w:w="8616" w:type="dxa"/>
            <w:vAlign w:val="bottom"/>
          </w:tcPr>
          <w:p w14:paraId="4CD7FBD7" w14:textId="77777777" w:rsidR="00431359" w:rsidRDefault="00431359" w:rsidP="008D1161">
            <w:pPr>
              <w:rPr>
                <w:rFonts w:ascii="Arial" w:hAnsi="Arial" w:cs="Arial"/>
                <w:sz w:val="20"/>
                <w:szCs w:val="20"/>
              </w:rPr>
            </w:pPr>
            <w:r>
              <w:rPr>
                <w:rFonts w:ascii="Arial" w:hAnsi="Arial" w:cs="Arial"/>
                <w:sz w:val="20"/>
                <w:szCs w:val="20"/>
              </w:rPr>
              <w:t xml:space="preserve">Sacral nucleus of </w:t>
            </w:r>
            <w:proofErr w:type="spellStart"/>
            <w:r>
              <w:rPr>
                <w:rFonts w:ascii="Arial" w:hAnsi="Arial" w:cs="Arial"/>
                <w:sz w:val="20"/>
                <w:szCs w:val="20"/>
              </w:rPr>
              <w:t>Onuf</w:t>
            </w:r>
            <w:proofErr w:type="spellEnd"/>
          </w:p>
        </w:tc>
      </w:tr>
      <w:tr w:rsidR="00431359" w14:paraId="0D719695" w14:textId="77777777" w:rsidTr="00431359">
        <w:trPr>
          <w:trHeight w:val="221"/>
        </w:trPr>
        <w:tc>
          <w:tcPr>
            <w:tcW w:w="8616" w:type="dxa"/>
            <w:vAlign w:val="bottom"/>
          </w:tcPr>
          <w:p w14:paraId="3C43BB34" w14:textId="77777777" w:rsidR="00431359" w:rsidRDefault="00431359" w:rsidP="008D1161">
            <w:pPr>
              <w:rPr>
                <w:rFonts w:ascii="Arial" w:hAnsi="Arial" w:cs="Arial"/>
                <w:sz w:val="20"/>
                <w:szCs w:val="20"/>
              </w:rPr>
            </w:pPr>
            <w:r>
              <w:rPr>
                <w:rFonts w:ascii="Arial" w:hAnsi="Arial" w:cs="Arial"/>
                <w:sz w:val="20"/>
                <w:szCs w:val="20"/>
              </w:rPr>
              <w:t>Sacral anterior horn cells</w:t>
            </w:r>
          </w:p>
        </w:tc>
      </w:tr>
    </w:tbl>
    <w:p w14:paraId="3BA087C4" w14:textId="77777777" w:rsidR="00431359" w:rsidRDefault="00431359" w:rsidP="006B530D">
      <w:pPr>
        <w:spacing w:line="480" w:lineRule="auto"/>
        <w:rPr>
          <w:b/>
          <w:bCs/>
        </w:rPr>
      </w:pPr>
    </w:p>
    <w:p w14:paraId="08F71A40" w14:textId="3D27D198" w:rsidR="00246AFD" w:rsidRPr="00DE6BFA" w:rsidRDefault="00246AFD" w:rsidP="006B530D">
      <w:pPr>
        <w:spacing w:line="480" w:lineRule="auto"/>
        <w:rPr>
          <w:b/>
          <w:bCs/>
        </w:rPr>
      </w:pPr>
      <w:r w:rsidRPr="00246AFD">
        <w:rPr>
          <w:b/>
          <w:bCs/>
        </w:rPr>
        <w:lastRenderedPageBreak/>
        <w:t>Supplemental References</w:t>
      </w:r>
    </w:p>
    <w:p w14:paraId="44534A01" w14:textId="77777777" w:rsidR="00DE6BFA" w:rsidRPr="00DE6BFA" w:rsidRDefault="00221252" w:rsidP="00DE6BFA">
      <w:pPr>
        <w:pStyle w:val="Bibliography"/>
      </w:pPr>
      <w:r>
        <w:fldChar w:fldCharType="begin"/>
      </w:r>
      <w:r w:rsidR="00DE6BFA">
        <w:instrText xml:space="preserve"> ADDIN ZOTERO_BIBL {"uncited":[],"omitted":[],"custom":[]} CSL_BIBLIOGRAPHY </w:instrText>
      </w:r>
      <w:r>
        <w:fldChar w:fldCharType="separate"/>
      </w:r>
      <w:r w:rsidR="00DE6BFA" w:rsidRPr="00DE6BFA">
        <w:t xml:space="preserve">1. </w:t>
      </w:r>
      <w:r w:rsidR="00DE6BFA" w:rsidRPr="00DE6BFA">
        <w:tab/>
        <w:t>Klunk WE, Koeppe RA, Price JC, Benzinger TL, Devous MD, Jagust WJ, Johnson KA, Mathis CA, Minhas D, Pontecorvo MJ, Rowe CC, Skovronsky DM, Mintun MA (2015) The Centiloid Project: standardizing quantitative amyloid plaque estimation by PET. Alzheimers Dement 11:1-15.e1–4. doi: 10.1016/j.jalz.2014.07.003</w:t>
      </w:r>
    </w:p>
    <w:p w14:paraId="4A4ADD55" w14:textId="77777777" w:rsidR="00DE6BFA" w:rsidRPr="00DE6BFA" w:rsidRDefault="00DE6BFA" w:rsidP="00DE6BFA">
      <w:pPr>
        <w:pStyle w:val="Bibliography"/>
      </w:pPr>
      <w:r w:rsidRPr="00DE6BFA">
        <w:t xml:space="preserve">2. </w:t>
      </w:r>
      <w:r w:rsidRPr="00DE6BFA">
        <w:tab/>
        <w:t>La Joie R, Bejanin A, Fagan AM, Ayakta N, Baker SL, Bourakova V, Boxer AL, Cha J, Karydas A, Jerome G, Maass A, Mensing A, Miller ZA, O’Neil JP, Pham J, Rosen HJ, Tsai R, Visani AV, Miller BL, Jagust WJ, Rabinovici GD (2018) Associations between [18F]AV1451 tau PET and CSF measures of tau pathology in a clinical sample. Neurology 90:e282–e290. doi: 10.1212/WNL.0000000000004860</w:t>
      </w:r>
    </w:p>
    <w:p w14:paraId="3519DEF8" w14:textId="77777777" w:rsidR="00DE6BFA" w:rsidRPr="00DE6BFA" w:rsidRDefault="00DE6BFA" w:rsidP="00DE6BFA">
      <w:pPr>
        <w:pStyle w:val="Bibliography"/>
      </w:pPr>
      <w:r w:rsidRPr="00DE6BFA">
        <w:t xml:space="preserve">3. </w:t>
      </w:r>
      <w:r w:rsidRPr="00DE6BFA">
        <w:tab/>
        <w:t>La Joie R, Perrotin A, Barré L, Hommet C, Mézenge F, Ibazizene M, Camus V, Abbas A, Landeau B, Guilloteau D, de La Sayette V, Eustache F, Desgranges B, Chételat G (2012) Region-specific hierarchy between atrophy, hypometabolism, and β-amyloid (Aβ) load in Alzheimer’s disease dementia. J Neurosci 32:16265–16273. doi: 10.1523/JNEUROSCI.2170-12.2012</w:t>
      </w:r>
    </w:p>
    <w:p w14:paraId="3C8BA8CF" w14:textId="77777777" w:rsidR="00DE6BFA" w:rsidRPr="00DE6BFA" w:rsidRDefault="00DE6BFA" w:rsidP="00DE6BFA">
      <w:pPr>
        <w:pStyle w:val="Bibliography"/>
      </w:pPr>
      <w:r w:rsidRPr="00DE6BFA">
        <w:t xml:space="preserve">4. </w:t>
      </w:r>
      <w:r w:rsidRPr="00DE6BFA">
        <w:tab/>
        <w:t>Landau SM, Fero A, Baker SL, Koeppe R, Mintun M, Chen K, Reiman EM, Jagust WJ (2015) Measurement of Longitudinal β-Amyloid Change with 18F-Florbetapir PET and Standardized Uptake Value Ratios. J Nucl Med 56:567–574. doi: 10.2967/jnumed.114.148981</w:t>
      </w:r>
    </w:p>
    <w:p w14:paraId="54D7E96F" w14:textId="77777777" w:rsidR="00DE6BFA" w:rsidRPr="00DE6BFA" w:rsidRDefault="00DE6BFA" w:rsidP="00DE6BFA">
      <w:pPr>
        <w:pStyle w:val="Bibliography"/>
      </w:pPr>
      <w:r w:rsidRPr="00DE6BFA">
        <w:t xml:space="preserve">5. </w:t>
      </w:r>
      <w:r w:rsidRPr="00DE6BFA">
        <w:tab/>
        <w:t>McKeith IG (2006) Consensus guidelines for the clinical and pathologic diagnosis of dementia with Lewy bodies (DLB): report of the Consortium on DLB International Workshop. J Alzheimers Dis 9:417–423. doi: 10.3233/jad-2006-9s347</w:t>
      </w:r>
    </w:p>
    <w:p w14:paraId="7A23382A" w14:textId="77777777" w:rsidR="00DE6BFA" w:rsidRPr="00DE6BFA" w:rsidRDefault="00DE6BFA" w:rsidP="00DE6BFA">
      <w:pPr>
        <w:pStyle w:val="Bibliography"/>
      </w:pPr>
      <w:r w:rsidRPr="00DE6BFA">
        <w:t xml:space="preserve">6. </w:t>
      </w:r>
      <w:r w:rsidRPr="00DE6BFA">
        <w:tab/>
        <w:t>Montine TJ, Phelps CH, Beach TG, Bigio EH, Cairns NJ, Dickson DW, Duyckaerts C, Frosch MP, Masliah E, Mirra SS, Nelson PT, Schneider JA, Thal DR, Trojanowski JQ, Vinters HV, Hyman BT (2012) National Institute on Aging-Alzheimer’s Association guidelines for the neuropathologic assessment of Alzheimer’s disease: a practical approach. Acta Neuropathol 123:1–11. doi: 10.1007/s00401-011-0910-3</w:t>
      </w:r>
    </w:p>
    <w:p w14:paraId="342E923A" w14:textId="77777777" w:rsidR="00DE6BFA" w:rsidRPr="00DE6BFA" w:rsidRDefault="00DE6BFA" w:rsidP="00DE6BFA">
      <w:pPr>
        <w:pStyle w:val="Bibliography"/>
      </w:pPr>
      <w:r w:rsidRPr="00DE6BFA">
        <w:t xml:space="preserve">7. </w:t>
      </w:r>
      <w:r w:rsidRPr="00DE6BFA">
        <w:tab/>
        <w:t>Nelson PT, Dickson DW, Trojanowski JQ, Jack CR, Boyle PA, Arfanakis K, Rademakers R, Alafuzoff I, Attems J, Brayne C, Coyle-Gilchrist ITS, Chui HC, Fardo DW, Flanagan ME, Halliday G, Hokkanen SRK, Hunter S, Jicha GA, Katsumata Y, Kawas CH, Keene CD, Kovacs GG, Kukull WA, Levey AI, Makkinejad N, Montine TJ, Murayama S, Murray ME, Nag S, Rissman RA, Seeley WW, Sperling RA, White CL, Yu L, Schneider JA (2019) Limbic-predominant age-related TDP-43 encephalopathy (LATE): consensus working group report. Brain 142:1503–1527. doi: 10.1093/brain/awz099</w:t>
      </w:r>
    </w:p>
    <w:p w14:paraId="79AC955B" w14:textId="77777777" w:rsidR="00DE6BFA" w:rsidRPr="00DE6BFA" w:rsidRDefault="00DE6BFA" w:rsidP="00DE6BFA">
      <w:pPr>
        <w:pStyle w:val="Bibliography"/>
      </w:pPr>
      <w:r w:rsidRPr="00DE6BFA">
        <w:t xml:space="preserve">8. </w:t>
      </w:r>
      <w:r w:rsidRPr="00DE6BFA">
        <w:tab/>
        <w:t>Royse SK, Minhas DS, Lopresti BJ, Murphy A, Ward T, Koeppe RA, Bullich S, DeSanti S, Jagust WJ, Landau SM, for the Alzheimer’s Disease Neuroimaging Initiative (2021) Validation of amyloid PET positivity thresholds in centiloids: a multisite PET study approach. Alzheimer’s Research &amp; Therapy 13:99. doi: 10.1186/s13195-021-00836-1</w:t>
      </w:r>
    </w:p>
    <w:p w14:paraId="6CEABF8A" w14:textId="77777777" w:rsidR="00DE6BFA" w:rsidRPr="00DE6BFA" w:rsidRDefault="00DE6BFA" w:rsidP="00DE6BFA">
      <w:pPr>
        <w:pStyle w:val="Bibliography"/>
      </w:pPr>
      <w:r w:rsidRPr="00DE6BFA">
        <w:lastRenderedPageBreak/>
        <w:t xml:space="preserve">9. </w:t>
      </w:r>
      <w:r w:rsidRPr="00DE6BFA">
        <w:tab/>
        <w:t>Vonsattel JP, Myers RH, Hedley-Whyte ET, Ropper AH, Bird ED, Richardson EP (1991) Cerebral amyloid angiopathy without and with cerebral hemorrhages: a comparative histological study. Ann Neurol 30:637–649. doi: 10.1002/ana.410300503</w:t>
      </w:r>
    </w:p>
    <w:p w14:paraId="03FBA499" w14:textId="46B70D71" w:rsidR="00D409A9" w:rsidRDefault="00221252" w:rsidP="006B530D">
      <w:pPr>
        <w:spacing w:line="480" w:lineRule="auto"/>
      </w:pPr>
      <w:r>
        <w:fldChar w:fldCharType="end"/>
      </w:r>
    </w:p>
    <w:sectPr w:rsidR="00D409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3C0"/>
    <w:rsid w:val="00122009"/>
    <w:rsid w:val="001B1BBB"/>
    <w:rsid w:val="002023A3"/>
    <w:rsid w:val="00221252"/>
    <w:rsid w:val="00246AFD"/>
    <w:rsid w:val="00370025"/>
    <w:rsid w:val="00377F8D"/>
    <w:rsid w:val="003B07E8"/>
    <w:rsid w:val="00400B6A"/>
    <w:rsid w:val="00401FD2"/>
    <w:rsid w:val="00431359"/>
    <w:rsid w:val="0048110E"/>
    <w:rsid w:val="004B1C45"/>
    <w:rsid w:val="004C0BD4"/>
    <w:rsid w:val="0067211A"/>
    <w:rsid w:val="006B530D"/>
    <w:rsid w:val="006C76C6"/>
    <w:rsid w:val="007319DA"/>
    <w:rsid w:val="00736341"/>
    <w:rsid w:val="00737AAE"/>
    <w:rsid w:val="007C428E"/>
    <w:rsid w:val="007F6737"/>
    <w:rsid w:val="00833890"/>
    <w:rsid w:val="008426A9"/>
    <w:rsid w:val="00A31EBD"/>
    <w:rsid w:val="00AB00B6"/>
    <w:rsid w:val="00B313C0"/>
    <w:rsid w:val="00BA1FCD"/>
    <w:rsid w:val="00D409A9"/>
    <w:rsid w:val="00D61C36"/>
    <w:rsid w:val="00D62DA7"/>
    <w:rsid w:val="00D95370"/>
    <w:rsid w:val="00DB5F63"/>
    <w:rsid w:val="00DD06CE"/>
    <w:rsid w:val="00DE6BFA"/>
    <w:rsid w:val="00E02136"/>
    <w:rsid w:val="00E033B0"/>
    <w:rsid w:val="00E50B40"/>
    <w:rsid w:val="00EB7C5C"/>
    <w:rsid w:val="00F85C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58D27"/>
  <w15:chartTrackingRefBased/>
  <w15:docId w15:val="{E8371F6B-4479-4CD3-992B-2583B1BCC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33B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rsid w:val="00B313C0"/>
    <w:rPr>
      <w:rFonts w:ascii="Calibri" w:hAnsi="Calibri" w:cs="Calibri"/>
      <w:noProof/>
    </w:rPr>
  </w:style>
  <w:style w:type="character" w:customStyle="1" w:styleId="EndNoteBibliographyChar">
    <w:name w:val="EndNote Bibliography Char"/>
    <w:basedOn w:val="DefaultParagraphFont"/>
    <w:link w:val="EndNoteBibliography"/>
    <w:rsid w:val="00B313C0"/>
    <w:rPr>
      <w:rFonts w:ascii="Calibri" w:hAnsi="Calibri" w:cs="Calibri"/>
      <w:noProof/>
    </w:rPr>
  </w:style>
  <w:style w:type="character" w:styleId="CommentReference">
    <w:name w:val="annotation reference"/>
    <w:basedOn w:val="DefaultParagraphFont"/>
    <w:uiPriority w:val="99"/>
    <w:semiHidden/>
    <w:unhideWhenUsed/>
    <w:rsid w:val="00D62DA7"/>
    <w:rPr>
      <w:sz w:val="16"/>
      <w:szCs w:val="16"/>
    </w:rPr>
  </w:style>
  <w:style w:type="paragraph" w:styleId="CommentText">
    <w:name w:val="annotation text"/>
    <w:basedOn w:val="Normal"/>
    <w:link w:val="CommentTextChar"/>
    <w:uiPriority w:val="99"/>
    <w:unhideWhenUsed/>
    <w:rsid w:val="00D62DA7"/>
    <w:rPr>
      <w:sz w:val="20"/>
      <w:szCs w:val="20"/>
    </w:rPr>
  </w:style>
  <w:style w:type="character" w:customStyle="1" w:styleId="CommentTextChar">
    <w:name w:val="Comment Text Char"/>
    <w:basedOn w:val="DefaultParagraphFont"/>
    <w:link w:val="CommentText"/>
    <w:uiPriority w:val="99"/>
    <w:rsid w:val="00D62DA7"/>
    <w:rPr>
      <w:sz w:val="20"/>
      <w:szCs w:val="20"/>
    </w:rPr>
  </w:style>
  <w:style w:type="paragraph" w:styleId="CommentSubject">
    <w:name w:val="annotation subject"/>
    <w:basedOn w:val="CommentText"/>
    <w:next w:val="CommentText"/>
    <w:link w:val="CommentSubjectChar"/>
    <w:uiPriority w:val="99"/>
    <w:semiHidden/>
    <w:unhideWhenUsed/>
    <w:rsid w:val="00D62DA7"/>
    <w:rPr>
      <w:b/>
      <w:bCs/>
    </w:rPr>
  </w:style>
  <w:style w:type="character" w:customStyle="1" w:styleId="CommentSubjectChar">
    <w:name w:val="Comment Subject Char"/>
    <w:basedOn w:val="CommentTextChar"/>
    <w:link w:val="CommentSubject"/>
    <w:uiPriority w:val="99"/>
    <w:semiHidden/>
    <w:rsid w:val="00D62DA7"/>
    <w:rPr>
      <w:b/>
      <w:bCs/>
      <w:sz w:val="20"/>
      <w:szCs w:val="20"/>
    </w:rPr>
  </w:style>
  <w:style w:type="paragraph" w:styleId="NormalWeb">
    <w:name w:val="Normal (Web)"/>
    <w:basedOn w:val="Normal"/>
    <w:uiPriority w:val="99"/>
    <w:unhideWhenUsed/>
    <w:rsid w:val="00370025"/>
    <w:pPr>
      <w:spacing w:before="100" w:beforeAutospacing="1" w:after="100" w:afterAutospacing="1"/>
    </w:pPr>
  </w:style>
  <w:style w:type="character" w:styleId="Hyperlink">
    <w:name w:val="Hyperlink"/>
    <w:basedOn w:val="DefaultParagraphFont"/>
    <w:uiPriority w:val="99"/>
    <w:unhideWhenUsed/>
    <w:rsid w:val="008426A9"/>
    <w:rPr>
      <w:color w:val="0563C1" w:themeColor="hyperlink"/>
      <w:u w:val="single"/>
    </w:rPr>
  </w:style>
  <w:style w:type="character" w:styleId="UnresolvedMention">
    <w:name w:val="Unresolved Mention"/>
    <w:basedOn w:val="DefaultParagraphFont"/>
    <w:uiPriority w:val="99"/>
    <w:semiHidden/>
    <w:unhideWhenUsed/>
    <w:rsid w:val="008426A9"/>
    <w:rPr>
      <w:color w:val="605E5C"/>
      <w:shd w:val="clear" w:color="auto" w:fill="E1DFDD"/>
    </w:rPr>
  </w:style>
  <w:style w:type="character" w:styleId="PlaceholderText">
    <w:name w:val="Placeholder Text"/>
    <w:basedOn w:val="DefaultParagraphFont"/>
    <w:uiPriority w:val="99"/>
    <w:semiHidden/>
    <w:rsid w:val="0048110E"/>
    <w:rPr>
      <w:color w:val="808080"/>
    </w:rPr>
  </w:style>
  <w:style w:type="paragraph" w:styleId="Revision">
    <w:name w:val="Revision"/>
    <w:hidden/>
    <w:uiPriority w:val="99"/>
    <w:semiHidden/>
    <w:rsid w:val="00E50B40"/>
    <w:pPr>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122009"/>
    <w:rPr>
      <w:color w:val="954F72" w:themeColor="followedHyperlink"/>
      <w:u w:val="single"/>
    </w:rPr>
  </w:style>
  <w:style w:type="paragraph" w:styleId="Bibliography">
    <w:name w:val="Bibliography"/>
    <w:basedOn w:val="Normal"/>
    <w:next w:val="Normal"/>
    <w:uiPriority w:val="37"/>
    <w:unhideWhenUsed/>
    <w:rsid w:val="00221252"/>
    <w:pPr>
      <w:tabs>
        <w:tab w:val="left" w:pos="384"/>
      </w:tabs>
      <w:spacing w:after="240"/>
      <w:ind w:left="384" w:hanging="384"/>
    </w:pPr>
  </w:style>
  <w:style w:type="paragraph" w:styleId="Caption">
    <w:name w:val="caption"/>
    <w:basedOn w:val="Normal"/>
    <w:next w:val="Normal"/>
    <w:uiPriority w:val="35"/>
    <w:unhideWhenUsed/>
    <w:qFormat/>
    <w:rsid w:val="002023A3"/>
    <w:pPr>
      <w:spacing w:after="200"/>
    </w:pPr>
    <w:rPr>
      <w:i/>
      <w:iCs/>
      <w:color w:val="44546A" w:themeColor="text2"/>
      <w:sz w:val="18"/>
      <w:szCs w:val="18"/>
    </w:rPr>
  </w:style>
  <w:style w:type="table" w:styleId="TableGrid">
    <w:name w:val="Table Grid"/>
    <w:basedOn w:val="TableNormal"/>
    <w:uiPriority w:val="39"/>
    <w:rsid w:val="00246A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37AAE"/>
    <w:rPr>
      <w:b/>
      <w:bCs/>
    </w:rPr>
  </w:style>
  <w:style w:type="paragraph" w:styleId="ListParagraph">
    <w:name w:val="List Paragraph"/>
    <w:basedOn w:val="Normal"/>
    <w:uiPriority w:val="34"/>
    <w:qFormat/>
    <w:rsid w:val="006721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766995">
      <w:bodyDiv w:val="1"/>
      <w:marLeft w:val="0"/>
      <w:marRight w:val="0"/>
      <w:marTop w:val="0"/>
      <w:marBottom w:val="0"/>
      <w:divBdr>
        <w:top w:val="none" w:sz="0" w:space="0" w:color="auto"/>
        <w:left w:val="none" w:sz="0" w:space="0" w:color="auto"/>
        <w:bottom w:val="none" w:sz="0" w:space="0" w:color="auto"/>
        <w:right w:val="none" w:sz="0" w:space="0" w:color="auto"/>
      </w:divBdr>
    </w:div>
    <w:div w:id="1496454590">
      <w:bodyDiv w:val="1"/>
      <w:marLeft w:val="0"/>
      <w:marRight w:val="0"/>
      <w:marTop w:val="0"/>
      <w:marBottom w:val="0"/>
      <w:divBdr>
        <w:top w:val="none" w:sz="0" w:space="0" w:color="auto"/>
        <w:left w:val="none" w:sz="0" w:space="0" w:color="auto"/>
        <w:bottom w:val="none" w:sz="0" w:space="0" w:color="auto"/>
        <w:right w:val="none" w:sz="0" w:space="0" w:color="auto"/>
      </w:divBdr>
    </w:div>
    <w:div w:id="1603225493">
      <w:bodyDiv w:val="1"/>
      <w:marLeft w:val="0"/>
      <w:marRight w:val="0"/>
      <w:marTop w:val="0"/>
      <w:marBottom w:val="0"/>
      <w:divBdr>
        <w:top w:val="none" w:sz="0" w:space="0" w:color="auto"/>
        <w:left w:val="none" w:sz="0" w:space="0" w:color="auto"/>
        <w:bottom w:val="none" w:sz="0" w:space="0" w:color="auto"/>
        <w:right w:val="none" w:sz="0" w:space="0" w:color="auto"/>
      </w:divBdr>
    </w:div>
    <w:div w:id="1916282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5C8D81-865D-4B28-9313-9C34F4730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8120</Words>
  <Characters>46288</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UCSF</Company>
  <LinksUpToDate>false</LinksUpToDate>
  <CharactersWithSpaces>54300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Vandevrede, Lawren</dc:creator>
  <cp:keywords/>
  <dc:description/>
  <cp:lastModifiedBy>Vandevrede, Lawren</cp:lastModifiedBy>
  <cp:revision>2</cp:revision>
  <dcterms:created xsi:type="dcterms:W3CDTF">2023-09-05T22:49:00Z</dcterms:created>
  <dcterms:modified xsi:type="dcterms:W3CDTF">2023-09-05T22:49:00Z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id="Z9s1ijue"/&gt;&lt;style id="http://www.zotero.org/styles/acta-neuropathologica" hasBibliography="1" bibliographyStyleHasBeenSet="1"/&gt;&lt;prefs&gt;&lt;pref name="fieldType" value="Field"/&gt;&lt;/prefs&gt;&lt;/data&gt;</vt:lpwstr>
  </property>
</Properties>
</file>