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1: Representative IMC images showing overlapping expression of cell type and senescence markers. </w:t>
      </w:r>
      <w:r w:rsidRPr="00452737">
        <w:rPr>
          <w:rFonts w:ascii="Arial" w:hAnsi="Arial" w:cs="Arial"/>
          <w:color w:val="auto"/>
          <w:sz w:val="22"/>
          <w:szCs w:val="22"/>
        </w:rPr>
        <w:t>Multiplexed imaging mass cytometry (IMC) (scale bar = 50 µm) revealed overlapping expression of a) microglia (IBA1), b) oligodendrocyte lineage (OLIG2) and c) astrocyte (GFAP) markers with senescence markers (GLB1 and p16). Orange arrowheads highlight senescent cells. d) Proportions of GLB1</w:t>
      </w:r>
      <w:r w:rsidRPr="00452737">
        <w:rPr>
          <w:rFonts w:ascii="Arial" w:hAnsi="Arial" w:cs="Arial"/>
          <w:color w:val="auto"/>
          <w:sz w:val="22"/>
          <w:szCs w:val="22"/>
          <w:vertAlign w:val="superscript"/>
        </w:rPr>
        <w:t>+</w:t>
      </w:r>
      <w:r w:rsidRPr="00452737">
        <w:rPr>
          <w:rFonts w:ascii="Arial" w:hAnsi="Arial" w:cs="Arial"/>
          <w:color w:val="auto"/>
          <w:sz w:val="22"/>
          <w:szCs w:val="22"/>
        </w:rPr>
        <w:t xml:space="preserve"> endothelial cells (GLUT1</w:t>
      </w:r>
      <w:r w:rsidRPr="00452737">
        <w:rPr>
          <w:rFonts w:ascii="Arial" w:hAnsi="Arial" w:cs="Arial"/>
          <w:color w:val="auto"/>
          <w:sz w:val="22"/>
          <w:szCs w:val="22"/>
          <w:vertAlign w:val="superscript"/>
        </w:rPr>
        <w:t>+</w:t>
      </w:r>
      <w:r w:rsidRPr="00452737">
        <w:rPr>
          <w:rFonts w:ascii="Arial" w:hAnsi="Arial" w:cs="Arial"/>
          <w:color w:val="auto"/>
          <w:sz w:val="22"/>
          <w:szCs w:val="22"/>
        </w:rPr>
        <w:t>) and neurons (MAP2</w:t>
      </w:r>
      <w:r w:rsidRPr="00452737">
        <w:rPr>
          <w:rFonts w:ascii="Arial" w:hAnsi="Arial" w:cs="Arial"/>
          <w:color w:val="auto"/>
          <w:sz w:val="22"/>
          <w:szCs w:val="22"/>
          <w:vertAlign w:val="superscript"/>
        </w:rPr>
        <w:t>+</w:t>
      </w:r>
      <w:r w:rsidRPr="00452737">
        <w:rPr>
          <w:rFonts w:ascii="Arial" w:hAnsi="Arial" w:cs="Arial"/>
          <w:color w:val="auto"/>
          <w:sz w:val="22"/>
          <w:szCs w:val="22"/>
        </w:rPr>
        <w:t>) were calculated in AD and NDC using IMC.</w:t>
      </w:r>
    </w:p>
    <w:p w:rsidR="00C437EF" w:rsidRPr="00452737" w:rsidRDefault="00C437EF" w:rsidP="00C437EF">
      <w:pPr>
        <w:rPr>
          <w:i/>
          <w:iCs/>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Supplementary figure 2: Cells expressing senescence markers in entorhinal and somatosensory cortices detected by IMC</w:t>
      </w:r>
      <w:r w:rsidRPr="00452737">
        <w:rPr>
          <w:rFonts w:ascii="Arial" w:hAnsi="Arial" w:cs="Arial"/>
          <w:color w:val="auto"/>
          <w:sz w:val="22"/>
          <w:szCs w:val="22"/>
        </w:rPr>
        <w:t>. a)  Multiplexed imaging mass cytometry (IMC) revealed overlapping expression of DNA damage marker γH2AX and cell type specific markers (IBA1; microglia, MAP2; neuron, GFAP; astrocyte).</w:t>
      </w:r>
      <w:r w:rsidRPr="00452737">
        <w:rPr>
          <w:rFonts w:ascii="Arial" w:hAnsi="Arial" w:cs="Arial"/>
          <w:color w:val="auto"/>
          <w:sz w:val="22"/>
          <w:szCs w:val="22"/>
          <w:lang w:eastAsia="en-GB"/>
        </w:rPr>
        <w:t xml:space="preserve"> </w:t>
      </w:r>
      <w:r w:rsidRPr="00452737">
        <w:rPr>
          <w:rFonts w:ascii="Arial" w:hAnsi="Arial" w:cs="Arial"/>
          <w:color w:val="auto"/>
          <w:sz w:val="22"/>
          <w:szCs w:val="22"/>
        </w:rPr>
        <w:t xml:space="preserve">Proportion of nuclei of all clusters expressing senescence markers in AD and NDC in b) entorhinal cortex (EC) and c) somatosensory cortex (SSC) (Wilcoxon rank-sum test, p &lt;= 0.1 is reported).  </w:t>
      </w:r>
    </w:p>
    <w:p w:rsidR="00C437EF" w:rsidRPr="00452737" w:rsidRDefault="00C437EF" w:rsidP="00C437EF">
      <w:pPr>
        <w:rPr>
          <w:i/>
          <w:iCs/>
          <w:lang w:eastAsia="en-GB"/>
        </w:rPr>
      </w:pPr>
    </w:p>
    <w:p w:rsidR="00C437EF" w:rsidRPr="00452737" w:rsidRDefault="00C437EF" w:rsidP="00C437EF">
      <w:pPr>
        <w:pStyle w:val="Caption"/>
        <w:jc w:val="both"/>
        <w:rPr>
          <w:rFonts w:ascii="Arial" w:hAnsi="Arial" w:cs="Arial"/>
          <w:color w:val="auto"/>
          <w:sz w:val="22"/>
          <w:szCs w:val="22"/>
          <w:lang w:eastAsia="en-GB"/>
        </w:rPr>
      </w:pPr>
      <w:r w:rsidRPr="00452737">
        <w:rPr>
          <w:rFonts w:ascii="Arial" w:hAnsi="Arial" w:cs="Arial"/>
          <w:b/>
          <w:bCs/>
          <w:color w:val="auto"/>
          <w:sz w:val="22"/>
          <w:szCs w:val="22"/>
        </w:rPr>
        <w:t>Supplementary figure 3: All cell clusters are equally represented in both AD and NDC groups</w:t>
      </w:r>
      <w:r w:rsidRPr="00452737">
        <w:rPr>
          <w:rFonts w:ascii="Arial" w:hAnsi="Arial" w:cs="Arial"/>
          <w:color w:val="auto"/>
          <w:sz w:val="22"/>
          <w:szCs w:val="22"/>
        </w:rPr>
        <w:t>. a) UMAP showing the cellular clusters generated by SIMPLI from cohort-2 IMC data grouped by Control or AD in each brain regions. b) Proportions of all cell clusters identified by SIMPLI are equally represented in AD and Control.</w:t>
      </w:r>
    </w:p>
    <w:p w:rsidR="00C437EF" w:rsidRPr="00452737" w:rsidRDefault="00C437EF" w:rsidP="00C437EF">
      <w:pPr>
        <w:rPr>
          <w:i/>
          <w:iCs/>
          <w:lang w:eastAsia="en-GB"/>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4: Canonical marker gene expression reveals distinct cell types. a) </w:t>
      </w:r>
      <w:r w:rsidRPr="00452737">
        <w:rPr>
          <w:rFonts w:ascii="Arial" w:hAnsi="Arial" w:cs="Arial"/>
          <w:color w:val="auto"/>
          <w:sz w:val="22"/>
          <w:szCs w:val="22"/>
        </w:rPr>
        <w:t xml:space="preserve">UMAP </w:t>
      </w:r>
      <w:proofErr w:type="spellStart"/>
      <w:r w:rsidRPr="00452737">
        <w:rPr>
          <w:rFonts w:ascii="Arial" w:hAnsi="Arial" w:cs="Arial"/>
          <w:color w:val="auto"/>
          <w:sz w:val="22"/>
          <w:szCs w:val="22"/>
        </w:rPr>
        <w:t>featureplots</w:t>
      </w:r>
      <w:proofErr w:type="spellEnd"/>
      <w:r w:rsidRPr="00452737">
        <w:rPr>
          <w:rFonts w:ascii="Arial" w:hAnsi="Arial" w:cs="Arial"/>
          <w:color w:val="auto"/>
          <w:sz w:val="22"/>
          <w:szCs w:val="22"/>
        </w:rPr>
        <w:t xml:space="preserve"> of canonical cell marker genes for astrocytes (GFAP), microglia (CSFR1), oligodendrocytes (PLP1), oligodendrocyte precursor cells (PDGFRA), vascular cells (CLDN5, COL4A1, DCN) and neurons (GAD1, GAD2, CUX2, RORB, SST, PVALB, SV2C, VIP). b) Percentage of senescent nuclei between AD and NDC across all cell types (Wilcoxon rank-sum test, Astro, astrocytes; Micro, microglia; Oligo, oligodendrocytes; OPC, Oligodendrocyte progenitor cells; </w:t>
      </w:r>
      <w:proofErr w:type="spellStart"/>
      <w:r w:rsidRPr="00452737">
        <w:rPr>
          <w:rFonts w:ascii="Arial" w:hAnsi="Arial" w:cs="Arial"/>
          <w:color w:val="auto"/>
          <w:sz w:val="22"/>
          <w:szCs w:val="22"/>
        </w:rPr>
        <w:t>Vasc</w:t>
      </w:r>
      <w:proofErr w:type="spellEnd"/>
      <w:r w:rsidRPr="00452737">
        <w:rPr>
          <w:rFonts w:ascii="Arial" w:hAnsi="Arial" w:cs="Arial"/>
          <w:color w:val="auto"/>
          <w:sz w:val="22"/>
          <w:szCs w:val="22"/>
        </w:rPr>
        <w:t xml:space="preserve">, vascular cells; </w:t>
      </w:r>
      <w:proofErr w:type="spellStart"/>
      <w:r w:rsidRPr="00452737">
        <w:rPr>
          <w:rFonts w:ascii="Arial" w:hAnsi="Arial" w:cs="Arial"/>
          <w:color w:val="auto"/>
          <w:sz w:val="22"/>
          <w:szCs w:val="22"/>
        </w:rPr>
        <w:t>Exc</w:t>
      </w:r>
      <w:proofErr w:type="spellEnd"/>
      <w:r w:rsidRPr="00452737">
        <w:rPr>
          <w:rFonts w:ascii="Arial" w:hAnsi="Arial" w:cs="Arial"/>
          <w:color w:val="auto"/>
          <w:sz w:val="22"/>
          <w:szCs w:val="22"/>
        </w:rPr>
        <w:t xml:space="preserve">, excitatory neurons, </w:t>
      </w:r>
      <w:proofErr w:type="spellStart"/>
      <w:r w:rsidRPr="00452737">
        <w:rPr>
          <w:rFonts w:ascii="Arial" w:hAnsi="Arial" w:cs="Arial"/>
          <w:color w:val="auto"/>
          <w:sz w:val="22"/>
          <w:szCs w:val="22"/>
        </w:rPr>
        <w:t>Inh</w:t>
      </w:r>
      <w:proofErr w:type="spellEnd"/>
      <w:r w:rsidRPr="00452737">
        <w:rPr>
          <w:rFonts w:ascii="Arial" w:hAnsi="Arial" w:cs="Arial"/>
          <w:color w:val="auto"/>
          <w:sz w:val="22"/>
          <w:szCs w:val="22"/>
        </w:rPr>
        <w:t>; Inhibitory neurons).</w:t>
      </w:r>
    </w:p>
    <w:p w:rsidR="00C437EF" w:rsidRPr="00452737" w:rsidRDefault="00C437EF" w:rsidP="00C437EF">
      <w:pPr>
        <w:jc w:val="both"/>
        <w:rPr>
          <w:rFonts w:ascii="Arial" w:hAnsi="Arial" w:cs="Arial"/>
          <w:i/>
          <w:iCs/>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5: Differential gene and pathway expression between AD and NDC cortical brain tissue for nuclei from different cell types. </w:t>
      </w:r>
      <w:r w:rsidRPr="00452737">
        <w:rPr>
          <w:rFonts w:ascii="Arial" w:hAnsi="Arial" w:cs="Arial"/>
          <w:color w:val="auto"/>
          <w:sz w:val="22"/>
          <w:szCs w:val="22"/>
        </w:rPr>
        <w:t xml:space="preserve">Volcano plot showing differentially expressed genes in AD compared to NDC at </w:t>
      </w:r>
      <w:proofErr w:type="spellStart"/>
      <w:r w:rsidRPr="00452737">
        <w:rPr>
          <w:rFonts w:ascii="Arial" w:hAnsi="Arial" w:cs="Arial"/>
          <w:color w:val="auto"/>
          <w:sz w:val="22"/>
          <w:szCs w:val="22"/>
        </w:rPr>
        <w:t>logFC</w:t>
      </w:r>
      <w:proofErr w:type="spellEnd"/>
      <w:r w:rsidRPr="00452737">
        <w:rPr>
          <w:rFonts w:ascii="Arial" w:hAnsi="Arial" w:cs="Arial"/>
          <w:color w:val="auto"/>
          <w:sz w:val="22"/>
          <w:szCs w:val="22"/>
        </w:rPr>
        <w:t xml:space="preserve"> cut-off 0.25 and adjusted p-value cut-off 0.05 for a) astrocytes, b) oligodendrocytes, c) OPC, d) excitatory neurons and e) inhibitory neuron and f) vascular cells. Orange and blue bar plots are show major gene ontologies (GO Biological Processes) for upregulated or downregulated genes, respectively.</w:t>
      </w:r>
    </w:p>
    <w:p w:rsidR="00C437EF" w:rsidRPr="00452737" w:rsidRDefault="00C437EF" w:rsidP="00C437EF">
      <w:pPr>
        <w:jc w:val="both"/>
        <w:rPr>
          <w:rFonts w:ascii="Arial" w:hAnsi="Arial" w:cs="Arial"/>
          <w:i/>
          <w:iCs/>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Supplementary figure 6: Gene set enrichment analysis associated with increasing 4G8+ β-amyloid load.</w:t>
      </w:r>
      <w:r w:rsidRPr="00452737">
        <w:rPr>
          <w:rFonts w:ascii="Arial" w:hAnsi="Arial" w:cs="Arial"/>
          <w:color w:val="auto"/>
          <w:sz w:val="22"/>
          <w:szCs w:val="22"/>
        </w:rPr>
        <w:t xml:space="preserve"> a) </w:t>
      </w:r>
      <w:proofErr w:type="spellStart"/>
      <w:r w:rsidRPr="00452737">
        <w:rPr>
          <w:rFonts w:ascii="Arial" w:hAnsi="Arial" w:cs="Arial"/>
          <w:color w:val="auto"/>
          <w:sz w:val="22"/>
          <w:szCs w:val="22"/>
        </w:rPr>
        <w:t>Heatmap</w:t>
      </w:r>
      <w:proofErr w:type="spellEnd"/>
      <w:r w:rsidRPr="00452737">
        <w:rPr>
          <w:rFonts w:ascii="Arial" w:hAnsi="Arial" w:cs="Arial"/>
          <w:color w:val="auto"/>
          <w:sz w:val="22"/>
          <w:szCs w:val="22"/>
        </w:rPr>
        <w:t xml:space="preserve"> showing z-scores for enrichments in senescence gene sets associated with the same measures of β-amyloid pathology load across cell types. </w:t>
      </w:r>
      <w:proofErr w:type="gramStart"/>
      <w:r w:rsidRPr="00452737">
        <w:rPr>
          <w:rFonts w:ascii="Arial" w:hAnsi="Arial" w:cs="Arial"/>
          <w:color w:val="auto"/>
          <w:sz w:val="22"/>
          <w:szCs w:val="22"/>
        </w:rPr>
        <w:t>b</w:t>
      </w:r>
      <w:proofErr w:type="gramEnd"/>
      <w:r w:rsidRPr="00452737">
        <w:rPr>
          <w:rFonts w:ascii="Arial" w:hAnsi="Arial" w:cs="Arial"/>
          <w:color w:val="auto"/>
          <w:sz w:val="22"/>
          <w:szCs w:val="22"/>
        </w:rPr>
        <w:t>, c) CSP gene set score per sample is plotted as a function of b) %4G</w:t>
      </w:r>
      <w:r w:rsidRPr="00452737">
        <w:rPr>
          <w:rFonts w:ascii="Arial" w:hAnsi="Arial" w:cs="Arial"/>
          <w:color w:val="auto"/>
          <w:sz w:val="22"/>
          <w:szCs w:val="22"/>
          <w:vertAlign w:val="superscript"/>
        </w:rPr>
        <w:t xml:space="preserve">+ </w:t>
      </w:r>
      <w:r w:rsidRPr="00452737">
        <w:rPr>
          <w:rFonts w:ascii="Arial" w:hAnsi="Arial" w:cs="Arial"/>
          <w:color w:val="auto"/>
          <w:sz w:val="22"/>
          <w:szCs w:val="22"/>
        </w:rPr>
        <w:t xml:space="preserve">area (β-amyloid) densities and c) </w:t>
      </w:r>
      <w:proofErr w:type="spellStart"/>
      <w:r w:rsidRPr="00452737">
        <w:rPr>
          <w:rFonts w:ascii="Arial" w:hAnsi="Arial" w:cs="Arial"/>
          <w:color w:val="auto"/>
          <w:sz w:val="22"/>
          <w:szCs w:val="22"/>
        </w:rPr>
        <w:t>braak</w:t>
      </w:r>
      <w:proofErr w:type="spellEnd"/>
      <w:r w:rsidRPr="00452737">
        <w:rPr>
          <w:rFonts w:ascii="Arial" w:hAnsi="Arial" w:cs="Arial"/>
          <w:color w:val="auto"/>
          <w:sz w:val="22"/>
          <w:szCs w:val="22"/>
        </w:rPr>
        <w:t xml:space="preserve"> stages. Linear mixed model, adjusted </w:t>
      </w:r>
      <w:proofErr w:type="spellStart"/>
      <w:r w:rsidRPr="00452737">
        <w:rPr>
          <w:rFonts w:ascii="Arial" w:hAnsi="Arial" w:cs="Arial"/>
          <w:color w:val="auto"/>
          <w:sz w:val="22"/>
          <w:szCs w:val="22"/>
        </w:rPr>
        <w:t>pval</w:t>
      </w:r>
      <w:proofErr w:type="spellEnd"/>
      <w:r w:rsidRPr="00452737">
        <w:rPr>
          <w:rFonts w:ascii="Arial" w:hAnsi="Arial" w:cs="Arial"/>
          <w:color w:val="auto"/>
          <w:sz w:val="22"/>
          <w:szCs w:val="22"/>
        </w:rPr>
        <w:t xml:space="preserve"> is reported.   </w:t>
      </w:r>
    </w:p>
    <w:p w:rsidR="00C437EF" w:rsidRPr="00452737" w:rsidRDefault="00C437EF" w:rsidP="00C437EF">
      <w:pPr>
        <w:widowControl w:val="0"/>
        <w:autoSpaceDE w:val="0"/>
        <w:autoSpaceDN w:val="0"/>
        <w:adjustRightInd w:val="0"/>
        <w:spacing w:line="360" w:lineRule="auto"/>
        <w:jc w:val="both"/>
        <w:rPr>
          <w:rFonts w:ascii="Arial" w:hAnsi="Arial" w:cs="Arial"/>
          <w:i/>
          <w:iCs/>
          <w:noProof/>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7: Meta-analysis of senescence-associated gene expression in previously published AD </w:t>
      </w:r>
      <w:proofErr w:type="spellStart"/>
      <w:r w:rsidRPr="00452737">
        <w:rPr>
          <w:rFonts w:ascii="Arial" w:hAnsi="Arial" w:cs="Arial"/>
          <w:b/>
          <w:bCs/>
          <w:color w:val="auto"/>
          <w:sz w:val="22"/>
          <w:szCs w:val="22"/>
        </w:rPr>
        <w:t>snRNAseq</w:t>
      </w:r>
      <w:proofErr w:type="spellEnd"/>
      <w:r w:rsidRPr="00452737">
        <w:rPr>
          <w:rFonts w:ascii="Arial" w:hAnsi="Arial" w:cs="Arial"/>
          <w:b/>
          <w:bCs/>
          <w:color w:val="auto"/>
          <w:sz w:val="22"/>
          <w:szCs w:val="22"/>
        </w:rPr>
        <w:t xml:space="preserve"> datasets. </w:t>
      </w:r>
      <w:r w:rsidRPr="00452737">
        <w:rPr>
          <w:rFonts w:ascii="Arial" w:hAnsi="Arial" w:cs="Arial"/>
          <w:color w:val="auto"/>
          <w:sz w:val="22"/>
          <w:szCs w:val="22"/>
        </w:rPr>
        <w:t>We re-</w:t>
      </w:r>
      <w:proofErr w:type="spellStart"/>
      <w:r w:rsidRPr="00452737">
        <w:rPr>
          <w:rFonts w:ascii="Arial" w:hAnsi="Arial" w:cs="Arial"/>
          <w:color w:val="auto"/>
          <w:sz w:val="22"/>
          <w:szCs w:val="22"/>
        </w:rPr>
        <w:t>analysed</w:t>
      </w:r>
      <w:proofErr w:type="spellEnd"/>
      <w:r w:rsidRPr="00452737">
        <w:rPr>
          <w:rFonts w:ascii="Arial" w:hAnsi="Arial" w:cs="Arial"/>
          <w:color w:val="auto"/>
          <w:sz w:val="22"/>
          <w:szCs w:val="22"/>
        </w:rPr>
        <w:t xml:space="preserve"> previously published datasets </w:t>
      </w:r>
      <w:r w:rsidRPr="00452737">
        <w:rPr>
          <w:rFonts w:ascii="Arial" w:hAnsi="Arial" w:cs="Arial"/>
          <w:color w:val="auto"/>
          <w:sz w:val="22"/>
          <w:szCs w:val="22"/>
        </w:rPr>
        <w:fldChar w:fldCharType="begin" w:fldLock="1"/>
      </w:r>
      <w:r>
        <w:rPr>
          <w:rFonts w:ascii="Arial" w:hAnsi="Arial" w:cs="Arial"/>
          <w:color w:val="auto"/>
          <w:sz w:val="22"/>
          <w:szCs w:val="22"/>
        </w:rPr>
        <w:instrText>ADDIN CSL_CITATION {"citationItems":[{"id":"ITEM-1","itemData":{"DOI":"10.1007/s00401-021-02372-6","ISBN":"0123456789","ISSN":"14320533","PMID":"34767070","abstract":"To better define roles that astrocytes and microglia play in Alzheimer’s disease (AD), we used single-nuclei RNA-sequencing to comprehensively characterise transcriptomes in astrocyte and microglia nuclei selectively enriched during isolation post-mortem from neuropathologically defined AD and control brains with a range of amyloid-beta and phospho-tau (pTau) pathology. Significant differences in glial gene expression (including AD risk genes expressed in both the astrocytes [CLU, MEF2C, IQCK] and microglia [APOE, MS4A6A, PILRA]) were correlated with tissue amyloid or pTau expression. The differentially expressed genes were distinct between with the two cell types and pathologies, although common (but cell-type specific) gene sets were enriched with both pathologies in each cell type. Astrocytes showed enrichment for proteostatic, inflammatory and metal ion homeostasis pathways. Pathways for phagocytosis, inflammation and proteostasis were enriched in microglia and perivascular macrophages with greater tissue amyloid, but IL1-related pathway enrichment was found specifically in association with pTau. We also found distinguishable sub-clusters in the astrocytes and microglia characterised by transcriptional signatures related to either homeostatic functions or disease pathology. Gene co-expression analyses revealed potential functional associations of soluble biomarkers of AD in astrocytes (CLU) and microglia (GPNMB). Our work highlights responses of both astrocytes and microglia for pathological protein clearance and inflammation, as well as glial transcriptional diversity in AD.","author":[{"dropping-particle":"","family":"Smith","given":"Amy M.","non-dropping-particle":"","parse-names":false,"suffix":""},{"dropping-particle":"","family":"Davey","given":"Karen","non-dropping-particle":"","parse-names":false,"suffix":""},{"dropping-particle":"","family":"Tsartsalis","given":"Stergios","non-dropping-particle":"","parse-names":false,"suffix":""},{"dropping-particle":"","family":"Khozoie","given":"Combiz","non-dropping-particle":"","parse-names":false,"suffix":""},{"dropping-particle":"","family":"Fancy","given":"Nurun","non-dropping-particle":"","parse-names":false,"suffix":""},{"dropping-particle":"","family":"Tang","given":"See Swee","non-dropping-particle":"","parse-names":false,"suffix":""},{"dropping-particle":"","family":"Liaptsi","given":"Eirini","non-dropping-particle":"","parse-names":false,"suffix":""},{"dropping-particle":"","family":"Weinert","given":"Maria","non-dropping-particle":"","parse-names":false,"suffix":""},{"dropping-particle":"","family":"McGarry","given":"Aisling","non-dropping-particle":"","parse-names":false,"suffix":""},{"dropping-particle":"","family":"Muirhead","given":"Robert C.J.","non-dropping-particle":"","parse-names":false,"suffix":""},{"dropping-particle":"","family":"Gentleman","given":"Steve","non-dropping-particle":"","parse-names":false,"suffix":""},{"dropping-particle":"","family":"Owen","given":"David R.","non-dropping-particle":"","parse-names":false,"suffix":""},{"dropping-particle":"","family":"Matthews","given":"Paul M.","non-dropping-particle":"","parse-names":false,"suffix":""}],"container-title":"Acta Neuropathologica","id":"ITEM-1","issue":"1","issued":{"date-parts":[["2022"]]},"page":"75-91","title":"Diverse human astrocyte and microglial transcriptional responses to Alzheimer’s pathology","type":"article-journal","volume":"143"},"uris":["http://www.mendeley.com/documents/?uuid=f73af5f9-6a93-412d-a0ee-628acac1f259"]}],"mendeley":{"formattedCitation":"[66]","plainTextFormattedCitation":"[66]","previouslyFormattedCitation":"[7]"},"properties":{"noteIndex":0},"schema":"https://github.com/citation-style-language/schema/raw/master/csl-citation.json"}</w:instrText>
      </w:r>
      <w:r w:rsidRPr="00452737">
        <w:rPr>
          <w:rFonts w:ascii="Arial" w:hAnsi="Arial" w:cs="Arial"/>
          <w:color w:val="auto"/>
          <w:sz w:val="22"/>
          <w:szCs w:val="22"/>
        </w:rPr>
        <w:fldChar w:fldCharType="separate"/>
      </w:r>
      <w:r w:rsidRPr="00516B89">
        <w:rPr>
          <w:rFonts w:ascii="Arial" w:hAnsi="Arial" w:cs="Arial"/>
          <w:i w:val="0"/>
          <w:noProof/>
          <w:color w:val="auto"/>
          <w:sz w:val="22"/>
          <w:szCs w:val="22"/>
        </w:rPr>
        <w:t>[66]</w:t>
      </w:r>
      <w:r w:rsidRPr="00452737">
        <w:rPr>
          <w:rFonts w:ascii="Arial" w:hAnsi="Arial" w:cs="Arial"/>
          <w:color w:val="auto"/>
          <w:sz w:val="22"/>
          <w:szCs w:val="22"/>
        </w:rPr>
        <w:fldChar w:fldCharType="end"/>
      </w:r>
      <w:r w:rsidRPr="00452737">
        <w:rPr>
          <w:rFonts w:ascii="Arial" w:hAnsi="Arial" w:cs="Arial"/>
          <w:color w:val="auto"/>
          <w:sz w:val="22"/>
          <w:szCs w:val="22"/>
        </w:rPr>
        <w:t>) to explore senescence-associated gene expression upregulated in a) astrocytes or b) microglia with increasing %4G8</w:t>
      </w:r>
      <w:r w:rsidRPr="00452737">
        <w:rPr>
          <w:rFonts w:ascii="Arial" w:hAnsi="Arial" w:cs="Arial"/>
          <w:color w:val="auto"/>
          <w:sz w:val="22"/>
          <w:szCs w:val="22"/>
          <w:vertAlign w:val="superscript"/>
        </w:rPr>
        <w:t>+</w:t>
      </w:r>
      <w:r w:rsidRPr="00452737">
        <w:rPr>
          <w:rFonts w:ascii="Arial" w:hAnsi="Arial" w:cs="Arial"/>
          <w:color w:val="auto"/>
          <w:sz w:val="22"/>
          <w:szCs w:val="22"/>
        </w:rPr>
        <w:t xml:space="preserve"> (β-amyloid) load. c) Forest plot showing the meta </w:t>
      </w:r>
      <w:r w:rsidRPr="00452737">
        <w:rPr>
          <w:rFonts w:ascii="Arial" w:hAnsi="Arial" w:cs="Arial"/>
          <w:color w:val="auto"/>
          <w:sz w:val="22"/>
          <w:szCs w:val="22"/>
        </w:rPr>
        <w:lastRenderedPageBreak/>
        <w:t xml:space="preserve">log2FC (orange diamond), meta p-value and log2FC effect sizes (red square) along with 95% CI (error bars) of “canonical senescence pathway” gene set expression between AD and NDC samples in individual datasets calculated from the meta-analysis of 14 previously published AD </w:t>
      </w:r>
      <w:proofErr w:type="spellStart"/>
      <w:r w:rsidRPr="00452737">
        <w:rPr>
          <w:rFonts w:ascii="Arial" w:hAnsi="Arial" w:cs="Arial"/>
          <w:color w:val="auto"/>
          <w:sz w:val="22"/>
          <w:szCs w:val="22"/>
        </w:rPr>
        <w:t>snRNAseq</w:t>
      </w:r>
      <w:proofErr w:type="spellEnd"/>
      <w:r w:rsidRPr="00452737">
        <w:rPr>
          <w:rFonts w:ascii="Arial" w:hAnsi="Arial" w:cs="Arial"/>
          <w:color w:val="auto"/>
          <w:sz w:val="22"/>
          <w:szCs w:val="22"/>
        </w:rPr>
        <w:t xml:space="preserve"> datasets. d) Contrast of the mean CSP gene set scores as a function of age for AD and NDC samples. Linear plateau modelling, </w:t>
      </w:r>
      <w:proofErr w:type="spellStart"/>
      <w:r w:rsidRPr="00452737">
        <w:rPr>
          <w:rFonts w:ascii="Arial" w:hAnsi="Arial" w:cs="Arial"/>
          <w:color w:val="auto"/>
          <w:sz w:val="22"/>
          <w:szCs w:val="22"/>
        </w:rPr>
        <w:t>pval</w:t>
      </w:r>
      <w:proofErr w:type="spellEnd"/>
      <w:r w:rsidRPr="00452737">
        <w:rPr>
          <w:rFonts w:ascii="Arial" w:hAnsi="Arial" w:cs="Arial"/>
          <w:color w:val="auto"/>
          <w:sz w:val="22"/>
          <w:szCs w:val="22"/>
        </w:rPr>
        <w:t xml:space="preserve"> is reported.</w:t>
      </w:r>
    </w:p>
    <w:p w:rsidR="00C437EF" w:rsidRPr="00452737" w:rsidRDefault="00C437EF" w:rsidP="00C437EF">
      <w:pPr>
        <w:jc w:val="both"/>
        <w:rPr>
          <w:rFonts w:ascii="Arial" w:hAnsi="Arial" w:cs="Arial"/>
          <w:i/>
          <w:iCs/>
        </w:rPr>
      </w:pPr>
    </w:p>
    <w:p w:rsidR="00C437EF" w:rsidRPr="00452737" w:rsidRDefault="00C437EF" w:rsidP="00C437EF">
      <w:pPr>
        <w:jc w:val="both"/>
        <w:rPr>
          <w:rFonts w:ascii="Arial" w:hAnsi="Arial" w:cs="Arial"/>
          <w:i/>
          <w:iCs/>
        </w:rPr>
      </w:pPr>
      <w:r w:rsidRPr="00452737">
        <w:rPr>
          <w:rFonts w:ascii="Arial" w:hAnsi="Arial" w:cs="Arial"/>
          <w:b/>
          <w:bCs/>
          <w:i/>
          <w:iCs/>
        </w:rPr>
        <w:t>Supplementary figure 8: Gene Ontology (GO) pathway enrichment in genes up- and down-regulated with greater 4G8</w:t>
      </w:r>
      <w:r w:rsidRPr="00452737">
        <w:rPr>
          <w:rFonts w:ascii="Arial" w:hAnsi="Arial" w:cs="Arial"/>
          <w:b/>
          <w:bCs/>
          <w:i/>
          <w:iCs/>
          <w:vertAlign w:val="superscript"/>
        </w:rPr>
        <w:t>+</w:t>
      </w:r>
      <w:r w:rsidRPr="00452737">
        <w:rPr>
          <w:rFonts w:ascii="Arial" w:hAnsi="Arial" w:cs="Arial"/>
          <w:b/>
          <w:bCs/>
          <w:i/>
          <w:iCs/>
        </w:rPr>
        <w:t xml:space="preserve"> β-amyloid areas in tissue sections paired to those for </w:t>
      </w:r>
      <w:proofErr w:type="spellStart"/>
      <w:r w:rsidRPr="00452737">
        <w:rPr>
          <w:rFonts w:ascii="Arial" w:hAnsi="Arial" w:cs="Arial"/>
          <w:b/>
          <w:bCs/>
          <w:i/>
          <w:iCs/>
        </w:rPr>
        <w:t>snRNAseq</w:t>
      </w:r>
      <w:proofErr w:type="spellEnd"/>
      <w:r w:rsidRPr="00452737">
        <w:rPr>
          <w:rFonts w:ascii="Arial" w:hAnsi="Arial" w:cs="Arial"/>
          <w:b/>
          <w:bCs/>
          <w:i/>
          <w:iCs/>
        </w:rPr>
        <w:t xml:space="preserve">. </w:t>
      </w:r>
      <w:r w:rsidRPr="00452737">
        <w:rPr>
          <w:rFonts w:ascii="Arial" w:hAnsi="Arial" w:cs="Arial"/>
          <w:i/>
          <w:iCs/>
        </w:rPr>
        <w:t>Top significantly enriched pathways from regression of gene expression against %4G8</w:t>
      </w:r>
      <w:proofErr w:type="gramStart"/>
      <w:r w:rsidRPr="00452737">
        <w:rPr>
          <w:rFonts w:ascii="Arial" w:hAnsi="Arial" w:cs="Arial"/>
          <w:i/>
          <w:iCs/>
          <w:vertAlign w:val="superscript"/>
        </w:rPr>
        <w:t>+</w:t>
      </w:r>
      <w:r w:rsidRPr="00452737">
        <w:rPr>
          <w:rFonts w:ascii="Arial" w:hAnsi="Arial" w:cs="Arial"/>
          <w:i/>
          <w:iCs/>
        </w:rPr>
        <w:t>(</w:t>
      </w:r>
      <w:proofErr w:type="gramEnd"/>
      <w:r w:rsidRPr="00452737">
        <w:rPr>
          <w:rFonts w:ascii="Arial" w:hAnsi="Arial" w:cs="Arial"/>
          <w:i/>
          <w:iCs/>
        </w:rPr>
        <w:t xml:space="preserve">β-amyloid) area for a) upregulated and b) downregulated genes from each cell type. Pathways were considered significant at 0.05 FDR. </w:t>
      </w:r>
    </w:p>
    <w:p w:rsidR="00C437EF" w:rsidRPr="00452737" w:rsidRDefault="00C437EF" w:rsidP="00C437EF">
      <w:pPr>
        <w:jc w:val="both"/>
        <w:rPr>
          <w:rFonts w:ascii="Arial" w:hAnsi="Arial" w:cs="Arial"/>
          <w:i/>
          <w:iCs/>
          <w:noProof/>
        </w:rPr>
      </w:pPr>
    </w:p>
    <w:p w:rsidR="00C437EF" w:rsidRPr="00452737" w:rsidRDefault="00C437EF" w:rsidP="00C437EF">
      <w:pPr>
        <w:jc w:val="both"/>
        <w:rPr>
          <w:rFonts w:ascii="Arial" w:hAnsi="Arial" w:cs="Arial"/>
          <w:i/>
          <w:iCs/>
        </w:rPr>
      </w:pPr>
      <w:r w:rsidRPr="00452737">
        <w:rPr>
          <w:rFonts w:ascii="Arial" w:hAnsi="Arial" w:cs="Arial"/>
          <w:b/>
          <w:bCs/>
          <w:i/>
          <w:iCs/>
        </w:rPr>
        <w:t xml:space="preserve">Supplementary figure 9: Senescence-associated gene signatures were differentially expressed for different microglia sub-types. </w:t>
      </w:r>
      <w:r w:rsidRPr="00452737">
        <w:rPr>
          <w:rFonts w:ascii="Arial" w:hAnsi="Arial" w:cs="Arial"/>
          <w:i/>
          <w:iCs/>
        </w:rPr>
        <w:t xml:space="preserve">a) </w:t>
      </w:r>
      <w:proofErr w:type="spellStart"/>
      <w:r w:rsidRPr="00452737">
        <w:rPr>
          <w:rFonts w:ascii="Arial" w:hAnsi="Arial" w:cs="Arial"/>
          <w:i/>
          <w:iCs/>
        </w:rPr>
        <w:t>Heatmap</w:t>
      </w:r>
      <w:proofErr w:type="spellEnd"/>
      <w:r w:rsidRPr="00452737">
        <w:rPr>
          <w:rFonts w:ascii="Arial" w:hAnsi="Arial" w:cs="Arial"/>
          <w:i/>
          <w:iCs/>
        </w:rPr>
        <w:t xml:space="preserve"> showing the top 5 marker genes distinguishing microglial sub-types. b) Mean expression of marker gene sets </w:t>
      </w:r>
      <w:r w:rsidRPr="00452737">
        <w:rPr>
          <w:rFonts w:ascii="Arial" w:hAnsi="Arial" w:cs="Arial"/>
          <w:i/>
          <w:iCs/>
        </w:rPr>
        <w:fldChar w:fldCharType="begin" w:fldLock="1"/>
      </w:r>
      <w:r>
        <w:rPr>
          <w:rFonts w:ascii="Arial" w:hAnsi="Arial" w:cs="Arial"/>
          <w:i/>
          <w:iCs/>
        </w:rPr>
        <w:instrText>ADDIN CSL_CITATION {"citationItems":[{"id":"ITEM-1","itemData":{"DOI":"10.1101/2022.07.07.499139","ISSN":"26928205","abstract":"Microglial activation and neuroinflammation are initial steps in the pathogenesis of Alzheimer’s disease (AD). However, studies in mouse models and human postmortem samples have yielded divergent results regarding microglia cell states relevant to AD. Here, we investigate 127,000 single cell expression profiles of human microglia isolated freshly from a xenotransplantation model for early AD. While human microglia adopt a disease-associated (DAM) profile, they display a much more pronounced HLA-cell state related to antigen presentation in response to amyloid plaques. In parallel, a distinctive pro-inflammatory cytokine and chemokine CRM response is mounted against oligomeric amyloid-β. TREM2 and, to a lesser extent, APOE polymorphisms, modulate the response of microglia to amyloid-β plaques, in contrast with the response to oligomeric Aβ. Specific polygenic risk genes are enriched in each branch of these multi-pronged response of human microglia to amyloid pathology (ARM). ARM responses can be captured in post-mortem studies when reanalyzed in light of this novel, comprehensive data set. In conclusion, therapeutic strategies targeting microglia in AD need to carefully assess how they affect the different cell states, as the overall balance between distinct microglial profiles might determine a protective or damaging outcome.\n\n### Competing Interest Statement\n\nB.D.S. is or has been a consultant for Eli Lilly, Biogen, Janssen Pharmaceutica, Eisai, AbbVie and other companies. B.D.S is also a scientific founder of Augustine Therapeutics and a scientific founder and stockholder of Muna Therapeutics.","author":[{"dropping-particle":"","family":"Mancuso","given":"Renzo","non-dropping-particle":"","parse-names":false,"suffix":""},{"dropping-particle":"","family":"Fattorelli","given":"Nicola","non-dropping-particle":"","parse-names":false,"suffix":""},{"dropping-particle":"","family":"Martinez-Muriana","given":"Anna","non-dropping-particle":"","parse-names":false,"suffix":""},{"dropping-particle":"","family":"Davis","given":"Emma","non-dropping-particle":"","parse-names":false,"suffix":""},{"dropping-particle":"","family":"Wolfs","given":"Leen","non-dropping-particle":"","parse-names":false,"suffix":""},{"dropping-particle":"","family":"Van","given":"Johanna","non-dropping-particle":"","parse-names":false,"suffix":""},{"dropping-particle":"","family":"Daele","given":"Den","non-dropping-particle":"","parse-names":false,"suffix":""},{"dropping-particle":"","family":"Geric","given":"Ivana","non-dropping-particle":"","parse-names":false,"suffix":""},{"dropping-particle":"","family":"Preman","given":"Pranav","non-dropping-particle":"","parse-names":false,"suffix":""},{"dropping-particle":"","family":"Serneels","given":"Lutgarde","non-dropping-particle":"","parse-names":false,"suffix":""},{"dropping-particle":"","family":"Poovathingal","given":"Suresh","non-dropping-particle":"","parse-names":false,"suffix":""},{"dropping-particle":"","family":"Balusu","given":"Sriram","non-dropping-particle":"","parse-names":false,"suffix":""},{"dropping-particle":"","family":"Verfaille","given":"Catherine","non-dropping-particle":"","parse-names":false,"suffix":""},{"dropping-particle":"","family":"Fiers","given":"Mark","non-dropping-particle":"","parse-names":false,"suffix":""},{"dropping-particle":"","family":"Strooper","given":"Bart","non-dropping-particle":"De","parse-names":false,"suffix":""}],"container-title":"bioRxiv","id":"ITEM-1","issued":{"date-parts":[["2022","7","7"]]},"page":"2022.07.07.499139","publisher":"Cold Spring Harbor Laboratory","title":"A multi-pronged human microglia response to Alzheimer’s disease Aβ pathology","type":"article-journal"},"uris":["http://www.mendeley.com/documents/?uuid=3bcf3ea5-f273-37b2-8e02-a67d3dcafb0b"]}],"mendeley":{"formattedCitation":"[47]","plainTextFormattedCitation":"[47]","previouslyFormattedCitation":"[5]"},"properties":{"noteIndex":0},"schema":"https://github.com/citation-style-language/schema/raw/master/csl-citation.json"}</w:instrText>
      </w:r>
      <w:r w:rsidRPr="00452737">
        <w:rPr>
          <w:rFonts w:ascii="Arial" w:hAnsi="Arial" w:cs="Arial"/>
          <w:i/>
          <w:iCs/>
        </w:rPr>
        <w:fldChar w:fldCharType="separate"/>
      </w:r>
      <w:r w:rsidRPr="00516B89">
        <w:rPr>
          <w:rFonts w:ascii="Arial" w:hAnsi="Arial" w:cs="Arial"/>
          <w:iCs/>
          <w:noProof/>
        </w:rPr>
        <w:t>[47]</w:t>
      </w:r>
      <w:r w:rsidRPr="00452737">
        <w:rPr>
          <w:rFonts w:ascii="Arial" w:hAnsi="Arial" w:cs="Arial"/>
          <w:i/>
          <w:iCs/>
        </w:rPr>
        <w:fldChar w:fldCharType="end"/>
      </w:r>
      <w:r w:rsidRPr="00452737">
        <w:rPr>
          <w:rFonts w:ascii="Arial" w:hAnsi="Arial" w:cs="Arial"/>
          <w:i/>
          <w:iCs/>
        </w:rPr>
        <w:t xml:space="preserve"> distinguishing microglial sub-populations. c) Enrichment of marker gene sets from </w:t>
      </w:r>
      <w:r w:rsidRPr="00452737">
        <w:rPr>
          <w:rFonts w:ascii="Arial" w:hAnsi="Arial" w:cs="Arial"/>
          <w:i/>
          <w:iCs/>
        </w:rPr>
        <w:fldChar w:fldCharType="begin" w:fldLock="1"/>
      </w:r>
      <w:r>
        <w:rPr>
          <w:rFonts w:ascii="Arial" w:hAnsi="Arial" w:cs="Arial"/>
          <w:i/>
          <w:iCs/>
        </w:rPr>
        <w:instrText>ADDIN CSL_CITATION {"citationItems":[{"id":"ITEM-1","itemData":{"DOI":"10.1016/J.CELL.2023.08.005","ISSN":"1097-4172","PMID":"37774681","abstract":"Cellular perturbations underlying Alzheimer's disease (AD) are primarily studied in human postmortem samples and model organisms. Here, we generated a single-nucleus atlas from a rare cohort of cortical biopsies from living individuals with varying degrees of AD pathology. We next performed a systematic cross-disease and cross-species integrative analysis to identify a set of cell states that are specific to early AD pathology. These changes—which we refer to as the early cortical amyloid response—were prominent in neurons, wherein we identified a transitional hyperactive state preceding the loss of excitatory neurons, which we confirmed by acute slice physiology on independent biopsy specimens. Microglia overexpressing neuroinflammatory-related processes also expanded as AD pathology increased. Finally, both oligodendrocytes and pyramidal neurons upregulated genes associated with β-amyloid production and processing during this early hyperactive phase. Our integrative analysis provides an organizing framework for targeting circuit dysfunction, neuroinflammation, and amyloid production early in AD pathogenesis.","author":[{"dropping-particle":"","family":"Gazestani","given":"Vahid","non-dropping-particle":"","parse-names":false,"suffix":""},{"dropping-particle":"","family":"Kamath","given":"Tushar","non-dropping-particle":"","parse-names":false,"suffix":""},{"dropping-particle":"","family":"Nadaf","given":"Naeem M.","non-dropping-particle":"","parse-names":false,"suffix":""},{"dropping-particle":"","family":"Dougalis","given":"Antonios","non-dropping-particle":"","parse-names":false,"suffix":""},{"dropping-particle":"","family":"Burris","given":"S. J.","non-dropping-particle":"","parse-names":false,"suffix":""},{"dropping-particle":"","family":"Rooney","given":"Brendan","non-dropping-particle":"","parse-names":false,"suffix":""},{"dropping-particle":"","family":"Junkkari","given":"Antti","non-dropping-particle":"","parse-names":false,"suffix":""},{"dropping-particle":"","family":"Vanderburg","given":"Charles","non-dropping-particle":"","parse-names":false,"suffix":""},{"dropping-particle":"","family":"Pelkonen","given":"Anssi","non-dropping-particle":"","parse-names":false,"suffix":""},{"dropping-particle":"","family":"Gomez-Budia","given":"Mireia","non-dropping-particle":"","parse-names":false,"suffix":""},{"dropping-particle":"","family":"Välimäki","given":"Nelli Noora","non-dropping-particle":"","parse-names":false,"suffix":""},{"dropping-particle":"","family":"Rauramaa","given":"Tuomas","non-dropping-particle":"","parse-names":false,"suffix":""},{"dropping-particle":"","family":"Therrien","given":"Martine","non-dropping-particle":"","parse-names":false,"suffix":""},{"dropping-particle":"","family":"Koivisto","given":"Anne M.","non-dropping-particle":"","parse-names":false,"suffix":""},{"dropping-particle":"","family":"Tegtmeyer","given":"Matthew","non-dropping-particle":"","parse-names":false,"suffix":""},{"dropping-particle":"","family":"Herukka","given":"Sanna Kaisa","non-dropping-particle":"","parse-names":false,"suffix":""},{"dropping-particle":"","family":"Abdulraouf","given":"Abdulraouf","non-dropping-particle":"","parse-names":false,"suffix":""},{"dropping-particle":"","family":"Marsh","given":"Samuel E.","non-dropping-particle":"","parse-names":false,"suffix":""},{"dropping-particle":"","family":"Hiltunen","given":"Mikko","non-dropping-particle":"","parse-names":false,"suffix":""},{"dropping-particle":"","family":"Nehme","given":"Ralda","non-dropping-particle":"","parse-names":false,"suffix":""},{"dropping-particle":"","family":"Malm","given":"Tarja","non-dropping-particle":"","parse-names":false,"suffix":""},{"dropping-particle":"","family":"Stevens","given":"Beth","non-dropping-particle":"","parse-names":false,"suffix":""},{"dropping-particle":"","family":"Leinonen","given":"Ville","non-dropping-particle":"","parse-names":false,"suffix":""},{"dropping-particle":"","family":"Macosko","given":"Evan Z.","non-dropping-particle":"","parse-names":false,"suffix":""}],"container-title":"Cell","id":"ITEM-1","issue":"20","issued":{"date-parts":[["2023","9","28"]]},"page":"4438-4453.e23","publisher":"Cell","title":"Early Alzheimer's disease pathology in human cortex involves transient cell states","type":"article-journal","volume":"186"},"uris":["http://www.mendeley.com/documents/?uuid=789fd721-fd49-3d15-89cb-03c0eec48410"]}],"mendeley":{"formattedCitation":"[23]","plainTextFormattedCitation":"[23]","previouslyFormattedCitation":"[3]"},"properties":{"noteIndex":0},"schema":"https://github.com/citation-style-language/schema/raw/master/csl-citation.json"}</w:instrText>
      </w:r>
      <w:r w:rsidRPr="00452737">
        <w:rPr>
          <w:rFonts w:ascii="Arial" w:hAnsi="Arial" w:cs="Arial"/>
          <w:i/>
          <w:iCs/>
        </w:rPr>
        <w:fldChar w:fldCharType="separate"/>
      </w:r>
      <w:r w:rsidRPr="00516B89">
        <w:rPr>
          <w:rFonts w:ascii="Arial" w:hAnsi="Arial" w:cs="Arial"/>
          <w:iCs/>
          <w:noProof/>
        </w:rPr>
        <w:t>[23]</w:t>
      </w:r>
      <w:r w:rsidRPr="00452737">
        <w:rPr>
          <w:rFonts w:ascii="Arial" w:hAnsi="Arial" w:cs="Arial"/>
          <w:i/>
          <w:iCs/>
        </w:rPr>
        <w:fldChar w:fldCharType="end"/>
      </w:r>
      <w:r w:rsidRPr="00452737">
        <w:rPr>
          <w:rFonts w:ascii="Arial" w:hAnsi="Arial" w:cs="Arial"/>
          <w:i/>
          <w:iCs/>
        </w:rPr>
        <w:t xml:space="preserve"> in the markers detected in microglial sub-populations in this study. </w:t>
      </w:r>
      <w:proofErr w:type="gramStart"/>
      <w:r w:rsidRPr="00452737">
        <w:rPr>
          <w:rFonts w:ascii="Arial" w:hAnsi="Arial" w:cs="Arial"/>
          <w:i/>
          <w:iCs/>
        </w:rPr>
        <w:t>d</w:t>
      </w:r>
      <w:proofErr w:type="gramEnd"/>
      <w:r w:rsidRPr="00452737">
        <w:rPr>
          <w:rFonts w:ascii="Arial" w:hAnsi="Arial" w:cs="Arial"/>
          <w:i/>
          <w:iCs/>
        </w:rPr>
        <w:t xml:space="preserve">, e) UMAP </w:t>
      </w:r>
      <w:proofErr w:type="spellStart"/>
      <w:r w:rsidRPr="00452737">
        <w:rPr>
          <w:rFonts w:ascii="Arial" w:hAnsi="Arial" w:cs="Arial"/>
          <w:i/>
          <w:iCs/>
        </w:rPr>
        <w:t>color</w:t>
      </w:r>
      <w:proofErr w:type="spellEnd"/>
      <w:r w:rsidRPr="00452737">
        <w:rPr>
          <w:rFonts w:ascii="Arial" w:hAnsi="Arial" w:cs="Arial"/>
          <w:i/>
          <w:iCs/>
        </w:rPr>
        <w:t xml:space="preserve">-scaled </w:t>
      </w:r>
      <w:proofErr w:type="spellStart"/>
      <w:r w:rsidRPr="00452737">
        <w:rPr>
          <w:rFonts w:ascii="Arial" w:hAnsi="Arial" w:cs="Arial"/>
          <w:i/>
          <w:iCs/>
        </w:rPr>
        <w:t>featureplots</w:t>
      </w:r>
      <w:proofErr w:type="spellEnd"/>
      <w:r w:rsidRPr="00452737">
        <w:rPr>
          <w:rFonts w:ascii="Arial" w:hAnsi="Arial" w:cs="Arial"/>
          <w:i/>
          <w:iCs/>
        </w:rPr>
        <w:t xml:space="preserve"> showing total numbers of genes expressed (d) and the percentages of mitochondrial genes (e) in microglia nuclei </w:t>
      </w:r>
      <w:r w:rsidRPr="00452737">
        <w:rPr>
          <w:rStyle w:val="cf01"/>
          <w:rFonts w:ascii="Arial" w:hAnsi="Arial" w:cs="Arial"/>
          <w:i/>
          <w:iCs/>
        </w:rPr>
        <w:t>highlighting that increased relative proportions of senescence genes are expressed in nuclei expressing lower mitochondrial gene numbers</w:t>
      </w:r>
      <w:r w:rsidRPr="00452737">
        <w:rPr>
          <w:rFonts w:ascii="Arial" w:hAnsi="Arial" w:cs="Arial"/>
          <w:i/>
          <w:iCs/>
        </w:rPr>
        <w:t>. f, g) Percentages of senescent nuclei in AD and NDC (f) and as a function of 4G8</w:t>
      </w:r>
      <w:r w:rsidRPr="00452737">
        <w:rPr>
          <w:rFonts w:ascii="Arial" w:hAnsi="Arial" w:cs="Arial"/>
          <w:i/>
          <w:iCs/>
          <w:vertAlign w:val="superscript"/>
        </w:rPr>
        <w:t>+</w:t>
      </w:r>
      <w:r w:rsidRPr="00452737">
        <w:rPr>
          <w:rFonts w:ascii="Arial" w:hAnsi="Arial" w:cs="Arial"/>
          <w:i/>
          <w:iCs/>
        </w:rPr>
        <w:t xml:space="preserve"> β-amyloid load (g) for the major microglial sub-types stratified by brain region. </w:t>
      </w:r>
      <w:proofErr w:type="gramStart"/>
      <w:r w:rsidRPr="00452737">
        <w:rPr>
          <w:rFonts w:ascii="Arial" w:hAnsi="Arial" w:cs="Arial"/>
          <w:i/>
          <w:iCs/>
        </w:rPr>
        <w:t>h</w:t>
      </w:r>
      <w:proofErr w:type="gramEnd"/>
      <w:r w:rsidRPr="00452737">
        <w:rPr>
          <w:rFonts w:ascii="Arial" w:hAnsi="Arial" w:cs="Arial"/>
          <w:i/>
          <w:iCs/>
        </w:rPr>
        <w:t xml:space="preserve">, </w:t>
      </w:r>
      <w:proofErr w:type="spellStart"/>
      <w:r w:rsidRPr="00452737">
        <w:rPr>
          <w:rFonts w:ascii="Arial" w:hAnsi="Arial" w:cs="Arial"/>
          <w:i/>
          <w:iCs/>
        </w:rPr>
        <w:t>i</w:t>
      </w:r>
      <w:proofErr w:type="spellEnd"/>
      <w:r w:rsidRPr="00452737">
        <w:rPr>
          <w:rFonts w:ascii="Arial" w:hAnsi="Arial" w:cs="Arial"/>
          <w:i/>
          <w:iCs/>
        </w:rPr>
        <w:t xml:space="preserve">) Boxplots showing the scaled mean expression of canonical senescence gene set across microglial sub-population grouped by h) CD33 variants and </w:t>
      </w:r>
      <w:proofErr w:type="spellStart"/>
      <w:r w:rsidRPr="00452737">
        <w:rPr>
          <w:rFonts w:ascii="Arial" w:hAnsi="Arial" w:cs="Arial"/>
          <w:i/>
          <w:iCs/>
        </w:rPr>
        <w:t>i</w:t>
      </w:r>
      <w:proofErr w:type="spellEnd"/>
      <w:r w:rsidRPr="00452737">
        <w:rPr>
          <w:rFonts w:ascii="Arial" w:hAnsi="Arial" w:cs="Arial"/>
          <w:i/>
          <w:iCs/>
        </w:rPr>
        <w:t>) APOE variants.</w:t>
      </w:r>
    </w:p>
    <w:p w:rsidR="00C437EF" w:rsidRPr="00452737" w:rsidRDefault="00C437EF" w:rsidP="00C437EF">
      <w:pPr>
        <w:jc w:val="both"/>
        <w:rPr>
          <w:rFonts w:ascii="Arial" w:hAnsi="Arial" w:cs="Arial"/>
          <w:i/>
          <w:iCs/>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10: Oligodendrocyte and astrocyte </w:t>
      </w:r>
      <w:proofErr w:type="spellStart"/>
      <w:r w:rsidRPr="00452737">
        <w:rPr>
          <w:rFonts w:ascii="Arial" w:hAnsi="Arial" w:cs="Arial"/>
          <w:b/>
          <w:bCs/>
          <w:color w:val="auto"/>
          <w:sz w:val="22"/>
          <w:szCs w:val="22"/>
        </w:rPr>
        <w:t>subcluster</w:t>
      </w:r>
      <w:proofErr w:type="spellEnd"/>
      <w:r w:rsidRPr="00452737">
        <w:rPr>
          <w:rFonts w:ascii="Arial" w:hAnsi="Arial" w:cs="Arial"/>
          <w:b/>
          <w:bCs/>
          <w:color w:val="auto"/>
          <w:sz w:val="22"/>
          <w:szCs w:val="22"/>
        </w:rPr>
        <w:t xml:space="preserve"> </w:t>
      </w:r>
      <w:proofErr w:type="spellStart"/>
      <w:r w:rsidRPr="00452737">
        <w:rPr>
          <w:rFonts w:ascii="Arial" w:hAnsi="Arial" w:cs="Arial"/>
          <w:b/>
          <w:bCs/>
          <w:color w:val="auto"/>
          <w:sz w:val="22"/>
          <w:szCs w:val="22"/>
        </w:rPr>
        <w:t>characterisation</w:t>
      </w:r>
      <w:proofErr w:type="spellEnd"/>
      <w:r w:rsidRPr="00452737">
        <w:rPr>
          <w:rFonts w:ascii="Arial" w:hAnsi="Arial" w:cs="Arial"/>
          <w:color w:val="auto"/>
          <w:sz w:val="22"/>
          <w:szCs w:val="22"/>
        </w:rPr>
        <w:t xml:space="preserve">. a) </w:t>
      </w:r>
      <w:proofErr w:type="spellStart"/>
      <w:r w:rsidRPr="00452737">
        <w:rPr>
          <w:rFonts w:ascii="Arial" w:hAnsi="Arial" w:cs="Arial"/>
          <w:color w:val="auto"/>
          <w:sz w:val="22"/>
          <w:szCs w:val="22"/>
        </w:rPr>
        <w:t>Heatmap</w:t>
      </w:r>
      <w:proofErr w:type="spellEnd"/>
      <w:r w:rsidRPr="00452737">
        <w:rPr>
          <w:rFonts w:ascii="Arial" w:hAnsi="Arial" w:cs="Arial"/>
          <w:color w:val="auto"/>
          <w:sz w:val="22"/>
          <w:szCs w:val="22"/>
        </w:rPr>
        <w:t xml:space="preserve"> showing the top 5 marker genes distinguishing oligodendrocytes subpopulations. b) </w:t>
      </w:r>
      <w:proofErr w:type="spellStart"/>
      <w:r w:rsidRPr="00452737">
        <w:rPr>
          <w:rFonts w:ascii="Arial" w:hAnsi="Arial" w:cs="Arial"/>
          <w:color w:val="auto"/>
          <w:sz w:val="22"/>
          <w:szCs w:val="22"/>
        </w:rPr>
        <w:t>Dotplot</w:t>
      </w:r>
      <w:proofErr w:type="spellEnd"/>
      <w:r w:rsidRPr="00452737">
        <w:rPr>
          <w:rFonts w:ascii="Arial" w:hAnsi="Arial" w:cs="Arial"/>
          <w:color w:val="auto"/>
          <w:sz w:val="22"/>
          <w:szCs w:val="22"/>
        </w:rPr>
        <w:t xml:space="preserve"> showing enrichment of external marker genes </w:t>
      </w:r>
      <w:r w:rsidRPr="00452737">
        <w:rPr>
          <w:rFonts w:ascii="Arial" w:hAnsi="Arial" w:cs="Arial"/>
          <w:color w:val="auto"/>
          <w:sz w:val="22"/>
          <w:szCs w:val="22"/>
        </w:rPr>
        <w:fldChar w:fldCharType="begin" w:fldLock="1"/>
      </w:r>
      <w:r>
        <w:rPr>
          <w:rFonts w:ascii="Arial" w:hAnsi="Arial" w:cs="Arial"/>
          <w:color w:val="auto"/>
          <w:sz w:val="22"/>
          <w:szCs w:val="22"/>
        </w:rPr>
        <w:instrText>ADDIN CSL_CITATION {"citationItems":[{"id":"ITEM-1","itemData":{"DOI":"10.1038/s41586-019-0903-2","ISSN":"1476-4687","PMID":"30747918","abstract":"Oligodendrocyte pathology is increasingly implicated in neurodegenerative diseases as oligodendrocytes both myelinate and provide metabolic support to axons. In multiple sclerosis (MS), demyelination in the central nervous system thus leads to neurodegeneration, but the severity of MS between patients is very variable. Disability does not correlate well with the extent of demyelination1, which&amp;nbsp;suggests that other factors contribute to this variability. One such factor may be oligodendrocyte heterogeneity. Not all oligodendrocytes are the same—those from the mouse spinal cord inherently produce longer myelin sheaths than those from the cortex2, and single-cell analysis of the mouse central nervous system identified further differences3,4. However, the extent of human oligodendrocyte heterogeneity and its possible contribution to MS pathology remain unknown. Here we performed single-nucleus RNA sequencing from white matter areas of post-mortem human brain from patients with MS and from&amp;nbsp;unaffected controls. We identified subclusters of oligodendroglia in control human white matter, some with&amp;nbsp;similarities to mouse, and defined new markers for these cell states. Notably, some subclusters were underrepresented in MS tissue, whereas others were more prevalent. These differences in mature oligodendrocyte subclusters may indicate different functional states of oligodendrocytes in MS lesions. We found similar changes in normal-appearing white matter, showing that MS is a more diffuse disease than its focal demyelination suggests. Our findings of an altered oligodendroglial heterogeneity in MS may be important for understanding disease progression and developing therapeutic approaches. Single-nucleus RNA sequencing analysis identifies different subclusters of oligodendroglia in white matter from individuals with multiple sclerosis compared with controls, and these differences may be important for understanding disease progression.","author":[{"dropping-particle":"","family":"Jäkel","given":"Sarah","non-dropping-particle":"","parse-names":false,"suffix":""},{"dropping-particle":"","family":"Agirre","given":"Eneritz","non-dropping-particle":"","parse-names":false,"suffix":""},{"dropping-particle":"","family":"Mendanha Falcão","given":"Ana","non-dropping-particle":"","parse-names":false,"suffix":""},{"dropping-particle":"","family":"Bruggen","given":"David","non-dropping-particle":"van","parse-names":false,"suffix":""},{"dropping-particle":"","family":"Lee","given":"Ka Wai","non-dropping-particle":"","parse-names":false,"suffix":""},{"dropping-particle":"","family":"Knuesel","given":"Irene","non-dropping-particle":"","parse-names":false,"suffix":""},{"dropping-particle":"","family":"Malhotra","given":"Dheeraj","non-dropping-particle":"","parse-names":false,"suffix":""},{"dropping-particle":"","family":"ffrench-Constant","given":"Charles","non-dropping-particle":"","parse-names":false,"suffix":""},{"dropping-particle":"","family":"Williams","given":"Anna","non-dropping-particle":"","parse-names":false,"suffix":""},{"dropping-particle":"","family":"Castelo-Branco","given":"Gonçalo","non-dropping-particle":"","parse-names":false,"suffix":""}],"container-title":"Nature 2019 566:7745","id":"ITEM-1","issue":"7745","issued":{"date-parts":[["2019","1","23"]]},"page":"543-547","publisher":"Nature Publishing Group","title":"Altered human oligodendrocyte heterogeneity in multiple sclerosis","type":"article-journal","volume":"566"},"uris":["http://www.mendeley.com/documents/?uuid=8a56cf86-a58f-3e4e-be09-e909e5701942"]},{"id":"ITEM-2","itemData":{"DOI":"10.1126/science.aaf6463","ISSN":"10959203","PMID":"27284195","abstract":"Oligodendrocytes have been considered as a functionally homogeneous population in the central nervous system (CNS). We performed single-cell RNA sequencing on 5072 cells of the oligodendrocyte lineage from 10 regions of the mouse juvenile and adult CNS. Thirteen distinct populations were identified, 12 of which represent a continuum from Pdgfra+ oligodendrocyte precursor cells (OPCs) to distinct mature oligodendrocytes. Initial stages of differentiation were similar across the juvenile CNS, whereas subsets of mature oligodendrocytes were enriched in specific regions in the adult brain. Newly formed oligodendrocytes were detected in the adult CNS and were responsive to complex motor learning. A second Pdgfra+ population, distinct from OPCs, was found along vessels. Our study reveals the dynamics of oligodendrocyte differentiation and maturation, uncoupling them at a transcriptional level and highlighting oligodendrocyte heterogeneity in the CNS.","author":[{"dropping-particle":"","family":"Marques","given":"Sueli","non-dropping-particle":"","parse-names":false,"suffix":""},{"dropping-particle":"","family":"Zeisel","given":"Amit","non-dropping-particle":"","parse-names":false,"suffix":""},{"dropping-particle":"","family":"Codeluppi","given":"Simone","non-dropping-particle":"","parse-names":false,"suffix":""},{"dropping-particle":"","family":"Bruggen","given":"David","non-dropping-particle":"Van","parse-names":false,"suffix":""},{"dropping-particle":"","family":"Falcão","given":"Ana Mendanha","non-dropping-particle":"","parse-names":false,"suffix":""},{"dropping-particle":"","family":"Xiao","given":"Lin","non-dropping-particle":"","parse-names":false,"suffix":""},{"dropping-particle":"","family":"Li","given":"Huiliang","non-dropping-particle":"","parse-names":false,"suffix":""},{"dropping-particle":"","family":"Häring","given":"Martin","non-dropping-particle":"","parse-names":false,"suffix":""},{"dropping-particle":"","family":"Hochgerner","given":"Hannah","non-dropping-particle":"","parse-names":false,"suffix":""},{"dropping-particle":"","family":"Romanov","given":"Roman A.","non-dropping-particle":"","parse-names":false,"suffix":""},{"dropping-particle":"","family":"Gyllborg","given":"Daniel","non-dropping-particle":"","parse-names":false,"suffix":""},{"dropping-particle":"","family":"Muñoz-Manchado","given":"Ana B.","non-dropping-particle":"","parse-names":false,"suffix":""},{"dropping-particle":"","family":"Manno","given":"Gioele","non-dropping-particle":"La","parse-names":false,"suffix":""},{"dropping-particle":"","family":"Lönnerberg","given":"Peter","non-dropping-particle":"","parse-names":false,"suffix":""},{"dropping-particle":"","family":"Floriddia","given":"Elisa M.","non-dropping-particle":"","parse-names":false,"suffix":""},{"dropping-particle":"","family":"Rezayee","given":"Fatemah","non-dropping-particle":"","parse-names":false,"suffix":""},{"dropping-particle":"","family":"Ernfors","given":"Patrik","non-dropping-particle":"","parse-names":false,"suffix":""},{"dropping-particle":"","family":"Arenas","given":"Ernest","non-dropping-particle":"","parse-names":false,"suffix":""},{"dropping-particle":"","family":"Hjerling-Leffler","given":"Jens","non-dropping-particle":"","parse-names":false,"suffix":""},{"dropping-particle":"","family":"Harkany","given":"Tibor","non-dropping-particle":"","parse-names":false,"suffix":""},{"dropping-particle":"","family":"Richardson","given":"William D.","non-dropping-particle":"","parse-names":false,"suffix":""},{"dropping-particle":"","family":"Linnarsson","given":"Sten","non-dropping-particle":"","parse-names":false,"suffix":""},{"dropping-particle":"","family":"Castelo-Branco","given":"Gonçalo","non-dropping-particle":"","parse-names":false,"suffix":""}],"container-title":"Science","id":"ITEM-2","issue":"6291","issued":{"date-parts":[["2016"]]},"page":"1326-1329","title":"Oligodendrocyte heterogeneity in the mouse juvenile and adult central nervous system","type":"article-journal","volume":"352"},"uris":["http://www.mendeley.com/documents/?uuid=3255f42b-c339-4b69-88bc-7c415a2f2963"]}],"mendeley":{"formattedCitation":"[33, 48]","plainTextFormattedCitation":"[33, 48]","previouslyFormattedCitation":"[4, 6]"},"properties":{"noteIndex":0},"schema":"https://github.com/citation-style-language/schema/raw/master/csl-citation.json"}</w:instrText>
      </w:r>
      <w:r w:rsidRPr="00452737">
        <w:rPr>
          <w:rFonts w:ascii="Arial" w:hAnsi="Arial" w:cs="Arial"/>
          <w:color w:val="auto"/>
          <w:sz w:val="22"/>
          <w:szCs w:val="22"/>
        </w:rPr>
        <w:fldChar w:fldCharType="separate"/>
      </w:r>
      <w:r w:rsidRPr="00516B89">
        <w:rPr>
          <w:rFonts w:ascii="Arial" w:hAnsi="Arial" w:cs="Arial"/>
          <w:i w:val="0"/>
          <w:noProof/>
          <w:color w:val="auto"/>
          <w:sz w:val="22"/>
          <w:szCs w:val="22"/>
        </w:rPr>
        <w:t>[33, 48]</w:t>
      </w:r>
      <w:r w:rsidRPr="00452737">
        <w:rPr>
          <w:rFonts w:ascii="Arial" w:hAnsi="Arial" w:cs="Arial"/>
          <w:color w:val="auto"/>
          <w:sz w:val="22"/>
          <w:szCs w:val="22"/>
        </w:rPr>
        <w:fldChar w:fldCharType="end"/>
      </w:r>
      <w:r w:rsidRPr="00452737">
        <w:rPr>
          <w:rFonts w:ascii="Arial" w:hAnsi="Arial" w:cs="Arial"/>
          <w:color w:val="auto"/>
          <w:sz w:val="22"/>
          <w:szCs w:val="22"/>
        </w:rPr>
        <w:t xml:space="preserve"> for oligodendrocyte sub-clusters across the sub-population identified in this study. c) </w:t>
      </w:r>
      <w:proofErr w:type="spellStart"/>
      <w:r w:rsidRPr="00452737">
        <w:rPr>
          <w:rFonts w:ascii="Arial" w:hAnsi="Arial" w:cs="Arial"/>
          <w:color w:val="auto"/>
          <w:sz w:val="22"/>
          <w:szCs w:val="22"/>
        </w:rPr>
        <w:t>Heatmap</w:t>
      </w:r>
      <w:proofErr w:type="spellEnd"/>
      <w:r w:rsidRPr="00452737">
        <w:rPr>
          <w:rFonts w:ascii="Arial" w:hAnsi="Arial" w:cs="Arial"/>
          <w:color w:val="auto"/>
          <w:sz w:val="22"/>
          <w:szCs w:val="22"/>
        </w:rPr>
        <w:t xml:space="preserve"> showing the top 5 marker genes distingui</w:t>
      </w:r>
      <w:bookmarkStart w:id="0" w:name="_GoBack"/>
      <w:bookmarkEnd w:id="0"/>
      <w:r w:rsidRPr="00452737">
        <w:rPr>
          <w:rFonts w:ascii="Arial" w:hAnsi="Arial" w:cs="Arial"/>
          <w:color w:val="auto"/>
          <w:sz w:val="22"/>
          <w:szCs w:val="22"/>
        </w:rPr>
        <w:t>shing astrocyte subpopulations.</w:t>
      </w:r>
    </w:p>
    <w:p w:rsidR="00C437EF" w:rsidRPr="00452737" w:rsidRDefault="00C437EF" w:rsidP="00C437EF">
      <w:pPr>
        <w:jc w:val="both"/>
        <w:rPr>
          <w:rFonts w:ascii="Arial" w:hAnsi="Arial" w:cs="Arial"/>
          <w:i/>
          <w:iCs/>
        </w:rPr>
      </w:pPr>
    </w:p>
    <w:p w:rsidR="00C437EF" w:rsidRPr="00452737"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Supplementary figure 11: Microglial sub-population changes as a function of age</w:t>
      </w:r>
      <w:r w:rsidRPr="00452737">
        <w:rPr>
          <w:rFonts w:ascii="Arial" w:hAnsi="Arial" w:cs="Arial"/>
          <w:color w:val="auto"/>
          <w:sz w:val="22"/>
          <w:szCs w:val="22"/>
        </w:rPr>
        <w:t>. a, b) Percentages of nuclei for microglial sub-populations as a function of donor age at death in this study cohort-2 (a) and in the integrated data used for the meta-analysis (b).</w:t>
      </w:r>
    </w:p>
    <w:p w:rsidR="00C437EF" w:rsidRPr="00452737" w:rsidRDefault="00C437EF" w:rsidP="00C437EF">
      <w:pPr>
        <w:widowControl w:val="0"/>
        <w:autoSpaceDE w:val="0"/>
        <w:autoSpaceDN w:val="0"/>
        <w:adjustRightInd w:val="0"/>
        <w:spacing w:line="360" w:lineRule="auto"/>
        <w:jc w:val="both"/>
        <w:rPr>
          <w:rFonts w:ascii="Arial" w:eastAsia="Times New Roman" w:hAnsi="Arial" w:cs="Arial"/>
          <w:i/>
          <w:iCs/>
          <w:lang w:eastAsia="en-GB"/>
        </w:rPr>
      </w:pPr>
    </w:p>
    <w:p w:rsidR="00C437EF" w:rsidRPr="00166170" w:rsidRDefault="00C437EF" w:rsidP="00C437EF">
      <w:pPr>
        <w:pStyle w:val="Caption"/>
        <w:jc w:val="both"/>
        <w:rPr>
          <w:rFonts w:ascii="Arial" w:hAnsi="Arial" w:cs="Arial"/>
          <w:color w:val="auto"/>
          <w:sz w:val="22"/>
          <w:szCs w:val="22"/>
        </w:rPr>
      </w:pPr>
      <w:r w:rsidRPr="00452737">
        <w:rPr>
          <w:rFonts w:ascii="Arial" w:hAnsi="Arial" w:cs="Arial"/>
          <w:b/>
          <w:bCs/>
          <w:color w:val="auto"/>
          <w:sz w:val="22"/>
          <w:szCs w:val="22"/>
        </w:rPr>
        <w:t xml:space="preserve">Supplementary figure 12: Microglia trajectory module </w:t>
      </w:r>
      <w:proofErr w:type="spellStart"/>
      <w:r w:rsidRPr="00452737">
        <w:rPr>
          <w:rFonts w:ascii="Arial" w:hAnsi="Arial" w:cs="Arial"/>
          <w:b/>
          <w:bCs/>
          <w:color w:val="auto"/>
          <w:sz w:val="22"/>
          <w:szCs w:val="22"/>
        </w:rPr>
        <w:t>featureplots</w:t>
      </w:r>
      <w:proofErr w:type="spellEnd"/>
      <w:r w:rsidRPr="00452737">
        <w:rPr>
          <w:rFonts w:ascii="Arial" w:hAnsi="Arial" w:cs="Arial"/>
          <w:color w:val="auto"/>
          <w:sz w:val="22"/>
          <w:szCs w:val="22"/>
        </w:rPr>
        <w:t xml:space="preserve">. a) Module </w:t>
      </w:r>
      <w:proofErr w:type="spellStart"/>
      <w:r w:rsidRPr="00452737">
        <w:rPr>
          <w:rFonts w:ascii="Arial" w:hAnsi="Arial" w:cs="Arial"/>
          <w:color w:val="auto"/>
          <w:sz w:val="22"/>
          <w:szCs w:val="22"/>
        </w:rPr>
        <w:t>featureplots</w:t>
      </w:r>
      <w:proofErr w:type="spellEnd"/>
      <w:r w:rsidRPr="00452737">
        <w:rPr>
          <w:rFonts w:ascii="Arial" w:hAnsi="Arial" w:cs="Arial"/>
          <w:color w:val="auto"/>
          <w:sz w:val="22"/>
          <w:szCs w:val="22"/>
        </w:rPr>
        <w:t xml:space="preserve"> showing the expression of gene modules derived from microglial trajectory analyses. b) Module-5 gene set expression as a function of %4G8</w:t>
      </w:r>
      <w:r w:rsidRPr="00452737">
        <w:rPr>
          <w:rFonts w:ascii="Arial" w:hAnsi="Arial" w:cs="Arial"/>
          <w:color w:val="auto"/>
          <w:sz w:val="22"/>
          <w:szCs w:val="22"/>
          <w:vertAlign w:val="superscript"/>
        </w:rPr>
        <w:t xml:space="preserve">+ </w:t>
      </w:r>
      <w:r w:rsidRPr="00452737">
        <w:rPr>
          <w:rFonts w:ascii="Arial" w:hAnsi="Arial" w:cs="Arial"/>
          <w:color w:val="auto"/>
          <w:sz w:val="22"/>
          <w:szCs w:val="22"/>
        </w:rPr>
        <w:t>densities.</w:t>
      </w:r>
    </w:p>
    <w:p w:rsidR="00A14CA9" w:rsidRDefault="00A14CA9"/>
    <w:sectPr w:rsidR="00A14C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EF"/>
    <w:rsid w:val="0009158B"/>
    <w:rsid w:val="000B1A56"/>
    <w:rsid w:val="000C1E97"/>
    <w:rsid w:val="0010499F"/>
    <w:rsid w:val="0013249D"/>
    <w:rsid w:val="001A698F"/>
    <w:rsid w:val="00207384"/>
    <w:rsid w:val="003A600C"/>
    <w:rsid w:val="004D19CB"/>
    <w:rsid w:val="0078605D"/>
    <w:rsid w:val="00811EEA"/>
    <w:rsid w:val="00915FE6"/>
    <w:rsid w:val="00917A9C"/>
    <w:rsid w:val="00952E6F"/>
    <w:rsid w:val="00953E28"/>
    <w:rsid w:val="00A01B4A"/>
    <w:rsid w:val="00A11A5F"/>
    <w:rsid w:val="00A14CA9"/>
    <w:rsid w:val="00A216EE"/>
    <w:rsid w:val="00A62EAD"/>
    <w:rsid w:val="00C437EF"/>
    <w:rsid w:val="00CE10D6"/>
    <w:rsid w:val="00D148D7"/>
    <w:rsid w:val="00D979E5"/>
    <w:rsid w:val="00F74D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16FBB-4A44-45F6-95B8-AD31B788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437EF"/>
    <w:pPr>
      <w:spacing w:after="200" w:line="240" w:lineRule="auto"/>
    </w:pPr>
    <w:rPr>
      <w:i/>
      <w:iCs/>
      <w:color w:val="44546A" w:themeColor="text2"/>
      <w:sz w:val="18"/>
      <w:szCs w:val="18"/>
      <w:lang w:val="en-US"/>
    </w:rPr>
  </w:style>
  <w:style w:type="character" w:customStyle="1" w:styleId="cf01">
    <w:name w:val="cf01"/>
    <w:basedOn w:val="DefaultParagraphFont"/>
    <w:rsid w:val="00C437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4037</Words>
  <Characters>23015</Characters>
  <Application>Microsoft Office Word</Application>
  <DocSecurity>0</DocSecurity>
  <Lines>191</Lines>
  <Paragraphs>53</Paragraphs>
  <ScaleCrop>false</ScaleCrop>
  <Company>HP Inc.</Company>
  <LinksUpToDate>false</LinksUpToDate>
  <CharactersWithSpaces>26999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Ashif Anwarbasha</dc:creator>
  <cp:keywords/>
  <dc:description/>
  <cp:lastModifiedBy>Ashif Anwarbasha</cp:lastModifiedBy>
  <cp:revision>1</cp:revision>
  <dcterms:created xsi:type="dcterms:W3CDTF">2024-04-03T06:46:00Z</dcterms:created>
  <dcterms:modified xsi:type="dcterms:W3CDTF">2024-04-03T06:49:00Z</dcterms:modified>
</cp:coreProperties>
</file>