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741" w:rsidRDefault="00455741" w:rsidP="004557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Differences in the Cerebral Amyloid </w:t>
      </w:r>
      <w:proofErr w:type="spellStart"/>
      <w:r>
        <w:rPr>
          <w:rFonts w:ascii="Arial" w:hAnsi="Arial" w:cs="Arial"/>
          <w:b/>
        </w:rPr>
        <w:t>Angiopathy</w:t>
      </w:r>
      <w:proofErr w:type="spellEnd"/>
      <w:r>
        <w:rPr>
          <w:rFonts w:ascii="Arial" w:hAnsi="Arial" w:cs="Arial"/>
          <w:b/>
        </w:rPr>
        <w:t xml:space="preserve"> Proteome in </w:t>
      </w:r>
      <w:proofErr w:type="gramStart"/>
      <w:r>
        <w:rPr>
          <w:rFonts w:ascii="Arial" w:hAnsi="Arial" w:cs="Arial"/>
          <w:b/>
        </w:rPr>
        <w:t>Alzheimer’s Disease</w:t>
      </w:r>
      <w:proofErr w:type="gramEnd"/>
      <w:r>
        <w:rPr>
          <w:rFonts w:ascii="Arial" w:hAnsi="Arial" w:cs="Arial"/>
          <w:b/>
        </w:rPr>
        <w:t xml:space="preserve"> and Mild Cognitive Impairment</w:t>
      </w:r>
    </w:p>
    <w:p w:rsidR="00455741" w:rsidRDefault="00455741" w:rsidP="00455741">
      <w:pPr>
        <w:rPr>
          <w:rFonts w:ascii="Arial" w:hAnsi="Arial" w:cs="Arial"/>
          <w:b/>
        </w:rPr>
      </w:pPr>
    </w:p>
    <w:p w:rsidR="00455741" w:rsidRDefault="00455741" w:rsidP="00455741">
      <w:pPr>
        <w:spacing w:line="360" w:lineRule="auto"/>
        <w:rPr>
          <w:rFonts w:ascii="Arial" w:hAnsi="Arial" w:cs="Arial"/>
          <w:vertAlign w:val="superscript"/>
        </w:rPr>
      </w:pPr>
      <w:r w:rsidRPr="00772BE4">
        <w:rPr>
          <w:rFonts w:ascii="Arial" w:hAnsi="Arial" w:cs="Arial"/>
          <w:bCs/>
        </w:rPr>
        <w:t>Dominique Leitner</w:t>
      </w:r>
      <w:r w:rsidRPr="00772BE4">
        <w:rPr>
          <w:rFonts w:ascii="Arial" w:hAnsi="Arial" w:cs="Arial"/>
          <w:bCs/>
          <w:vertAlign w:val="superscript"/>
        </w:rPr>
        <w:t>1</w:t>
      </w:r>
      <w:r>
        <w:rPr>
          <w:rFonts w:ascii="Arial" w:hAnsi="Arial" w:cs="Arial"/>
          <w:bCs/>
          <w:vertAlign w:val="superscript"/>
        </w:rPr>
        <w:t>,2,3</w:t>
      </w:r>
      <w:r w:rsidRPr="00772BE4">
        <w:rPr>
          <w:rFonts w:ascii="Arial" w:hAnsi="Arial" w:cs="Arial"/>
          <w:bCs/>
        </w:rPr>
        <w:t xml:space="preserve">, </w:t>
      </w:r>
      <w:r w:rsidRPr="00772BE4">
        <w:rPr>
          <w:rFonts w:ascii="Arial" w:hAnsi="Arial" w:cs="Arial"/>
        </w:rPr>
        <w:t>Tomas Kavanagh</w:t>
      </w:r>
      <w:r>
        <w:rPr>
          <w:rFonts w:ascii="Arial" w:hAnsi="Arial" w:cs="Arial"/>
          <w:vertAlign w:val="superscript"/>
        </w:rPr>
        <w:t>4</w:t>
      </w:r>
      <w:r w:rsidRPr="00772BE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Evgeny Kanshin</w:t>
      </w:r>
      <w:r>
        <w:rPr>
          <w:rFonts w:ascii="Arial" w:hAnsi="Arial" w:cs="Arial"/>
          <w:vertAlign w:val="superscript"/>
        </w:rPr>
        <w:t>5,6</w:t>
      </w:r>
      <w:r>
        <w:rPr>
          <w:rFonts w:ascii="Arial" w:hAnsi="Arial" w:cs="Arial"/>
        </w:rPr>
        <w:t>, Kaleah Balcomb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, Geoffrey Pires</w:t>
      </w:r>
      <w:r w:rsidRPr="00772B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,3</w:t>
      </w:r>
      <w:r>
        <w:rPr>
          <w:rFonts w:ascii="Arial" w:hAnsi="Arial" w:cs="Arial"/>
        </w:rPr>
        <w:t>, Manon Thierry</w:t>
      </w:r>
      <w:r w:rsidRPr="00772B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,3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Jianina</w:t>
      </w:r>
      <w:proofErr w:type="spellEnd"/>
      <w:r>
        <w:rPr>
          <w:rFonts w:ascii="Arial" w:hAnsi="Arial" w:cs="Arial"/>
        </w:rPr>
        <w:t xml:space="preserve"> I. Suazo</w:t>
      </w:r>
      <w:r w:rsidRPr="00772B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,3</w:t>
      </w:r>
      <w:r w:rsidRPr="00772BE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Julie Schneider</w:t>
      </w:r>
      <w:r>
        <w:rPr>
          <w:rFonts w:ascii="Arial" w:hAnsi="Arial" w:cs="Arial"/>
          <w:vertAlign w:val="superscript"/>
        </w:rPr>
        <w:t>7,8.9</w:t>
      </w:r>
      <w:r>
        <w:rPr>
          <w:rFonts w:ascii="Arial" w:hAnsi="Arial" w:cs="Arial"/>
        </w:rPr>
        <w:t>, Beatrix Ueberheide</w:t>
      </w:r>
      <w:r>
        <w:rPr>
          <w:rFonts w:ascii="Arial" w:hAnsi="Arial" w:cs="Arial"/>
          <w:vertAlign w:val="superscript"/>
        </w:rPr>
        <w:t>5,6</w:t>
      </w:r>
      <w:r>
        <w:rPr>
          <w:rFonts w:ascii="Arial" w:hAnsi="Arial" w:cs="Arial"/>
        </w:rPr>
        <w:t xml:space="preserve">, </w:t>
      </w:r>
      <w:r w:rsidRPr="00772BE4">
        <w:rPr>
          <w:rFonts w:ascii="Arial" w:hAnsi="Arial" w:cs="Arial"/>
        </w:rPr>
        <w:t>Eleanor Drummond</w:t>
      </w:r>
      <w:r>
        <w:rPr>
          <w:rFonts w:ascii="Arial" w:hAnsi="Arial" w:cs="Arial"/>
          <w:vertAlign w:val="superscript"/>
        </w:rPr>
        <w:t>4*</w:t>
      </w:r>
      <w:r>
        <w:rPr>
          <w:rFonts w:ascii="Arial" w:hAnsi="Arial" w:cs="Arial"/>
        </w:rPr>
        <w:t xml:space="preserve">, </w:t>
      </w:r>
      <w:r w:rsidRPr="00772BE4">
        <w:rPr>
          <w:rFonts w:ascii="Arial" w:hAnsi="Arial" w:cs="Arial"/>
        </w:rPr>
        <w:t>Thomas Wisniewski</w:t>
      </w:r>
      <w:r w:rsidRPr="00772B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,3,10,11*</w:t>
      </w:r>
    </w:p>
    <w:p w:rsidR="00455741" w:rsidRDefault="00455741" w:rsidP="00455741">
      <w:pPr>
        <w:rPr>
          <w:rFonts w:ascii="Arial" w:hAnsi="Arial" w:cs="Arial"/>
          <w:b/>
        </w:rPr>
      </w:pPr>
      <w:bookmarkStart w:id="0" w:name="_GoBack"/>
      <w:bookmarkEnd w:id="0"/>
    </w:p>
    <w:p w:rsidR="00455741" w:rsidRDefault="00455741" w:rsidP="00455741">
      <w:pPr>
        <w:rPr>
          <w:rFonts w:ascii="Arial" w:hAnsi="Arial" w:cs="Arial"/>
          <w:b/>
        </w:rPr>
      </w:pPr>
      <w:r w:rsidRPr="0002378C">
        <w:rPr>
          <w:rFonts w:ascii="Arial" w:hAnsi="Arial" w:cs="Arial"/>
          <w:b/>
        </w:rPr>
        <w:t>Supplemental Material</w:t>
      </w:r>
      <w:r>
        <w:rPr>
          <w:rFonts w:ascii="Arial" w:hAnsi="Arial" w:cs="Arial"/>
          <w:b/>
        </w:rPr>
        <w:t>s</w:t>
      </w:r>
    </w:p>
    <w:p w:rsidR="00455741" w:rsidRDefault="00455741" w:rsidP="00455741">
      <w:pPr>
        <w:rPr>
          <w:rFonts w:ascii="Arial" w:hAnsi="Arial" w:cs="Arial"/>
          <w:b/>
        </w:rPr>
      </w:pPr>
    </w:p>
    <w:p w:rsidR="00455741" w:rsidRPr="00126585" w:rsidRDefault="00455741" w:rsidP="0045574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Supplemental Figure 1. Collagen proteins. a-m) </w:t>
      </w:r>
      <w:r>
        <w:rPr>
          <w:rFonts w:ascii="Arial" w:hAnsi="Arial" w:cs="Arial"/>
        </w:rPr>
        <w:t>All detected collagen proteins are depicted. Significant pairwise comparisons are indicated for those analyses that were performed, * p &lt; 0.05, ** p &lt; 0.01, *** p &lt; 0.0001.</w:t>
      </w:r>
    </w:p>
    <w:p w:rsidR="00455741" w:rsidRDefault="00455741" w:rsidP="0045574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Supplemental Figure 2. Proteins important for blood brain barrier function. a) </w:t>
      </w:r>
      <w:proofErr w:type="spellStart"/>
      <w:r>
        <w:rPr>
          <w:rFonts w:ascii="Arial" w:hAnsi="Arial" w:cs="Arial"/>
        </w:rPr>
        <w:t>Occludin</w:t>
      </w:r>
      <w:proofErr w:type="spellEnd"/>
      <w:r>
        <w:rPr>
          <w:rFonts w:ascii="Arial" w:hAnsi="Arial" w:cs="Arial"/>
        </w:rPr>
        <w:t xml:space="preserve"> (OCLN) and </w:t>
      </w:r>
      <w:r w:rsidRPr="0083783F">
        <w:rPr>
          <w:rFonts w:ascii="Arial" w:hAnsi="Arial" w:cs="Arial"/>
          <w:b/>
        </w:rPr>
        <w:t>b</w:t>
      </w:r>
      <w:r w:rsidRPr="002664FB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TJP1 (ZO-1) were decreased or not detected (N.D.) in </w:t>
      </w:r>
      <w:proofErr w:type="gramStart"/>
      <w:r>
        <w:rPr>
          <w:rFonts w:ascii="Arial" w:hAnsi="Arial" w:cs="Arial"/>
        </w:rPr>
        <w:t>CAA(</w:t>
      </w:r>
      <w:proofErr w:type="gramEnd"/>
      <w:r>
        <w:rPr>
          <w:rFonts w:ascii="Arial" w:hAnsi="Arial" w:cs="Arial"/>
        </w:rPr>
        <w:t xml:space="preserve">+) vessels when compared to CAA(-) vessels. </w:t>
      </w:r>
      <w:r w:rsidRPr="0083783F">
        <w:rPr>
          <w:rFonts w:ascii="Arial" w:hAnsi="Arial" w:cs="Arial"/>
          <w:b/>
        </w:rPr>
        <w:t>c</w:t>
      </w:r>
      <w:r w:rsidRPr="00FA7291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SLC2A1 (GLUT1), important to the function of the BBB, was decreased in AD </w:t>
      </w:r>
      <w:proofErr w:type="gramStart"/>
      <w:r>
        <w:rPr>
          <w:rFonts w:ascii="Arial" w:hAnsi="Arial" w:cs="Arial"/>
        </w:rPr>
        <w:t>CAA(</w:t>
      </w:r>
      <w:proofErr w:type="gramEnd"/>
      <w:r>
        <w:rPr>
          <w:rFonts w:ascii="Arial" w:hAnsi="Arial" w:cs="Arial"/>
        </w:rPr>
        <w:t>+) vessels, with a similar trend seen in MCI. Significant pairwise comparisons are indicated for those analyses that were performed, * p &lt; 0.05, ** p &lt; 0.01, *** p &lt; 0.0001.</w:t>
      </w:r>
    </w:p>
    <w:p w:rsidR="00455741" w:rsidRDefault="00455741" w:rsidP="00455741">
      <w:pPr>
        <w:rPr>
          <w:rFonts w:ascii="Arial" w:hAnsi="Arial" w:cs="Arial"/>
          <w:b/>
        </w:rPr>
      </w:pP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Table 1. Detailed Case History</w:t>
      </w: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Supplemental Table 2. </w:t>
      </w:r>
      <w:r w:rsidRPr="00C05062">
        <w:rPr>
          <w:rFonts w:ascii="Arial" w:hAnsi="Arial" w:cs="Arial"/>
          <w:b/>
        </w:rPr>
        <w:t>Multiple Linear Regression of PCA for Group and Tissue Type</w:t>
      </w: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Supplemental Table 3. </w:t>
      </w:r>
      <w:r w:rsidRPr="00F16342">
        <w:rPr>
          <w:rFonts w:ascii="Arial" w:hAnsi="Arial" w:cs="Arial"/>
          <w:b/>
        </w:rPr>
        <w:t xml:space="preserve">LFQ Normalized Data, </w:t>
      </w:r>
      <w:proofErr w:type="gramStart"/>
      <w:r w:rsidRPr="00F16342">
        <w:rPr>
          <w:rFonts w:ascii="Arial" w:hAnsi="Arial" w:cs="Arial"/>
          <w:b/>
        </w:rPr>
        <w:t>CAA</w:t>
      </w:r>
      <w:r>
        <w:rPr>
          <w:rFonts w:ascii="Arial" w:hAnsi="Arial" w:cs="Arial"/>
          <w:b/>
        </w:rPr>
        <w:t>(</w:t>
      </w:r>
      <w:proofErr w:type="gramEnd"/>
      <w:r w:rsidRPr="00F16342">
        <w:rPr>
          <w:rFonts w:ascii="Arial" w:hAnsi="Arial" w:cs="Arial"/>
          <w:b/>
        </w:rPr>
        <w:t>+</w:t>
      </w:r>
      <w:r>
        <w:rPr>
          <w:rFonts w:ascii="Arial" w:hAnsi="Arial" w:cs="Arial"/>
          <w:b/>
        </w:rPr>
        <w:t>) vs CAA(</w:t>
      </w:r>
      <w:r w:rsidRPr="00F16342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)</w:t>
      </w:r>
      <w:r w:rsidRPr="00F16342">
        <w:rPr>
          <w:rFonts w:ascii="Arial" w:hAnsi="Arial" w:cs="Arial"/>
          <w:b/>
        </w:rPr>
        <w:t xml:space="preserve"> Paired T-tests, CAA</w:t>
      </w:r>
      <w:r>
        <w:rPr>
          <w:rFonts w:ascii="Arial" w:hAnsi="Arial" w:cs="Arial"/>
          <w:b/>
        </w:rPr>
        <w:t>(</w:t>
      </w:r>
      <w:r w:rsidRPr="00F16342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)</w:t>
      </w:r>
      <w:r w:rsidRPr="00F16342">
        <w:rPr>
          <w:rFonts w:ascii="Arial" w:hAnsi="Arial" w:cs="Arial"/>
          <w:b/>
        </w:rPr>
        <w:t xml:space="preserve"> Unpaired T-tests</w:t>
      </w: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Table 4. GO C</w:t>
      </w:r>
      <w:r w:rsidRPr="00F16342">
        <w:rPr>
          <w:rFonts w:ascii="Arial" w:hAnsi="Arial" w:cs="Arial"/>
          <w:b/>
        </w:rPr>
        <w:t xml:space="preserve">ell </w:t>
      </w:r>
      <w:r>
        <w:rPr>
          <w:rFonts w:ascii="Arial" w:hAnsi="Arial" w:cs="Arial"/>
          <w:b/>
        </w:rPr>
        <w:t>C</w:t>
      </w:r>
      <w:r w:rsidRPr="00F16342">
        <w:rPr>
          <w:rFonts w:ascii="Arial" w:hAnsi="Arial" w:cs="Arial"/>
          <w:b/>
        </w:rPr>
        <w:t xml:space="preserve">omponent </w:t>
      </w:r>
      <w:r>
        <w:rPr>
          <w:rFonts w:ascii="Arial" w:hAnsi="Arial" w:cs="Arial"/>
          <w:b/>
        </w:rPr>
        <w:t>T</w:t>
      </w:r>
      <w:r w:rsidRPr="00F16342">
        <w:rPr>
          <w:rFonts w:ascii="Arial" w:hAnsi="Arial" w:cs="Arial"/>
          <w:b/>
        </w:rPr>
        <w:t xml:space="preserve">erms for MCI </w:t>
      </w:r>
      <w:proofErr w:type="gramStart"/>
      <w:r w:rsidRPr="00F16342">
        <w:rPr>
          <w:rFonts w:ascii="Arial" w:hAnsi="Arial" w:cs="Arial"/>
          <w:b/>
        </w:rPr>
        <w:t>CAA</w:t>
      </w:r>
      <w:r>
        <w:rPr>
          <w:rFonts w:ascii="Arial" w:hAnsi="Arial" w:cs="Arial"/>
          <w:b/>
        </w:rPr>
        <w:t>(</w:t>
      </w:r>
      <w:proofErr w:type="gramEnd"/>
      <w:r w:rsidRPr="00F16342">
        <w:rPr>
          <w:rFonts w:ascii="Arial" w:hAnsi="Arial" w:cs="Arial"/>
          <w:b/>
        </w:rPr>
        <w:t>+</w:t>
      </w:r>
      <w:r>
        <w:rPr>
          <w:rFonts w:ascii="Arial" w:hAnsi="Arial" w:cs="Arial"/>
          <w:b/>
        </w:rPr>
        <w:t>) vs CAA(</w:t>
      </w:r>
      <w:r w:rsidRPr="00F16342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)</w:t>
      </w: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Supplemental Table 5. </w:t>
      </w:r>
      <w:r w:rsidRPr="00F16342">
        <w:rPr>
          <w:rFonts w:ascii="Arial" w:hAnsi="Arial" w:cs="Arial"/>
          <w:b/>
        </w:rPr>
        <w:t xml:space="preserve">GO Cell Component Terms for AD </w:t>
      </w:r>
      <w:proofErr w:type="gramStart"/>
      <w:r w:rsidRPr="00F16342">
        <w:rPr>
          <w:rFonts w:ascii="Arial" w:hAnsi="Arial" w:cs="Arial"/>
          <w:b/>
        </w:rPr>
        <w:t>CAA</w:t>
      </w:r>
      <w:r>
        <w:rPr>
          <w:rFonts w:ascii="Arial" w:hAnsi="Arial" w:cs="Arial"/>
          <w:b/>
        </w:rPr>
        <w:t>(</w:t>
      </w:r>
      <w:proofErr w:type="gramEnd"/>
      <w:r w:rsidRPr="00F16342">
        <w:rPr>
          <w:rFonts w:ascii="Arial" w:hAnsi="Arial" w:cs="Arial"/>
          <w:b/>
        </w:rPr>
        <w:t>+</w:t>
      </w:r>
      <w:r>
        <w:rPr>
          <w:rFonts w:ascii="Arial" w:hAnsi="Arial" w:cs="Arial"/>
          <w:b/>
        </w:rPr>
        <w:t>) vs CAA(</w:t>
      </w:r>
      <w:r w:rsidRPr="00F16342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)</w:t>
      </w: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Supplemental Table 6. </w:t>
      </w:r>
      <w:r w:rsidRPr="00F16342">
        <w:rPr>
          <w:rFonts w:ascii="Arial" w:hAnsi="Arial" w:cs="Arial"/>
          <w:b/>
        </w:rPr>
        <w:t>GO Cell Component Terms for MCI vs. Control non-CAA</w:t>
      </w: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Supplemental Table 7. </w:t>
      </w:r>
      <w:r w:rsidRPr="00F16342">
        <w:rPr>
          <w:rFonts w:ascii="Arial" w:hAnsi="Arial" w:cs="Arial"/>
          <w:b/>
        </w:rPr>
        <w:t>GO Cell Component Terms for AD vs. Control non-CAA</w:t>
      </w: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Table 8. CAA and Amyloid Plaque Proteome Comparison</w:t>
      </w:r>
    </w:p>
    <w:p w:rsidR="00455741" w:rsidRDefault="00455741" w:rsidP="00455741">
      <w:pPr>
        <w:rPr>
          <w:rFonts w:ascii="Arial" w:hAnsi="Arial" w:cs="Arial"/>
          <w:b/>
        </w:rPr>
      </w:pPr>
    </w:p>
    <w:p w:rsidR="00455741" w:rsidRDefault="00455741" w:rsidP="00455741">
      <w:pPr>
        <w:rPr>
          <w:rFonts w:ascii="Arial" w:hAnsi="Arial" w:cs="Arial"/>
          <w:b/>
        </w:rPr>
      </w:pPr>
    </w:p>
    <w:p w:rsidR="00455741" w:rsidRDefault="00455741" w:rsidP="00455741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</w:rPr>
        <w:br w:type="page"/>
      </w: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Supplemental Figure 1.</w:t>
      </w:r>
    </w:p>
    <w:p w:rsidR="00455741" w:rsidRDefault="00455741" w:rsidP="004557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6305550" cy="5057140"/>
            <wp:effectExtent l="0" t="0" r="0" b="0"/>
            <wp:docPr id="2" name="Picture 2" descr="Supp Fig1 collagen proteins 539 x 400 pt 031224 - 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 Fig1 collagen proteins 539 x 400 pt 031224 - fla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55741" w:rsidRDefault="00455741" w:rsidP="004557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Supplemental Figure 2.</w:t>
      </w:r>
    </w:p>
    <w:p w:rsidR="00455741" w:rsidRDefault="00455741" w:rsidP="004557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413250" cy="1939925"/>
            <wp:effectExtent l="0" t="0" r="6350" b="3175"/>
            <wp:docPr id="1" name="Picture 1" descr="Supp Fig2 BBB proteins of interest 539 x 400 pt 031224 - 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 Fig2 BBB proteins of interest 539 x 400 pt 031224 - fl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41" w:rsidRDefault="00455741" w:rsidP="00455741">
      <w:pPr>
        <w:jc w:val="center"/>
        <w:rPr>
          <w:rFonts w:ascii="Arial" w:hAnsi="Arial" w:cs="Arial"/>
          <w:b/>
        </w:rPr>
      </w:pPr>
    </w:p>
    <w:p w:rsidR="008F0221" w:rsidRDefault="008F0221"/>
    <w:sectPr w:rsidR="008F0221" w:rsidSect="004557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41"/>
    <w:rsid w:val="00455741"/>
    <w:rsid w:val="008F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F16DC"/>
  <w15:chartTrackingRefBased/>
  <w15:docId w15:val="{B046AB33-77E3-41B2-83B4-B7CEF4EF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5741"/>
    <w:pPr>
      <w:spacing w:after="0" w:line="240" w:lineRule="auto"/>
    </w:pPr>
    <w:rPr>
      <w:rFonts w:ascii="Times New Roman" w:hAnsi="Times New Roman" w:cs="Times New Roman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55741"/>
    <w:rPr>
      <w:rFonts w:ascii="Times New Roman" w:hAnsi="Times New Roman" w:cs="Times New Roman"/>
      <w:lang w:eastAsia="ja-JP"/>
    </w:rPr>
  </w:style>
  <w:style w:type="character" w:styleId="Hyperlink">
    <w:name w:val="Hyperlink"/>
    <w:basedOn w:val="DefaultParagraphFont"/>
    <w:uiPriority w:val="99"/>
    <w:unhideWhenUsed/>
    <w:rsid w:val="004557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Health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Leitner, Dominique</dc:creator>
  <cp:keywords/>
  <dc:description/>
  <cp:lastModifiedBy>Leitner, Dominique</cp:lastModifiedBy>
  <cp:revision>1</cp:revision>
  <dcterms:created xsi:type="dcterms:W3CDTF">2024-03-27T20:32:00Z</dcterms:created>
  <dcterms:modified xsi:type="dcterms:W3CDTF">2024-03-27T20:34:00Z</dcterms:modified>
</cp:coreProperties>
</file>