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22542B" w14:textId="2273C93D" w:rsidR="004A5F75" w:rsidRDefault="00363C39">
      <w:r w:rsidRPr="00363C39">
        <w:rPr>
          <w:noProof/>
        </w:rPr>
        <w:drawing>
          <wp:inline distT="0" distB="0" distL="0" distR="0" wp14:anchorId="46C25DA0" wp14:editId="078744C5">
            <wp:extent cx="6840781" cy="7808616"/>
            <wp:effectExtent l="19050" t="19050" r="0" b="1905"/>
            <wp:docPr id="1971460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532" cy="781289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35E52F" w14:textId="35F87212" w:rsidR="00AA5AF3" w:rsidRPr="002D6F4F" w:rsidRDefault="00AA5AF3" w:rsidP="00AA5AF3">
      <w:pPr>
        <w:rPr>
          <w:b/>
          <w:bCs/>
          <w:sz w:val="16"/>
          <w:szCs w:val="16"/>
        </w:rPr>
      </w:pPr>
      <w:r w:rsidRPr="002D6F4F">
        <w:rPr>
          <w:rFonts w:asciiTheme="majorHAnsi" w:hAnsiTheme="majorHAnsi"/>
          <w:b/>
          <w:bCs/>
          <w:sz w:val="24"/>
          <w:szCs w:val="24"/>
        </w:rPr>
        <w:t>Supplemental Table 1. Cases with detail</w:t>
      </w:r>
      <w:r w:rsidR="002D6F4F">
        <w:rPr>
          <w:rFonts w:asciiTheme="majorHAnsi" w:hAnsiTheme="majorHAnsi"/>
          <w:b/>
          <w:bCs/>
          <w:sz w:val="24"/>
          <w:szCs w:val="24"/>
        </w:rPr>
        <w:t>s</w:t>
      </w:r>
      <w:r w:rsidRPr="002D6F4F">
        <w:rPr>
          <w:rFonts w:asciiTheme="majorHAnsi" w:hAnsiTheme="majorHAnsi"/>
          <w:b/>
          <w:bCs/>
          <w:sz w:val="24"/>
          <w:szCs w:val="24"/>
        </w:rPr>
        <w:t xml:space="preserve"> of epilepsy pathology including hippocampal sclerosis ILAE subtype</w:t>
      </w:r>
      <w:r w:rsidR="002D6F4F">
        <w:rPr>
          <w:rFonts w:asciiTheme="majorHAnsi" w:hAnsiTheme="majorHAnsi"/>
          <w:b/>
          <w:bCs/>
          <w:sz w:val="24"/>
          <w:szCs w:val="24"/>
        </w:rPr>
        <w:t>, anti-seizure medications</w:t>
      </w:r>
      <w:r w:rsidRPr="002D6F4F">
        <w:rPr>
          <w:rFonts w:asciiTheme="majorHAnsi" w:hAnsiTheme="majorHAnsi"/>
          <w:b/>
          <w:bCs/>
          <w:sz w:val="24"/>
          <w:szCs w:val="24"/>
        </w:rPr>
        <w:t xml:space="preserve"> and cause of death.</w:t>
      </w:r>
      <w:r w:rsidRPr="002D6F4F">
        <w:rPr>
          <w:b/>
          <w:bCs/>
          <w:sz w:val="16"/>
          <w:szCs w:val="16"/>
        </w:rPr>
        <w:t xml:space="preserve"> </w:t>
      </w:r>
    </w:p>
    <w:p w14:paraId="79A6178F" w14:textId="5B6CF08E" w:rsidR="00AA5AF3" w:rsidRPr="002D6F4F" w:rsidRDefault="002D6F4F" w:rsidP="002D6F4F">
      <w:pPr>
        <w:jc w:val="both"/>
        <w:rPr>
          <w:sz w:val="20"/>
          <w:szCs w:val="20"/>
        </w:rPr>
      </w:pPr>
      <w:r w:rsidRPr="002D6F4F">
        <w:rPr>
          <w:sz w:val="20"/>
          <w:szCs w:val="20"/>
        </w:rPr>
        <w:t xml:space="preserve">ILAE = International League Against Epilepsy, </w:t>
      </w:r>
      <w:proofErr w:type="spellStart"/>
      <w:r w:rsidR="00AA5AF3" w:rsidRPr="002D6F4F">
        <w:rPr>
          <w:sz w:val="20"/>
          <w:szCs w:val="20"/>
        </w:rPr>
        <w:t>SGS</w:t>
      </w:r>
      <w:proofErr w:type="spellEnd"/>
      <w:r w:rsidR="00AA5AF3" w:rsidRPr="002D6F4F">
        <w:rPr>
          <w:sz w:val="20"/>
          <w:szCs w:val="20"/>
        </w:rPr>
        <w:t xml:space="preserve"> = Secondary generalised seizures, </w:t>
      </w:r>
      <w:r w:rsidR="007F7E4E" w:rsidRPr="002D6F4F">
        <w:rPr>
          <w:sz w:val="20"/>
          <w:szCs w:val="20"/>
        </w:rPr>
        <w:t xml:space="preserve">also </w:t>
      </w:r>
      <w:r w:rsidR="00AA5AF3" w:rsidRPr="002D6F4F">
        <w:rPr>
          <w:sz w:val="20"/>
          <w:szCs w:val="20"/>
        </w:rPr>
        <w:t xml:space="preserve">now termed focal to bilateral tonic-clonic seizure, Status = episode of status epilepticus recorded at some time-point prior to surgery, </w:t>
      </w:r>
      <w:proofErr w:type="spellStart"/>
      <w:r w:rsidR="00AA5AF3" w:rsidRPr="002D6F4F">
        <w:rPr>
          <w:sz w:val="20"/>
          <w:szCs w:val="20"/>
        </w:rPr>
        <w:t>SEEG</w:t>
      </w:r>
      <w:proofErr w:type="spellEnd"/>
      <w:r w:rsidR="00AA5AF3" w:rsidRPr="002D6F4F">
        <w:rPr>
          <w:sz w:val="20"/>
          <w:szCs w:val="20"/>
        </w:rPr>
        <w:t xml:space="preserve"> = stereo EEG including depth electrode investigations prior to resective surgery at variable time points.  </w:t>
      </w:r>
      <w:proofErr w:type="spellStart"/>
      <w:r w:rsidR="00AA5AF3" w:rsidRPr="002D6F4F">
        <w:rPr>
          <w:sz w:val="20"/>
          <w:szCs w:val="20"/>
        </w:rPr>
        <w:t>EBTB</w:t>
      </w:r>
      <w:proofErr w:type="spellEnd"/>
      <w:r w:rsidR="00AA5AF3" w:rsidRPr="002D6F4F">
        <w:rPr>
          <w:sz w:val="20"/>
          <w:szCs w:val="20"/>
        </w:rPr>
        <w:t xml:space="preserve"> – is the identifier for the Edinburgh brain tissue bank.  Outcome is detailed at 2 and 5 years follow up using the ILAE scheme for seizure-free </w:t>
      </w:r>
      <w:proofErr w:type="gramStart"/>
      <w:r w:rsidR="00AA5AF3" w:rsidRPr="002D6F4F">
        <w:rPr>
          <w:sz w:val="20"/>
          <w:szCs w:val="20"/>
        </w:rPr>
        <w:t>class ;</w:t>
      </w:r>
      <w:proofErr w:type="gramEnd"/>
      <w:r w:rsidR="00AA5AF3" w:rsidRPr="002D6F4F">
        <w:rPr>
          <w:sz w:val="20"/>
          <w:szCs w:val="20"/>
        </w:rPr>
        <w:t xml:space="preserve"> only the 2 year time point was statistically compared to pathology factors. ASM = anti-seizure medications which list the total number of drugs trialled prior to resection and the commonest medications taken for this cohort. </w:t>
      </w:r>
      <w:r w:rsidRPr="002D6F4F">
        <w:rPr>
          <w:sz w:val="20"/>
          <w:szCs w:val="20"/>
        </w:rPr>
        <w:t>Comprehensive</w:t>
      </w:r>
      <w:r w:rsidR="00AA5AF3" w:rsidRPr="002D6F4F">
        <w:rPr>
          <w:sz w:val="20"/>
          <w:szCs w:val="20"/>
        </w:rPr>
        <w:t xml:space="preserve"> historical ASM </w:t>
      </w:r>
      <w:r>
        <w:rPr>
          <w:sz w:val="20"/>
          <w:szCs w:val="20"/>
        </w:rPr>
        <w:t>information</w:t>
      </w:r>
      <w:r w:rsidR="00AA5AF3" w:rsidRPr="002D6F4F">
        <w:rPr>
          <w:sz w:val="20"/>
          <w:szCs w:val="20"/>
        </w:rPr>
        <w:t xml:space="preserve"> was not available for all the post-mortem cases and therefore has not been included </w:t>
      </w:r>
      <w:r>
        <w:rPr>
          <w:sz w:val="20"/>
          <w:szCs w:val="20"/>
        </w:rPr>
        <w:t>in</w:t>
      </w:r>
      <w:r w:rsidR="00AA5AF3" w:rsidRPr="002D6F4F">
        <w:rPr>
          <w:sz w:val="20"/>
          <w:szCs w:val="20"/>
        </w:rPr>
        <w:t xml:space="preserve"> this table or statistically analysed. Small vessel disease risk factors are added for the surgical cases in the pathology studies </w:t>
      </w:r>
      <w:r w:rsidR="00AA5AF3" w:rsidRPr="002D6F4F">
        <w:rPr>
          <w:sz w:val="20"/>
          <w:szCs w:val="20"/>
        </w:rPr>
        <w:lastRenderedPageBreak/>
        <w:t>(</w:t>
      </w:r>
      <w:r>
        <w:rPr>
          <w:sz w:val="20"/>
          <w:szCs w:val="20"/>
        </w:rPr>
        <w:t>H</w:t>
      </w:r>
      <w:r w:rsidR="00AA5AF3" w:rsidRPr="002D6F4F">
        <w:rPr>
          <w:sz w:val="20"/>
          <w:szCs w:val="20"/>
        </w:rPr>
        <w:t xml:space="preserve">ypertension </w:t>
      </w:r>
      <w:proofErr w:type="spellStart"/>
      <w:r w:rsidR="00AA5AF3" w:rsidRPr="002D6F4F">
        <w:rPr>
          <w:sz w:val="20"/>
          <w:szCs w:val="20"/>
        </w:rPr>
        <w:t>HTN</w:t>
      </w:r>
      <w:proofErr w:type="spellEnd"/>
      <w:r w:rsidR="00AA5AF3" w:rsidRPr="002D6F4F">
        <w:rPr>
          <w:sz w:val="20"/>
          <w:szCs w:val="20"/>
        </w:rPr>
        <w:t>, Diabetes mellitus DM) and where available for the post-mortem cases and any additional potential risk factors for vascular degenerative disease identified at autopsy, e.g. ischaemic heart disease (</w:t>
      </w:r>
      <w:proofErr w:type="spellStart"/>
      <w:r w:rsidR="00AA5AF3" w:rsidRPr="002D6F4F">
        <w:rPr>
          <w:sz w:val="20"/>
          <w:szCs w:val="20"/>
        </w:rPr>
        <w:t>IHD</w:t>
      </w:r>
      <w:proofErr w:type="spellEnd"/>
      <w:r w:rsidR="00AA5AF3" w:rsidRPr="002D6F4F">
        <w:rPr>
          <w:sz w:val="20"/>
          <w:szCs w:val="20"/>
        </w:rPr>
        <w:t xml:space="preserve">) reported as the cause of death; </w:t>
      </w:r>
      <w:r>
        <w:rPr>
          <w:sz w:val="20"/>
          <w:szCs w:val="20"/>
        </w:rPr>
        <w:t>h</w:t>
      </w:r>
      <w:r w:rsidR="00AA5AF3" w:rsidRPr="002D6F4F">
        <w:rPr>
          <w:sz w:val="20"/>
          <w:szCs w:val="20"/>
        </w:rPr>
        <w:t xml:space="preserve">istory of smoking was not included as reliable information not available on all cases. </w:t>
      </w:r>
    </w:p>
    <w:p w14:paraId="3E9743F0" w14:textId="77777777" w:rsidR="00363C39" w:rsidRDefault="00363C39"/>
    <w:sectPr w:rsidR="00363C39" w:rsidSect="00363C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C39"/>
    <w:rsid w:val="000C7CB3"/>
    <w:rsid w:val="002B7983"/>
    <w:rsid w:val="002D6F4F"/>
    <w:rsid w:val="00363C39"/>
    <w:rsid w:val="00454B43"/>
    <w:rsid w:val="004A5F75"/>
    <w:rsid w:val="005B230A"/>
    <w:rsid w:val="00621838"/>
    <w:rsid w:val="006560BD"/>
    <w:rsid w:val="006F150F"/>
    <w:rsid w:val="007F7E4E"/>
    <w:rsid w:val="00966D31"/>
    <w:rsid w:val="00AA5AF3"/>
    <w:rsid w:val="00B768AE"/>
    <w:rsid w:val="00BE73C9"/>
    <w:rsid w:val="00CD6BEC"/>
    <w:rsid w:val="00D30FB1"/>
    <w:rsid w:val="00E32DB6"/>
    <w:rsid w:val="00E5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237D32"/>
  <w15:chartTrackingRefBased/>
  <w15:docId w15:val="{FCCF7C83-1BA3-4027-96E5-92D59CFB7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3C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C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C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C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C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C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C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C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C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C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C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C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C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C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C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C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C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C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3C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C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C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C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C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3C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C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3C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C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C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C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222</Words>
  <Characters>1256</Characters>
  <Application>Microsoft Office Word</Application>
  <DocSecurity>0</DocSecurity>
  <Lines>14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Thom, Maria</dc:creator>
  <cp:keywords/>
  <dc:description/>
  <cp:lastModifiedBy>Thom, Maria</cp:lastModifiedBy>
  <cp:revision>2</cp:revision>
  <dcterms:created xsi:type="dcterms:W3CDTF">2024-09-23T17:15:00Z</dcterms:created>
  <dcterms:modified xsi:type="dcterms:W3CDTF">2024-09-23T17:15:00Z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92945d9660735531480bb8adcc062cfa7a2f87167207a01b300bd19f71a6ad0a</vt:lpwstr>
  </property>
</Properties>
</file>