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10219" w14:textId="705A3850" w:rsidR="00171A02" w:rsidRDefault="00171A02" w:rsidP="00171A02">
      <w:pPr>
        <w:spacing w:after="0" w:line="259" w:lineRule="auto"/>
        <w:jc w:val="center"/>
        <w:rPr>
          <w:rFonts w:ascii="Arial" w:hAnsi="Arial" w:cs="Arial"/>
          <w:b/>
          <w:bCs/>
        </w:rPr>
      </w:pPr>
      <w:bookmarkStart w:id="0" w:name="_Hlk193889851"/>
      <w:r>
        <w:rPr>
          <w:rFonts w:ascii="Arial" w:hAnsi="Arial" w:cs="Arial"/>
          <w:b/>
          <w:bCs/>
        </w:rPr>
        <w:t>Supplemental figures</w:t>
      </w:r>
    </w:p>
    <w:p w14:paraId="1A76A886" w14:textId="77777777" w:rsidR="00171A02" w:rsidRDefault="00171A02" w:rsidP="00171A02">
      <w:pPr>
        <w:spacing w:after="0" w:line="259" w:lineRule="auto"/>
        <w:jc w:val="center"/>
        <w:rPr>
          <w:rFonts w:ascii="Arial" w:hAnsi="Arial" w:cs="Arial"/>
          <w:b/>
          <w:bCs/>
        </w:rPr>
      </w:pPr>
    </w:p>
    <w:p w14:paraId="7612AC5B" w14:textId="77777777" w:rsidR="00171A02" w:rsidRPr="00171A02" w:rsidRDefault="00171A02" w:rsidP="00171A02">
      <w:pPr>
        <w:spacing w:after="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26A32DB" w14:textId="77777777" w:rsidR="00171A02" w:rsidRPr="00171A02" w:rsidRDefault="00171A02" w:rsidP="00171A02">
      <w:pPr>
        <w:spacing w:after="0" w:line="259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194766118"/>
      <w:r w:rsidRPr="00171A02">
        <w:rPr>
          <w:rFonts w:ascii="Arial" w:hAnsi="Arial" w:cs="Arial"/>
          <w:b/>
          <w:bCs/>
          <w:color w:val="000000" w:themeColor="text1"/>
          <w:sz w:val="22"/>
          <w:szCs w:val="22"/>
        </w:rPr>
        <w:t>Role of CSF flow</w:t>
      </w:r>
      <w:r w:rsidRPr="00171A02">
        <w:rPr>
          <w:rFonts w:ascii="Arial" w:hAnsi="Arial" w:cs="Arial" w:hint="eastAsia"/>
          <w:b/>
          <w:bCs/>
          <w:color w:val="000000" w:themeColor="text1"/>
          <w:sz w:val="22"/>
          <w:szCs w:val="22"/>
        </w:rPr>
        <w:t xml:space="preserve"> </w:t>
      </w:r>
      <w:r w:rsidRPr="00171A02">
        <w:rPr>
          <w:rFonts w:ascii="Arial" w:hAnsi="Arial" w:cs="Arial"/>
          <w:b/>
          <w:bCs/>
          <w:color w:val="000000" w:themeColor="text1"/>
          <w:sz w:val="22"/>
          <w:szCs w:val="22"/>
        </w:rPr>
        <w:t>and meningeal barriers in the development of inflammatory lesions at the CNS-PNS transition zone of cranial nerves in autoimmune demyelinating diseases</w:t>
      </w:r>
    </w:p>
    <w:bookmarkEnd w:id="0"/>
    <w:bookmarkEnd w:id="1"/>
    <w:p w14:paraId="0F2DB0C3" w14:textId="77777777" w:rsidR="00171A02" w:rsidRDefault="00171A02" w:rsidP="00171A02">
      <w:pPr>
        <w:spacing w:line="259" w:lineRule="auto"/>
        <w:rPr>
          <w:rFonts w:ascii="Arial" w:hAnsi="Arial" w:cs="Arial"/>
          <w:b/>
          <w:bCs/>
          <w:sz w:val="22"/>
          <w:szCs w:val="22"/>
        </w:rPr>
      </w:pPr>
    </w:p>
    <w:p w14:paraId="27F7236D" w14:textId="77777777" w:rsidR="00171A02" w:rsidRPr="00171A02" w:rsidRDefault="00171A02" w:rsidP="00171A02">
      <w:pPr>
        <w:spacing w:line="259" w:lineRule="auto"/>
        <w:rPr>
          <w:rFonts w:ascii="Arial" w:hAnsi="Arial" w:cs="Arial"/>
          <w:b/>
          <w:bCs/>
          <w:sz w:val="20"/>
          <w:szCs w:val="20"/>
        </w:rPr>
      </w:pPr>
    </w:p>
    <w:p w14:paraId="4F16E370" w14:textId="77777777" w:rsidR="00171A02" w:rsidRPr="00171A02" w:rsidRDefault="00171A02" w:rsidP="00171A02">
      <w:pPr>
        <w:spacing w:line="259" w:lineRule="auto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171A02">
        <w:rPr>
          <w:rFonts w:ascii="Arial" w:hAnsi="Arial" w:cs="Arial"/>
          <w:b/>
          <w:bCs/>
          <w:sz w:val="20"/>
          <w:szCs w:val="20"/>
          <w:lang w:val="it-IT"/>
        </w:rPr>
        <w:t>Li Xin</w:t>
      </w:r>
      <w:r w:rsidRPr="00171A02">
        <w:rPr>
          <w:rFonts w:ascii="Arial" w:hAnsi="Arial" w:cs="Arial"/>
          <w:b/>
          <w:bCs/>
          <w:sz w:val="20"/>
          <w:szCs w:val="20"/>
          <w:vertAlign w:val="superscript"/>
          <w:lang w:val="it-IT"/>
        </w:rPr>
        <w:t>1*</w:t>
      </w:r>
      <w:r w:rsidRPr="00171A02">
        <w:rPr>
          <w:rFonts w:ascii="Arial" w:hAnsi="Arial" w:cs="Arial"/>
          <w:b/>
          <w:bCs/>
          <w:sz w:val="20"/>
          <w:szCs w:val="20"/>
          <w:lang w:val="it-IT"/>
        </w:rPr>
        <w:t>, Hideaki Nishihara</w:t>
      </w:r>
      <w:r w:rsidRPr="00171A02">
        <w:rPr>
          <w:rFonts w:ascii="Arial" w:hAnsi="Arial" w:cs="Arial"/>
          <w:b/>
          <w:bCs/>
          <w:sz w:val="20"/>
          <w:szCs w:val="20"/>
          <w:vertAlign w:val="superscript"/>
          <w:lang w:val="it-IT"/>
        </w:rPr>
        <w:t>2</w:t>
      </w:r>
      <w:r w:rsidRPr="00171A02">
        <w:rPr>
          <w:rFonts w:ascii="Arial" w:hAnsi="Arial" w:cs="Arial"/>
          <w:b/>
          <w:bCs/>
          <w:sz w:val="20"/>
          <w:szCs w:val="20"/>
          <w:lang w:val="it-IT"/>
        </w:rPr>
        <w:t>, Adrian Madarasz</w:t>
      </w:r>
      <w:r w:rsidRPr="00171A02">
        <w:rPr>
          <w:rFonts w:ascii="Arial" w:hAnsi="Arial" w:cs="Arial"/>
          <w:b/>
          <w:bCs/>
          <w:sz w:val="20"/>
          <w:szCs w:val="20"/>
          <w:vertAlign w:val="superscript"/>
          <w:lang w:val="it-IT"/>
        </w:rPr>
        <w:t>1</w:t>
      </w:r>
      <w:r w:rsidRPr="00171A02">
        <w:rPr>
          <w:rFonts w:ascii="Arial" w:hAnsi="Arial" w:cs="Arial" w:hint="eastAsia"/>
          <w:b/>
          <w:bCs/>
          <w:sz w:val="20"/>
          <w:szCs w:val="20"/>
          <w:lang w:val="it-IT"/>
        </w:rPr>
        <w:t xml:space="preserve">, </w:t>
      </w:r>
      <w:r w:rsidRPr="00171A02">
        <w:rPr>
          <w:rFonts w:ascii="Arial" w:hAnsi="Arial" w:cs="Arial"/>
          <w:b/>
          <w:bCs/>
          <w:sz w:val="20"/>
          <w:szCs w:val="20"/>
          <w:lang w:val="it-IT"/>
        </w:rPr>
        <w:t>Petr Pleskac</w:t>
      </w:r>
      <w:r w:rsidRPr="00171A02">
        <w:rPr>
          <w:rFonts w:ascii="Arial" w:hAnsi="Arial" w:cs="Arial"/>
          <w:b/>
          <w:bCs/>
          <w:sz w:val="20"/>
          <w:szCs w:val="20"/>
          <w:vertAlign w:val="superscript"/>
          <w:lang w:val="it-IT"/>
        </w:rPr>
        <w:t>1</w:t>
      </w:r>
      <w:r w:rsidRPr="00171A02">
        <w:rPr>
          <w:rFonts w:ascii="Arial" w:hAnsi="Arial" w:cs="Arial" w:hint="eastAsia"/>
          <w:b/>
          <w:bCs/>
          <w:sz w:val="20"/>
          <w:szCs w:val="20"/>
          <w:lang w:val="it-IT"/>
        </w:rPr>
        <w:t xml:space="preserve">, </w:t>
      </w:r>
      <w:r w:rsidRPr="00171A02">
        <w:rPr>
          <w:rFonts w:ascii="Arial" w:hAnsi="Arial" w:cs="Arial"/>
          <w:b/>
          <w:bCs/>
          <w:sz w:val="20"/>
          <w:szCs w:val="20"/>
          <w:lang w:val="it-IT"/>
        </w:rPr>
        <w:t>Linh Tran</w:t>
      </w:r>
      <w:r w:rsidRPr="00171A02">
        <w:rPr>
          <w:rFonts w:ascii="Arial" w:hAnsi="Arial" w:cs="Arial"/>
          <w:b/>
          <w:bCs/>
          <w:sz w:val="20"/>
          <w:szCs w:val="20"/>
          <w:vertAlign w:val="superscript"/>
          <w:lang w:val="it-IT"/>
        </w:rPr>
        <w:t>1</w:t>
      </w:r>
      <w:r w:rsidRPr="00171A02">
        <w:rPr>
          <w:rFonts w:ascii="Arial" w:hAnsi="Arial" w:cs="Arial" w:hint="eastAsia"/>
          <w:b/>
          <w:bCs/>
          <w:sz w:val="20"/>
          <w:szCs w:val="20"/>
          <w:lang w:val="it-IT"/>
        </w:rPr>
        <w:t>, Daniela C. Ivan</w:t>
      </w:r>
      <w:r w:rsidRPr="00171A02">
        <w:rPr>
          <w:rFonts w:ascii="Arial" w:hAnsi="Arial" w:cs="Arial" w:hint="eastAsia"/>
          <w:b/>
          <w:bCs/>
          <w:sz w:val="20"/>
          <w:szCs w:val="20"/>
          <w:vertAlign w:val="superscript"/>
          <w:lang w:val="it-IT"/>
        </w:rPr>
        <w:t>1</w:t>
      </w:r>
      <w:r w:rsidRPr="00171A02">
        <w:rPr>
          <w:rFonts w:ascii="Arial" w:hAnsi="Arial" w:cs="Arial" w:hint="eastAsia"/>
          <w:b/>
          <w:bCs/>
          <w:sz w:val="20"/>
          <w:szCs w:val="20"/>
          <w:lang w:val="it-IT"/>
        </w:rPr>
        <w:t xml:space="preserve">, </w:t>
      </w:r>
      <w:r w:rsidRPr="00171A02">
        <w:rPr>
          <w:rFonts w:ascii="Arial" w:hAnsi="Arial" w:cs="Arial"/>
          <w:b/>
          <w:bCs/>
          <w:sz w:val="20"/>
          <w:szCs w:val="20"/>
        </w:rPr>
        <w:t>Fumitaka Shimizu</w:t>
      </w:r>
      <w:r w:rsidRPr="00171A02">
        <w:rPr>
          <w:rFonts w:ascii="Arial" w:hAnsi="Arial" w:cs="Arial"/>
          <w:b/>
          <w:bCs/>
          <w:sz w:val="20"/>
          <w:szCs w:val="20"/>
          <w:vertAlign w:val="superscript"/>
        </w:rPr>
        <w:t>2</w:t>
      </w:r>
      <w:r w:rsidRPr="00171A02">
        <w:rPr>
          <w:rFonts w:ascii="Arial" w:hAnsi="Arial" w:cs="Arial"/>
          <w:b/>
          <w:bCs/>
          <w:sz w:val="20"/>
          <w:szCs w:val="20"/>
          <w:lang w:val="it-IT"/>
        </w:rPr>
        <w:t xml:space="preserve">, </w:t>
      </w:r>
      <w:r w:rsidRPr="00171A02">
        <w:rPr>
          <w:rFonts w:ascii="Arial" w:hAnsi="Arial" w:cs="Arial"/>
          <w:b/>
          <w:bCs/>
          <w:sz w:val="20"/>
          <w:szCs w:val="20"/>
        </w:rPr>
        <w:t>Simone Aleandri</w:t>
      </w:r>
      <w:r w:rsidRPr="00171A02">
        <w:rPr>
          <w:rFonts w:ascii="Arial" w:hAnsi="Arial" w:cs="Arial"/>
          <w:b/>
          <w:bCs/>
          <w:sz w:val="20"/>
          <w:szCs w:val="20"/>
          <w:vertAlign w:val="superscript"/>
        </w:rPr>
        <w:t>3</w:t>
      </w:r>
      <w:r w:rsidRPr="00171A02">
        <w:rPr>
          <w:rFonts w:ascii="Arial" w:hAnsi="Arial" w:cs="Arial"/>
          <w:b/>
          <w:bCs/>
          <w:sz w:val="20"/>
          <w:szCs w:val="20"/>
        </w:rPr>
        <w:t>,</w:t>
      </w:r>
      <w:r w:rsidRPr="00171A02">
        <w:rPr>
          <w:rFonts w:ascii="Arial" w:hAnsi="Arial" w:cs="Arial" w:hint="eastAsia"/>
          <w:b/>
          <w:bCs/>
          <w:sz w:val="20"/>
          <w:szCs w:val="20"/>
        </w:rPr>
        <w:t xml:space="preserve"> </w:t>
      </w:r>
      <w:r w:rsidRPr="00171A02">
        <w:rPr>
          <w:rFonts w:ascii="Arial" w:hAnsi="Arial" w:cs="Arial" w:hint="eastAsia"/>
          <w:b/>
          <w:bCs/>
          <w:sz w:val="20"/>
          <w:szCs w:val="20"/>
          <w:lang w:val="it-IT"/>
        </w:rPr>
        <w:t xml:space="preserve">Giuseppe Locatelli </w:t>
      </w:r>
      <w:r w:rsidRPr="00171A02">
        <w:rPr>
          <w:rFonts w:ascii="Arial" w:hAnsi="Arial" w:cs="Arial" w:hint="eastAsia"/>
          <w:b/>
          <w:bCs/>
          <w:sz w:val="20"/>
          <w:szCs w:val="20"/>
          <w:vertAlign w:val="superscript"/>
          <w:lang w:val="it-IT"/>
        </w:rPr>
        <w:t>1</w:t>
      </w:r>
      <w:r w:rsidRPr="00171A02">
        <w:rPr>
          <w:rFonts w:ascii="Arial" w:hAnsi="Arial" w:cs="Arial" w:hint="eastAsia"/>
          <w:b/>
          <w:bCs/>
          <w:sz w:val="20"/>
          <w:szCs w:val="20"/>
          <w:lang w:val="it-IT"/>
        </w:rPr>
        <w:t xml:space="preserve">, </w:t>
      </w:r>
      <w:r w:rsidRPr="00171A02">
        <w:rPr>
          <w:rFonts w:ascii="Arial" w:hAnsi="Arial" w:cs="Arial"/>
          <w:b/>
          <w:bCs/>
          <w:sz w:val="20"/>
          <w:szCs w:val="20"/>
          <w:lang w:val="it-IT"/>
        </w:rPr>
        <w:t>Paola Luciani</w:t>
      </w:r>
      <w:r w:rsidRPr="00171A02">
        <w:rPr>
          <w:rFonts w:ascii="Arial" w:hAnsi="Arial" w:cs="Arial"/>
          <w:b/>
          <w:bCs/>
          <w:sz w:val="20"/>
          <w:szCs w:val="20"/>
          <w:vertAlign w:val="superscript"/>
          <w:lang w:val="it-IT"/>
        </w:rPr>
        <w:t>3</w:t>
      </w:r>
      <w:r w:rsidRPr="00171A02">
        <w:rPr>
          <w:rFonts w:ascii="Arial" w:hAnsi="Arial" w:cs="Arial"/>
          <w:b/>
          <w:bCs/>
          <w:sz w:val="20"/>
          <w:szCs w:val="20"/>
          <w:lang w:val="it-IT"/>
        </w:rPr>
        <w:t>, Steven T. Proulx</w:t>
      </w:r>
      <w:r w:rsidRPr="00171A02">
        <w:rPr>
          <w:rFonts w:ascii="Arial" w:hAnsi="Arial" w:cs="Arial"/>
          <w:b/>
          <w:bCs/>
          <w:sz w:val="20"/>
          <w:szCs w:val="20"/>
          <w:vertAlign w:val="superscript"/>
          <w:lang w:val="it-IT"/>
        </w:rPr>
        <w:t>1*</w:t>
      </w:r>
    </w:p>
    <w:p w14:paraId="3C202D88" w14:textId="77777777" w:rsidR="00171A02" w:rsidRPr="00567400" w:rsidRDefault="00171A02" w:rsidP="00171A02">
      <w:pPr>
        <w:spacing w:line="259" w:lineRule="auto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397F9F2F" w14:textId="77777777" w:rsidR="00171A02" w:rsidRPr="00171A02" w:rsidRDefault="00171A02" w:rsidP="00171A02">
      <w:pPr>
        <w:rPr>
          <w:rFonts w:ascii="Arial" w:hAnsi="Arial" w:cs="Arial"/>
          <w:sz w:val="20"/>
          <w:szCs w:val="20"/>
          <w:lang w:val="en-US"/>
        </w:rPr>
      </w:pPr>
      <w:r w:rsidRPr="00171A02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171A02">
        <w:rPr>
          <w:rFonts w:ascii="Arial" w:hAnsi="Arial" w:cs="Arial"/>
          <w:sz w:val="20"/>
          <w:szCs w:val="20"/>
          <w:lang w:val="en-US"/>
        </w:rPr>
        <w:t>Theodor Kocher Institute, University of Bern, Bern, Switzerland</w:t>
      </w:r>
    </w:p>
    <w:p w14:paraId="700AB3AD" w14:textId="77777777" w:rsidR="00171A02" w:rsidRPr="00171A02" w:rsidRDefault="00171A02" w:rsidP="00171A02">
      <w:pPr>
        <w:rPr>
          <w:rFonts w:ascii="Arial" w:hAnsi="Arial" w:cs="Arial"/>
          <w:sz w:val="20"/>
          <w:szCs w:val="20"/>
          <w:lang w:val="en-US"/>
        </w:rPr>
      </w:pPr>
      <w:r w:rsidRPr="00171A02">
        <w:rPr>
          <w:rFonts w:ascii="Arial" w:hAnsi="Arial" w:cs="Arial"/>
          <w:sz w:val="20"/>
          <w:szCs w:val="20"/>
          <w:vertAlign w:val="superscript"/>
          <w:lang w:val="en-US"/>
        </w:rPr>
        <w:t xml:space="preserve">2 </w:t>
      </w:r>
      <w:r w:rsidRPr="00171A02">
        <w:rPr>
          <w:rFonts w:ascii="Arial" w:hAnsi="Arial" w:cs="Arial"/>
          <w:sz w:val="20"/>
          <w:szCs w:val="20"/>
          <w:lang w:val="en-US"/>
        </w:rPr>
        <w:t>Department of Neurology and Clinical Neuroscience, Yamaguchi University, Yamaguchi, Japan</w:t>
      </w:r>
    </w:p>
    <w:p w14:paraId="659BD960" w14:textId="77777777" w:rsidR="00171A02" w:rsidRPr="00171A02" w:rsidRDefault="00171A02" w:rsidP="00171A02">
      <w:pPr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 w:rsidRPr="00171A02">
        <w:rPr>
          <w:rFonts w:ascii="Arial" w:hAnsi="Arial" w:cs="Arial"/>
          <w:color w:val="212121"/>
          <w:sz w:val="20"/>
          <w:szCs w:val="20"/>
          <w:shd w:val="clear" w:color="auto" w:fill="FFFFFF"/>
          <w:vertAlign w:val="superscript"/>
        </w:rPr>
        <w:t>3</w:t>
      </w:r>
      <w:r w:rsidRPr="00171A02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 Department of Chemistry, Biochemistry and Pharmaceutical Sciences, University of Bern, Bern, Switzerland.</w:t>
      </w:r>
    </w:p>
    <w:p w14:paraId="26EF1683" w14:textId="77777777" w:rsidR="00171A02" w:rsidRPr="0053296C" w:rsidRDefault="00171A02" w:rsidP="00171A02">
      <w:pPr>
        <w:rPr>
          <w:rFonts w:ascii="Arial" w:hAnsi="Arial" w:cs="Arial"/>
          <w:sz w:val="20"/>
        </w:rPr>
      </w:pPr>
    </w:p>
    <w:p w14:paraId="3D3F62E0" w14:textId="77777777" w:rsidR="00171A02" w:rsidRPr="0053296C" w:rsidRDefault="00171A02" w:rsidP="00171A02">
      <w:pPr>
        <w:spacing w:line="259" w:lineRule="auto"/>
        <w:rPr>
          <w:rFonts w:ascii="Arial" w:hAnsi="Arial" w:cs="Arial"/>
          <w:b/>
          <w:bCs/>
          <w:sz w:val="22"/>
          <w:szCs w:val="22"/>
        </w:rPr>
      </w:pPr>
    </w:p>
    <w:p w14:paraId="43C1098F" w14:textId="77777777" w:rsidR="00171A02" w:rsidRPr="0053296C" w:rsidRDefault="00171A02" w:rsidP="00171A02">
      <w:pPr>
        <w:spacing w:line="259" w:lineRule="auto"/>
        <w:rPr>
          <w:rFonts w:ascii="Arial" w:hAnsi="Arial" w:cs="Arial"/>
          <w:b/>
          <w:bCs/>
          <w:sz w:val="22"/>
          <w:szCs w:val="22"/>
        </w:rPr>
      </w:pPr>
    </w:p>
    <w:p w14:paraId="5F989926" w14:textId="77777777" w:rsidR="00171A02" w:rsidRPr="0053296C" w:rsidRDefault="00171A02" w:rsidP="00171A02">
      <w:p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 w:rsidRPr="0053296C">
        <w:rPr>
          <w:rFonts w:ascii="Arial" w:hAnsi="Arial" w:cs="Arial"/>
          <w:sz w:val="22"/>
          <w:szCs w:val="22"/>
          <w:lang w:val="en-US"/>
        </w:rPr>
        <w:t>*Corresponding authors:</w:t>
      </w:r>
    </w:p>
    <w:p w14:paraId="7C383DB6" w14:textId="77777777" w:rsidR="00171A02" w:rsidRPr="0053296C" w:rsidRDefault="00171A02" w:rsidP="00171A02">
      <w:p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</w:p>
    <w:p w14:paraId="14A47970" w14:textId="77777777" w:rsidR="00171A02" w:rsidRPr="008273E3" w:rsidRDefault="00171A02" w:rsidP="00171A02">
      <w:pPr>
        <w:spacing w:after="0" w:line="240" w:lineRule="auto"/>
        <w:ind w:right="-7"/>
        <w:jc w:val="both"/>
        <w:rPr>
          <w:rFonts w:ascii="Arial" w:hAnsi="Arial" w:cs="Arial"/>
          <w:color w:val="000000"/>
          <w:sz w:val="22"/>
          <w:szCs w:val="22"/>
        </w:rPr>
      </w:pPr>
      <w:r w:rsidRPr="008273E3">
        <w:rPr>
          <w:rFonts w:ascii="Arial" w:hAnsi="Arial" w:cs="Arial"/>
          <w:sz w:val="22"/>
          <w:szCs w:val="22"/>
        </w:rPr>
        <w:t>Li Xin, PhD</w:t>
      </w:r>
      <w:r w:rsidRPr="008273E3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4D37D28" w14:textId="77777777" w:rsidR="00171A02" w:rsidRPr="008273E3" w:rsidRDefault="00171A02" w:rsidP="00171A02">
      <w:pPr>
        <w:spacing w:after="0" w:line="240" w:lineRule="auto"/>
        <w:ind w:right="-7"/>
        <w:jc w:val="both"/>
        <w:rPr>
          <w:rFonts w:ascii="Arial" w:hAnsi="Arial" w:cs="Arial"/>
          <w:color w:val="000000"/>
          <w:sz w:val="22"/>
          <w:szCs w:val="22"/>
        </w:rPr>
      </w:pPr>
      <w:r w:rsidRPr="008273E3">
        <w:rPr>
          <w:rFonts w:ascii="Arial" w:hAnsi="Arial" w:cs="Arial"/>
          <w:color w:val="000000"/>
          <w:sz w:val="22"/>
          <w:szCs w:val="22"/>
        </w:rPr>
        <w:t>Theodor Kocher Institute</w:t>
      </w:r>
    </w:p>
    <w:p w14:paraId="4075153D" w14:textId="77777777" w:rsidR="00171A02" w:rsidRPr="0053296C" w:rsidRDefault="00171A02" w:rsidP="00171A02">
      <w:pPr>
        <w:spacing w:after="0" w:line="240" w:lineRule="auto"/>
        <w:ind w:right="-7"/>
        <w:jc w:val="both"/>
        <w:rPr>
          <w:rFonts w:ascii="Arial" w:hAnsi="Arial" w:cs="Arial"/>
          <w:sz w:val="22"/>
          <w:szCs w:val="22"/>
          <w:lang w:val="en-GB"/>
        </w:rPr>
      </w:pPr>
      <w:r w:rsidRPr="0053296C">
        <w:rPr>
          <w:rFonts w:ascii="Arial" w:hAnsi="Arial" w:cs="Arial"/>
          <w:color w:val="000000"/>
          <w:sz w:val="22"/>
          <w:szCs w:val="22"/>
          <w:lang w:val="en-GB"/>
        </w:rPr>
        <w:t>University of Bern</w:t>
      </w:r>
    </w:p>
    <w:p w14:paraId="66BC975B" w14:textId="77777777" w:rsidR="00171A02" w:rsidRPr="008273E3" w:rsidRDefault="00171A02" w:rsidP="00171A02">
      <w:pPr>
        <w:spacing w:after="0" w:line="240" w:lineRule="auto"/>
        <w:ind w:right="-7"/>
        <w:jc w:val="both"/>
        <w:rPr>
          <w:rFonts w:ascii="Arial" w:hAnsi="Arial" w:cs="Arial"/>
          <w:color w:val="000000"/>
          <w:sz w:val="22"/>
          <w:szCs w:val="22"/>
        </w:rPr>
      </w:pPr>
      <w:r w:rsidRPr="008273E3">
        <w:rPr>
          <w:rFonts w:ascii="Arial" w:hAnsi="Arial" w:cs="Arial"/>
          <w:color w:val="000000"/>
          <w:sz w:val="22"/>
          <w:szCs w:val="22"/>
        </w:rPr>
        <w:t>CH</w:t>
      </w:r>
      <w:r w:rsidRPr="008273E3">
        <w:rPr>
          <w:rFonts w:ascii="Arial" w:hAnsi="Arial" w:cs="Arial"/>
          <w:color w:val="000000"/>
          <w:sz w:val="22"/>
          <w:szCs w:val="22"/>
        </w:rPr>
        <w:noBreakHyphen/>
        <w:t>3012 Bern, Switzerland</w:t>
      </w:r>
    </w:p>
    <w:p w14:paraId="6C0761DC" w14:textId="77777777" w:rsidR="00171A02" w:rsidRPr="0053296C" w:rsidRDefault="00171A02" w:rsidP="00171A02">
      <w:pPr>
        <w:pStyle w:val="BodyText"/>
        <w:spacing w:line="240" w:lineRule="auto"/>
        <w:ind w:right="-7"/>
        <w:jc w:val="both"/>
        <w:rPr>
          <w:rStyle w:val="Hyperlink"/>
          <w:rFonts w:ascii="Arial" w:hAnsi="Arial" w:cs="Arial"/>
          <w:sz w:val="22"/>
          <w:szCs w:val="22"/>
        </w:rPr>
      </w:pPr>
      <w:r w:rsidRPr="0053296C">
        <w:rPr>
          <w:rFonts w:ascii="Arial" w:hAnsi="Arial" w:cs="Arial"/>
          <w:sz w:val="22"/>
          <w:szCs w:val="22"/>
        </w:rPr>
        <w:t xml:space="preserve">Email: </w:t>
      </w:r>
      <w:hyperlink r:id="rId7" w:history="1">
        <w:r w:rsidRPr="004006FC">
          <w:rPr>
            <w:rStyle w:val="Hyperlink"/>
            <w:rFonts w:ascii="Arial" w:hAnsi="Arial" w:cs="Arial"/>
            <w:sz w:val="22"/>
            <w:szCs w:val="22"/>
          </w:rPr>
          <w:t>li.xin@unibe.ch</w:t>
        </w:r>
      </w:hyperlink>
    </w:p>
    <w:p w14:paraId="72423306" w14:textId="77777777" w:rsidR="00171A02" w:rsidRPr="0053296C" w:rsidRDefault="00171A02" w:rsidP="00171A02">
      <w:pPr>
        <w:spacing w:line="240" w:lineRule="auto"/>
        <w:rPr>
          <w:rFonts w:ascii="Arial" w:hAnsi="Arial" w:cs="Arial"/>
          <w:sz w:val="22"/>
          <w:szCs w:val="22"/>
          <w:lang w:val="fr-FR"/>
        </w:rPr>
      </w:pPr>
    </w:p>
    <w:p w14:paraId="70AC61FE" w14:textId="77777777" w:rsidR="00171A02" w:rsidRPr="0053296C" w:rsidRDefault="00171A02" w:rsidP="00171A02">
      <w:pPr>
        <w:pStyle w:val="BodyText"/>
        <w:spacing w:line="240" w:lineRule="auto"/>
        <w:ind w:right="-7"/>
        <w:jc w:val="both"/>
        <w:rPr>
          <w:rFonts w:ascii="Arial" w:hAnsi="Arial" w:cs="Arial"/>
          <w:sz w:val="22"/>
          <w:szCs w:val="22"/>
          <w:lang w:val="fr-FR"/>
        </w:rPr>
      </w:pPr>
      <w:r w:rsidRPr="0053296C">
        <w:rPr>
          <w:rFonts w:ascii="Arial" w:hAnsi="Arial" w:cs="Arial"/>
          <w:sz w:val="22"/>
          <w:szCs w:val="22"/>
          <w:lang w:val="fr-FR"/>
        </w:rPr>
        <w:t>Steven T. Proulx, PhD</w:t>
      </w:r>
    </w:p>
    <w:p w14:paraId="20382E02" w14:textId="77777777" w:rsidR="00171A02" w:rsidRPr="0053296C" w:rsidRDefault="00171A02" w:rsidP="00171A02">
      <w:pPr>
        <w:spacing w:after="0" w:line="240" w:lineRule="auto"/>
        <w:ind w:right="-7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53296C">
        <w:rPr>
          <w:rFonts w:ascii="Arial" w:hAnsi="Arial" w:cs="Arial"/>
          <w:color w:val="000000"/>
          <w:sz w:val="22"/>
          <w:szCs w:val="22"/>
          <w:lang w:val="en-GB"/>
        </w:rPr>
        <w:t>Theodor Kocher Institute</w:t>
      </w:r>
    </w:p>
    <w:p w14:paraId="2649C963" w14:textId="77777777" w:rsidR="00171A02" w:rsidRPr="0053296C" w:rsidRDefault="00171A02" w:rsidP="00171A02">
      <w:pPr>
        <w:spacing w:after="0" w:line="240" w:lineRule="auto"/>
        <w:ind w:right="-7"/>
        <w:jc w:val="both"/>
        <w:rPr>
          <w:rFonts w:ascii="Arial" w:hAnsi="Arial" w:cs="Arial"/>
          <w:sz w:val="22"/>
          <w:szCs w:val="22"/>
          <w:lang w:val="en-GB"/>
        </w:rPr>
      </w:pPr>
      <w:r w:rsidRPr="0053296C">
        <w:rPr>
          <w:rFonts w:ascii="Arial" w:hAnsi="Arial" w:cs="Arial"/>
          <w:color w:val="000000"/>
          <w:sz w:val="22"/>
          <w:szCs w:val="22"/>
          <w:lang w:val="en-GB"/>
        </w:rPr>
        <w:t>University of Bern</w:t>
      </w:r>
    </w:p>
    <w:p w14:paraId="77BF9974" w14:textId="77777777" w:rsidR="00171A02" w:rsidRPr="0053296C" w:rsidRDefault="00171A02" w:rsidP="00171A02">
      <w:pPr>
        <w:spacing w:after="0" w:line="240" w:lineRule="auto"/>
        <w:ind w:right="-7"/>
        <w:jc w:val="both"/>
        <w:rPr>
          <w:rFonts w:ascii="Arial" w:hAnsi="Arial" w:cs="Arial"/>
          <w:color w:val="000000"/>
          <w:sz w:val="22"/>
          <w:szCs w:val="22"/>
          <w:lang w:val="de-CH"/>
        </w:rPr>
      </w:pPr>
      <w:r w:rsidRPr="0053296C">
        <w:rPr>
          <w:rFonts w:ascii="Arial" w:hAnsi="Arial" w:cs="Arial"/>
          <w:color w:val="000000"/>
          <w:sz w:val="22"/>
          <w:szCs w:val="22"/>
          <w:lang w:val="de-CH"/>
        </w:rPr>
        <w:t>CH</w:t>
      </w:r>
      <w:r w:rsidRPr="0053296C">
        <w:rPr>
          <w:rFonts w:ascii="Arial" w:hAnsi="Arial" w:cs="Arial"/>
          <w:color w:val="000000"/>
          <w:sz w:val="22"/>
          <w:szCs w:val="22"/>
          <w:lang w:val="de-CH"/>
        </w:rPr>
        <w:noBreakHyphen/>
        <w:t>3012 Bern, Switzerland</w:t>
      </w:r>
    </w:p>
    <w:p w14:paraId="0C6EE3B7" w14:textId="77777777" w:rsidR="00171A02" w:rsidRPr="00077951" w:rsidRDefault="00171A02" w:rsidP="00171A02">
      <w:pPr>
        <w:pStyle w:val="BodyText"/>
        <w:spacing w:line="240" w:lineRule="auto"/>
        <w:ind w:right="-7"/>
        <w:jc w:val="both"/>
        <w:rPr>
          <w:lang w:val="en-CA"/>
        </w:rPr>
      </w:pPr>
      <w:r w:rsidRPr="00077951">
        <w:rPr>
          <w:rFonts w:ascii="Arial" w:hAnsi="Arial" w:cs="Arial"/>
          <w:sz w:val="22"/>
          <w:szCs w:val="22"/>
          <w:lang w:val="en-CA"/>
        </w:rPr>
        <w:t xml:space="preserve">Email: </w:t>
      </w:r>
      <w:hyperlink r:id="rId8" w:history="1">
        <w:r w:rsidRPr="00077951">
          <w:rPr>
            <w:rStyle w:val="Hyperlink"/>
            <w:rFonts w:ascii="Arial" w:hAnsi="Arial" w:cs="Arial"/>
            <w:sz w:val="22"/>
            <w:szCs w:val="22"/>
            <w:lang w:val="en-CA"/>
          </w:rPr>
          <w:t>steven.proulx@tki.unibe.chs</w:t>
        </w:r>
      </w:hyperlink>
    </w:p>
    <w:p w14:paraId="15229E9A" w14:textId="77777777" w:rsidR="00171A02" w:rsidRPr="00077951" w:rsidRDefault="00171A02" w:rsidP="00171A02">
      <w:pPr>
        <w:pStyle w:val="BodyText"/>
        <w:spacing w:line="240" w:lineRule="auto"/>
        <w:ind w:right="-7"/>
        <w:jc w:val="both"/>
        <w:rPr>
          <w:lang w:val="en-CA"/>
        </w:rPr>
      </w:pPr>
    </w:p>
    <w:p w14:paraId="6C2B397B" w14:textId="77777777" w:rsidR="00171A02" w:rsidRPr="00077951" w:rsidRDefault="00171A02" w:rsidP="00171A02">
      <w:pPr>
        <w:pStyle w:val="BodyText"/>
        <w:spacing w:line="240" w:lineRule="auto"/>
        <w:ind w:right="-7"/>
        <w:jc w:val="both"/>
        <w:rPr>
          <w:rFonts w:ascii="Arial" w:hAnsi="Arial" w:cs="Arial"/>
          <w:color w:val="467886" w:themeColor="hyperlink"/>
          <w:sz w:val="22"/>
          <w:szCs w:val="22"/>
          <w:u w:val="single"/>
          <w:lang w:val="en-CA"/>
        </w:rPr>
      </w:pPr>
    </w:p>
    <w:p w14:paraId="51492516" w14:textId="77777777" w:rsidR="00171A02" w:rsidRPr="00077951" w:rsidRDefault="00171A02" w:rsidP="00171A02">
      <w:pPr>
        <w:pStyle w:val="BodyText"/>
        <w:spacing w:line="240" w:lineRule="auto"/>
        <w:ind w:right="-7"/>
        <w:jc w:val="both"/>
        <w:rPr>
          <w:rFonts w:ascii="Arial" w:hAnsi="Arial" w:cs="Arial"/>
          <w:color w:val="467886" w:themeColor="hyperlink"/>
          <w:sz w:val="22"/>
          <w:szCs w:val="22"/>
          <w:u w:val="single"/>
          <w:lang w:val="en-CA"/>
        </w:rPr>
      </w:pPr>
    </w:p>
    <w:p w14:paraId="7E208B24" w14:textId="77777777" w:rsidR="00171A02" w:rsidRPr="00077951" w:rsidRDefault="00171A02" w:rsidP="00171A02">
      <w:pPr>
        <w:pStyle w:val="BodyText"/>
        <w:spacing w:line="240" w:lineRule="auto"/>
        <w:ind w:right="-7"/>
        <w:jc w:val="both"/>
        <w:rPr>
          <w:rFonts w:ascii="Arial" w:hAnsi="Arial" w:cs="Arial"/>
          <w:color w:val="467886" w:themeColor="hyperlink"/>
          <w:sz w:val="22"/>
          <w:szCs w:val="22"/>
          <w:u w:val="single"/>
          <w:lang w:val="en-CA"/>
        </w:rPr>
      </w:pPr>
    </w:p>
    <w:p w14:paraId="4186CF3A" w14:textId="77777777" w:rsidR="00171A02" w:rsidRPr="00077951" w:rsidRDefault="00171A02" w:rsidP="00171A02">
      <w:pPr>
        <w:pStyle w:val="BodyText"/>
        <w:spacing w:line="240" w:lineRule="auto"/>
        <w:ind w:right="-7"/>
        <w:jc w:val="both"/>
        <w:rPr>
          <w:rFonts w:ascii="Arial" w:hAnsi="Arial" w:cs="Arial"/>
          <w:color w:val="467886" w:themeColor="hyperlink"/>
          <w:sz w:val="22"/>
          <w:szCs w:val="22"/>
          <w:u w:val="single"/>
          <w:lang w:val="en-CA"/>
        </w:rPr>
      </w:pPr>
    </w:p>
    <w:p w14:paraId="78066581" w14:textId="537BF048" w:rsidR="00171A02" w:rsidRPr="00835036" w:rsidRDefault="000455B3" w:rsidP="000455B3">
      <w:pPr>
        <w:spacing w:line="259" w:lineRule="auto"/>
        <w:jc w:val="center"/>
        <w:rPr>
          <w:rFonts w:ascii="Arial" w:hAnsi="Arial" w:cs="Arial"/>
          <w:color w:val="0070C0"/>
          <w:sz w:val="22"/>
          <w:szCs w:val="22"/>
        </w:rPr>
      </w:pPr>
      <w:r w:rsidRPr="00835036">
        <w:rPr>
          <w:rFonts w:ascii="Arial" w:hAnsi="Arial" w:cs="Arial"/>
          <w:noProof/>
          <w:color w:val="0070C0"/>
          <w:sz w:val="22"/>
          <w:szCs w:val="22"/>
          <w:lang w:val="en-IN" w:eastAsia="en-IN"/>
        </w:rPr>
        <w:lastRenderedPageBreak/>
        <w:drawing>
          <wp:inline distT="0" distB="0" distL="0" distR="0" wp14:anchorId="54BDD6EB" wp14:editId="162F4A4B">
            <wp:extent cx="4320000" cy="6523200"/>
            <wp:effectExtent l="0" t="0" r="4445" b="0"/>
            <wp:docPr id="24142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2967" name="Picture 2414296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0" t="3242" r="2933" b="3549"/>
                    <a:stretch/>
                  </pic:blipFill>
                  <pic:spPr bwMode="auto">
                    <a:xfrm>
                      <a:off x="0" y="0"/>
                      <a:ext cx="4320000" cy="652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48265B" w14:textId="57975A85" w:rsidR="000455B3" w:rsidRPr="00077951" w:rsidRDefault="000455B3" w:rsidP="000455B3">
      <w:pPr>
        <w:spacing w:line="259" w:lineRule="auto"/>
        <w:jc w:val="both"/>
        <w:rPr>
          <w:rFonts w:ascii="Arial" w:hAnsi="Arial" w:cs="Arial"/>
          <w:noProof/>
          <w:color w:val="000000" w:themeColor="text1"/>
          <w:sz w:val="22"/>
          <w:szCs w:val="22"/>
        </w:rPr>
      </w:pPr>
      <w:r w:rsidRPr="0070031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 xml:space="preserve">Supplemental </w:t>
      </w:r>
      <w:r w:rsidRPr="00700315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t xml:space="preserve">Fig. </w:t>
      </w:r>
      <w:r w:rsidRPr="0070031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1</w:t>
      </w:r>
      <w:r w:rsidRPr="00700315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t xml:space="preserve"> </w:t>
      </w:r>
      <w:r w:rsidRPr="0070031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 xml:space="preserve">Additional MRI imaging of </w:t>
      </w:r>
      <w:r w:rsidR="0043041C" w:rsidRPr="0070031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case 1 (patient with</w:t>
      </w:r>
      <w:r w:rsidR="00077951" w:rsidRPr="0070031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 xml:space="preserve"> an </w:t>
      </w:r>
      <w:r w:rsidR="0043041C" w:rsidRPr="0070031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inflammatory demyelinating disease of undefined type)</w:t>
      </w:r>
      <w:r w:rsidRPr="0070031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 xml:space="preserve"> at acute phase. </w:t>
      </w:r>
      <w:r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Axial</w:t>
      </w:r>
      <w:r w:rsidRPr="00077951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 xml:space="preserve"> </w:t>
      </w:r>
      <w:r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fluid-attenuated inversion recovery (FLAIR) and </w:t>
      </w:r>
      <w:bookmarkStart w:id="2" w:name="_GoBack"/>
      <w:bookmarkEnd w:id="2"/>
      <w:r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T1-weighted images (T2WI) revealed bilateral optic nerve lesions (</w:t>
      </w:r>
      <w:r w:rsidRPr="00077951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a</w:t>
      </w:r>
      <w:r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) and lesion</w:t>
      </w:r>
      <w:r w:rsidR="0017573D"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 in the left intramedullary trigeminal tract at REZ</w:t>
      </w:r>
      <w:r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 (</w:t>
      </w:r>
      <w:r w:rsidRPr="00077951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b</w:t>
      </w:r>
      <w:r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) exhibited contrast enhancement (</w:t>
      </w:r>
      <w:r w:rsidR="0017573D"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T1W1-</w:t>
      </w:r>
      <w:r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CE). In contrast, </w:t>
      </w:r>
      <w:r w:rsidR="00AE1E44"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the </w:t>
      </w:r>
      <w:r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periventricular hyperintense lesion</w:t>
      </w:r>
      <w:r w:rsidR="0061172A"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 seen on FLAIR and T2W1 </w:t>
      </w:r>
      <w:r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 in the acute phase did not show contrast enhancement. </w:t>
      </w:r>
      <w:r w:rsidR="0061172A" w:rsidRPr="00077951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Yellow arrows indicate lesions.</w:t>
      </w:r>
    </w:p>
    <w:p w14:paraId="0DBA75E0" w14:textId="77777777" w:rsidR="00171A02" w:rsidRDefault="00171A02" w:rsidP="006929CD">
      <w:pPr>
        <w:spacing w:line="259" w:lineRule="auto"/>
        <w:jc w:val="both"/>
        <w:rPr>
          <w:rFonts w:ascii="Arial" w:hAnsi="Arial" w:cs="Arial"/>
          <w:noProof/>
          <w:sz w:val="22"/>
          <w:szCs w:val="22"/>
        </w:rPr>
      </w:pPr>
    </w:p>
    <w:p w14:paraId="125F9EF1" w14:textId="77777777" w:rsidR="00171A02" w:rsidRDefault="00171A02" w:rsidP="006929CD">
      <w:pPr>
        <w:spacing w:line="259" w:lineRule="auto"/>
        <w:jc w:val="both"/>
        <w:rPr>
          <w:rFonts w:ascii="Arial" w:hAnsi="Arial" w:cs="Arial"/>
          <w:noProof/>
          <w:sz w:val="22"/>
          <w:szCs w:val="22"/>
        </w:rPr>
      </w:pPr>
    </w:p>
    <w:p w14:paraId="7278B82C" w14:textId="77777777" w:rsidR="00171A02" w:rsidRDefault="00171A02" w:rsidP="006929CD">
      <w:pPr>
        <w:spacing w:line="259" w:lineRule="auto"/>
        <w:jc w:val="both"/>
        <w:rPr>
          <w:rFonts w:ascii="Arial" w:hAnsi="Arial" w:cs="Arial"/>
          <w:noProof/>
          <w:sz w:val="22"/>
          <w:szCs w:val="22"/>
        </w:rPr>
      </w:pPr>
    </w:p>
    <w:p w14:paraId="78881FFE" w14:textId="77777777" w:rsidR="000455B3" w:rsidRDefault="000455B3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</w:p>
    <w:p w14:paraId="6D25479A" w14:textId="00CDF6F7" w:rsidR="006929CD" w:rsidRDefault="006929CD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376C0E7D" wp14:editId="4774AFD2">
            <wp:extent cx="5324700" cy="6092456"/>
            <wp:effectExtent l="0" t="0" r="0" b="3810"/>
            <wp:docPr id="1056250045" name="Picture 1" descr="A close-up of a sc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250045" name="Picture 1" descr="A close-up of a scan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44" b="16919"/>
                    <a:stretch/>
                  </pic:blipFill>
                  <pic:spPr bwMode="auto">
                    <a:xfrm>
                      <a:off x="0" y="0"/>
                      <a:ext cx="5325110" cy="609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38E032" w14:textId="468940AE" w:rsidR="006929CD" w:rsidRDefault="0033454B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07795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Supplemental Fig. </w:t>
      </w:r>
      <w:r w:rsidR="000455B3" w:rsidRPr="00077951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Pr="0007795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929CD" w:rsidRPr="00B51A78">
        <w:rPr>
          <w:rFonts w:ascii="Arial" w:hAnsi="Arial" w:cs="Arial"/>
          <w:b/>
          <w:bCs/>
          <w:sz w:val="22"/>
          <w:szCs w:val="22"/>
        </w:rPr>
        <w:t xml:space="preserve">Decalcified tissues marking the relevant anatomical landmarks. </w:t>
      </w:r>
      <w:r w:rsidR="006929CD">
        <w:rPr>
          <w:rFonts w:ascii="Arial" w:hAnsi="Arial" w:cs="Arial"/>
          <w:b/>
          <w:bCs/>
          <w:sz w:val="22"/>
          <w:szCs w:val="22"/>
        </w:rPr>
        <w:t>a</w:t>
      </w:r>
      <w:r w:rsidR="006929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29CD">
        <w:rPr>
          <w:rFonts w:ascii="Arial" w:hAnsi="Arial" w:cs="Arial"/>
          <w:sz w:val="22"/>
          <w:szCs w:val="22"/>
        </w:rPr>
        <w:t>A</w:t>
      </w:r>
      <w:proofErr w:type="spellEnd"/>
      <w:r w:rsidR="006929CD">
        <w:rPr>
          <w:rFonts w:ascii="Arial" w:hAnsi="Arial" w:cs="Arial"/>
          <w:sz w:val="22"/>
          <w:szCs w:val="22"/>
        </w:rPr>
        <w:t xml:space="preserve"> sagittal section of the decalcified cranium showing the four cranial nerves assessed in this study and other brain structures indicated by the arrows. </w:t>
      </w:r>
      <w:r w:rsidR="006929CD">
        <w:rPr>
          <w:rFonts w:ascii="Arial" w:hAnsi="Arial" w:cs="Arial"/>
          <w:b/>
          <w:bCs/>
          <w:sz w:val="22"/>
          <w:szCs w:val="22"/>
        </w:rPr>
        <w:t>b</w:t>
      </w:r>
      <w:r w:rsidR="006929CD">
        <w:rPr>
          <w:rFonts w:ascii="Arial" w:hAnsi="Arial" w:cs="Arial"/>
          <w:sz w:val="22"/>
          <w:szCs w:val="22"/>
        </w:rPr>
        <w:t xml:space="preserve"> A coronal section of the decalcified rostral cranium with GFAP staining showing the olfactory bulbs, olfactory nerve fiber layer</w:t>
      </w:r>
      <w:r w:rsidR="00A42BD8">
        <w:rPr>
          <w:rFonts w:ascii="Arial" w:hAnsi="Arial" w:cs="Arial"/>
          <w:sz w:val="22"/>
          <w:szCs w:val="22"/>
        </w:rPr>
        <w:t xml:space="preserve"> (NFL)</w:t>
      </w:r>
      <w:r w:rsidR="006929CD">
        <w:rPr>
          <w:rFonts w:ascii="Arial" w:hAnsi="Arial" w:cs="Arial"/>
          <w:sz w:val="22"/>
          <w:szCs w:val="22"/>
        </w:rPr>
        <w:t xml:space="preserve"> and intra-orbital segment of the optic nerve (right). The optic nerve transition area (from intra-orbital to intra-ocular) is indicated on the left, near the retina.</w:t>
      </w:r>
    </w:p>
    <w:p w14:paraId="02FDC4BF" w14:textId="77777777" w:rsidR="006929CD" w:rsidRDefault="006929CD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6289E008" wp14:editId="5E647D74">
            <wp:extent cx="4401879" cy="3135630"/>
            <wp:effectExtent l="0" t="0" r="0" b="7620"/>
            <wp:docPr id="1346524354" name="Picture 2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524354" name="Picture 2" descr="A screenshot of a cell phone&#10;&#10;AI-generated content may be incorrect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0" t="6718" r="10522" b="55168"/>
                    <a:stretch/>
                  </pic:blipFill>
                  <pic:spPr bwMode="auto">
                    <a:xfrm>
                      <a:off x="0" y="0"/>
                      <a:ext cx="4403217" cy="3136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17A0C" w14:textId="347E27BE" w:rsidR="006929CD" w:rsidRDefault="0033454B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07795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Supplemental Fig. </w:t>
      </w:r>
      <w:r w:rsidR="000455B3" w:rsidRPr="00077951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="006929CD" w:rsidRPr="0007795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929CD" w:rsidRPr="00B51A78">
        <w:rPr>
          <w:rFonts w:ascii="Arial" w:hAnsi="Arial" w:cs="Arial"/>
          <w:b/>
          <w:bCs/>
          <w:sz w:val="22"/>
          <w:szCs w:val="22"/>
        </w:rPr>
        <w:t>CX3CR1</w:t>
      </w:r>
      <w:r w:rsidR="006929CD" w:rsidRPr="00EA76C7">
        <w:rPr>
          <w:rFonts w:ascii="Arial" w:hAnsi="Arial" w:cs="Arial"/>
          <w:b/>
          <w:bCs/>
          <w:sz w:val="22"/>
          <w:szCs w:val="22"/>
          <w:vertAlign w:val="superscript"/>
        </w:rPr>
        <w:t>+</w:t>
      </w:r>
      <w:r w:rsidR="006929CD" w:rsidRPr="00B51A78">
        <w:rPr>
          <w:rFonts w:ascii="Arial" w:hAnsi="Arial" w:cs="Arial"/>
          <w:b/>
          <w:bCs/>
          <w:sz w:val="22"/>
          <w:szCs w:val="22"/>
        </w:rPr>
        <w:t xml:space="preserve"> cell distribution between the CNS and PNS segment</w:t>
      </w:r>
      <w:r w:rsidR="00CB04EC">
        <w:rPr>
          <w:rFonts w:ascii="Arial" w:hAnsi="Arial" w:cs="Arial"/>
          <w:b/>
          <w:bCs/>
          <w:sz w:val="22"/>
          <w:szCs w:val="22"/>
        </w:rPr>
        <w:t>s</w:t>
      </w:r>
      <w:r w:rsidR="006929CD" w:rsidRPr="00B51A78">
        <w:rPr>
          <w:rFonts w:ascii="Arial" w:hAnsi="Arial" w:cs="Arial"/>
          <w:b/>
          <w:bCs/>
          <w:sz w:val="22"/>
          <w:szCs w:val="22"/>
        </w:rPr>
        <w:t xml:space="preserve"> of the trigeminal and cochlear nerve. </w:t>
      </w:r>
      <w:r w:rsidR="006929CD">
        <w:rPr>
          <w:rFonts w:ascii="Arial" w:hAnsi="Arial" w:cs="Arial"/>
          <w:b/>
          <w:bCs/>
          <w:sz w:val="22"/>
          <w:szCs w:val="22"/>
        </w:rPr>
        <w:t>a</w:t>
      </w:r>
      <w:r w:rsidR="006929CD">
        <w:rPr>
          <w:rFonts w:ascii="Arial" w:hAnsi="Arial" w:cs="Arial"/>
          <w:sz w:val="22"/>
          <w:szCs w:val="22"/>
        </w:rPr>
        <w:t xml:space="preserve"> CX3CR1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microglia </w:t>
      </w:r>
      <w:r w:rsidR="00CB04EC">
        <w:rPr>
          <w:rFonts w:ascii="Arial" w:hAnsi="Arial" w:cs="Arial"/>
          <w:sz w:val="22"/>
          <w:szCs w:val="22"/>
        </w:rPr>
        <w:t>we</w:t>
      </w:r>
      <w:r w:rsidR="006929CD">
        <w:rPr>
          <w:rFonts w:ascii="Arial" w:hAnsi="Arial" w:cs="Arial"/>
          <w:sz w:val="22"/>
          <w:szCs w:val="22"/>
        </w:rPr>
        <w:t>re abundant within the CNS segment of the trigeminal nerve and largely associated with the dome-shaped TZ marked by GFAP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astrocyte </w:t>
      </w:r>
      <w:r>
        <w:rPr>
          <w:rFonts w:ascii="Arial" w:hAnsi="Arial" w:cs="Arial"/>
          <w:sz w:val="22"/>
          <w:szCs w:val="22"/>
        </w:rPr>
        <w:t>foot processes</w:t>
      </w:r>
      <w:r w:rsidR="006929CD">
        <w:rPr>
          <w:rFonts w:ascii="Arial" w:hAnsi="Arial" w:cs="Arial"/>
          <w:sz w:val="22"/>
          <w:szCs w:val="22"/>
        </w:rPr>
        <w:t>. CX3CR1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cells </w:t>
      </w:r>
      <w:r w:rsidR="00CB04EC">
        <w:rPr>
          <w:rFonts w:ascii="Arial" w:hAnsi="Arial" w:cs="Arial"/>
          <w:sz w:val="22"/>
          <w:szCs w:val="22"/>
        </w:rPr>
        <w:t>we</w:t>
      </w:r>
      <w:r w:rsidR="006929CD">
        <w:rPr>
          <w:rFonts w:ascii="Arial" w:hAnsi="Arial" w:cs="Arial"/>
          <w:sz w:val="22"/>
          <w:szCs w:val="22"/>
        </w:rPr>
        <w:t xml:space="preserve">re scarce on the PNS side of the trigeminal nerve. </w:t>
      </w:r>
      <w:r w:rsidR="006929CD">
        <w:rPr>
          <w:rFonts w:ascii="Arial" w:hAnsi="Arial" w:cs="Arial"/>
          <w:b/>
          <w:bCs/>
          <w:sz w:val="22"/>
          <w:szCs w:val="22"/>
        </w:rPr>
        <w:t>b</w:t>
      </w:r>
      <w:r w:rsidR="006929CD">
        <w:rPr>
          <w:rFonts w:ascii="Arial" w:hAnsi="Arial" w:cs="Arial"/>
          <w:sz w:val="22"/>
          <w:szCs w:val="22"/>
        </w:rPr>
        <w:t xml:space="preserve"> Cx3CR1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cells </w:t>
      </w:r>
      <w:r w:rsidR="00CB04EC">
        <w:rPr>
          <w:rFonts w:ascii="Arial" w:hAnsi="Arial" w:cs="Arial"/>
          <w:sz w:val="22"/>
          <w:szCs w:val="22"/>
        </w:rPr>
        <w:t>we</w:t>
      </w:r>
      <w:r w:rsidR="006929CD">
        <w:rPr>
          <w:rFonts w:ascii="Arial" w:hAnsi="Arial" w:cs="Arial"/>
          <w:sz w:val="22"/>
          <w:szCs w:val="22"/>
        </w:rPr>
        <w:t xml:space="preserve">re abundant on the CNS segment of the cochlear nerve and scarce on the PNS side, but their distribution pattern </w:t>
      </w:r>
      <w:r w:rsidR="00CB04EC">
        <w:rPr>
          <w:rFonts w:ascii="Arial" w:hAnsi="Arial" w:cs="Arial"/>
          <w:sz w:val="22"/>
          <w:szCs w:val="22"/>
        </w:rPr>
        <w:t xml:space="preserve">did </w:t>
      </w:r>
      <w:r w:rsidR="006929CD">
        <w:rPr>
          <w:rFonts w:ascii="Arial" w:hAnsi="Arial" w:cs="Arial"/>
          <w:sz w:val="22"/>
          <w:szCs w:val="22"/>
        </w:rPr>
        <w:t>not clearly reveal the TZ marked by GFAP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astrocyte </w:t>
      </w:r>
      <w:r>
        <w:rPr>
          <w:rFonts w:ascii="Arial" w:hAnsi="Arial" w:cs="Arial"/>
          <w:sz w:val="22"/>
          <w:szCs w:val="22"/>
        </w:rPr>
        <w:t>foot processes</w:t>
      </w:r>
      <w:r w:rsidR="006929CD">
        <w:rPr>
          <w:rFonts w:ascii="Arial" w:hAnsi="Arial" w:cs="Arial"/>
          <w:sz w:val="22"/>
          <w:szCs w:val="22"/>
        </w:rPr>
        <w:t xml:space="preserve">. </w:t>
      </w:r>
    </w:p>
    <w:p w14:paraId="08641414" w14:textId="77777777" w:rsidR="006929CD" w:rsidRDefault="006929CD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502DB038" wp14:editId="03CE2F76">
            <wp:extent cx="5325098" cy="6528376"/>
            <wp:effectExtent l="0" t="0" r="9525" b="6350"/>
            <wp:docPr id="693440216" name="Picture 3" descr="A collage of images of a person's bo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440216" name="Picture 3" descr="A collage of images of a person's body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0" b="17182"/>
                    <a:stretch/>
                  </pic:blipFill>
                  <pic:spPr bwMode="auto">
                    <a:xfrm>
                      <a:off x="0" y="0"/>
                      <a:ext cx="5325110" cy="6528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2F519" w14:textId="6C8A25FD" w:rsidR="006929CD" w:rsidRDefault="0033454B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07795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Supplemental Fig. </w:t>
      </w:r>
      <w:r w:rsidR="000455B3" w:rsidRPr="00077951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Pr="00835036"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="006929CD" w:rsidRPr="00471619">
        <w:rPr>
          <w:rFonts w:ascii="Arial" w:hAnsi="Arial" w:cs="Arial"/>
          <w:b/>
          <w:bCs/>
          <w:sz w:val="22"/>
          <w:szCs w:val="22"/>
        </w:rPr>
        <w:t>CCR2</w:t>
      </w:r>
      <w:r w:rsidR="006929CD" w:rsidRPr="00EA76C7">
        <w:rPr>
          <w:rFonts w:ascii="Arial" w:hAnsi="Arial" w:cs="Arial"/>
          <w:b/>
          <w:bCs/>
          <w:sz w:val="22"/>
          <w:szCs w:val="22"/>
          <w:vertAlign w:val="superscript"/>
        </w:rPr>
        <w:t>+</w:t>
      </w:r>
      <w:r w:rsidR="006929CD" w:rsidRPr="00471619">
        <w:rPr>
          <w:rFonts w:ascii="Arial" w:hAnsi="Arial" w:cs="Arial"/>
          <w:b/>
          <w:bCs/>
          <w:sz w:val="22"/>
          <w:szCs w:val="22"/>
        </w:rPr>
        <w:t xml:space="preserve"> cells and liposomes are accumulated within the SAS cisterns. </w:t>
      </w:r>
      <w:proofErr w:type="gramStart"/>
      <w:r w:rsidR="006929CD">
        <w:rPr>
          <w:rFonts w:ascii="Arial" w:hAnsi="Arial" w:cs="Arial"/>
          <w:b/>
          <w:bCs/>
          <w:sz w:val="22"/>
          <w:szCs w:val="22"/>
        </w:rPr>
        <w:t>a</w:t>
      </w:r>
      <w:proofErr w:type="gramEnd"/>
      <w:r w:rsidR="006929CD" w:rsidRPr="00471619">
        <w:rPr>
          <w:rFonts w:ascii="Arial" w:hAnsi="Arial" w:cs="Arial"/>
          <w:b/>
          <w:bCs/>
          <w:sz w:val="22"/>
          <w:szCs w:val="22"/>
        </w:rPr>
        <w:t xml:space="preserve"> </w:t>
      </w:r>
      <w:r w:rsidR="00CB04EC">
        <w:rPr>
          <w:rFonts w:ascii="Arial" w:hAnsi="Arial" w:cs="Arial"/>
          <w:sz w:val="22"/>
          <w:szCs w:val="22"/>
        </w:rPr>
        <w:t>R</w:t>
      </w:r>
      <w:r w:rsidR="006929CD">
        <w:rPr>
          <w:rFonts w:ascii="Arial" w:hAnsi="Arial" w:cs="Arial"/>
          <w:sz w:val="22"/>
          <w:szCs w:val="22"/>
        </w:rPr>
        <w:t>epresentative images showing that in</w:t>
      </w:r>
      <w:r w:rsidR="00336B01">
        <w:rPr>
          <w:rFonts w:ascii="Arial" w:hAnsi="Arial" w:cs="Arial" w:hint="eastAsia"/>
          <w:sz w:val="22"/>
          <w:szCs w:val="22"/>
        </w:rPr>
        <w:t xml:space="preserve"> the</w:t>
      </w:r>
      <w:r w:rsidR="006929CD">
        <w:rPr>
          <w:rFonts w:ascii="Arial" w:hAnsi="Arial" w:cs="Arial"/>
          <w:sz w:val="22"/>
          <w:szCs w:val="22"/>
        </w:rPr>
        <w:t xml:space="preserve"> naïve mouse, liposomes </w:t>
      </w:r>
      <w:r w:rsidR="00CB04EC">
        <w:rPr>
          <w:rFonts w:ascii="Arial" w:hAnsi="Arial" w:cs="Arial"/>
          <w:sz w:val="22"/>
          <w:szCs w:val="22"/>
        </w:rPr>
        <w:t>we</w:t>
      </w:r>
      <w:r w:rsidR="006929CD">
        <w:rPr>
          <w:rFonts w:ascii="Arial" w:hAnsi="Arial" w:cs="Arial"/>
          <w:sz w:val="22"/>
          <w:szCs w:val="22"/>
        </w:rPr>
        <w:t>re visible in the SAS cisterns, but CCR2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cells </w:t>
      </w:r>
      <w:r w:rsidR="00CB04EC">
        <w:rPr>
          <w:rFonts w:ascii="Arial" w:hAnsi="Arial" w:cs="Arial"/>
          <w:sz w:val="22"/>
          <w:szCs w:val="22"/>
        </w:rPr>
        <w:t>we</w:t>
      </w:r>
      <w:r w:rsidR="006929CD">
        <w:rPr>
          <w:rFonts w:ascii="Arial" w:hAnsi="Arial" w:cs="Arial"/>
          <w:sz w:val="22"/>
          <w:szCs w:val="22"/>
        </w:rPr>
        <w:t xml:space="preserve">re nearly visible. </w:t>
      </w:r>
      <w:proofErr w:type="spellStart"/>
      <w:r w:rsidR="006929CD">
        <w:rPr>
          <w:rFonts w:ascii="Arial" w:hAnsi="Arial" w:cs="Arial"/>
          <w:sz w:val="22"/>
          <w:szCs w:val="22"/>
        </w:rPr>
        <w:t>ACi</w:t>
      </w:r>
      <w:proofErr w:type="spellEnd"/>
      <w:r w:rsidR="006929CD">
        <w:rPr>
          <w:rFonts w:ascii="Arial" w:hAnsi="Arial" w:cs="Arial"/>
          <w:sz w:val="22"/>
          <w:szCs w:val="22"/>
        </w:rPr>
        <w:t xml:space="preserve">, ambient cistern; AMV, anterior medullary velum. </w:t>
      </w:r>
      <w:r w:rsidR="006929CD">
        <w:rPr>
          <w:rFonts w:ascii="Arial" w:hAnsi="Arial" w:cs="Arial"/>
          <w:b/>
          <w:bCs/>
          <w:sz w:val="22"/>
          <w:szCs w:val="22"/>
        </w:rPr>
        <w:t>b</w:t>
      </w:r>
      <w:r w:rsidR="006929CD">
        <w:rPr>
          <w:rFonts w:ascii="Arial" w:hAnsi="Arial" w:cs="Arial"/>
          <w:sz w:val="22"/>
          <w:szCs w:val="22"/>
        </w:rPr>
        <w:t xml:space="preserve"> In EAE peak</w:t>
      </w:r>
      <w:r w:rsidR="00A42BD8">
        <w:rPr>
          <w:rFonts w:ascii="Arial" w:hAnsi="Arial" w:cs="Arial"/>
          <w:sz w:val="22"/>
          <w:szCs w:val="22"/>
        </w:rPr>
        <w:t xml:space="preserve"> stage</w:t>
      </w:r>
      <w:r w:rsidR="006929CD">
        <w:rPr>
          <w:rFonts w:ascii="Arial" w:hAnsi="Arial" w:cs="Arial"/>
          <w:sz w:val="22"/>
          <w:szCs w:val="22"/>
        </w:rPr>
        <w:t>, accumulation of CCR2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cells and liposomes </w:t>
      </w:r>
      <w:r w:rsidR="00CB04EC">
        <w:rPr>
          <w:rFonts w:ascii="Arial" w:hAnsi="Arial" w:cs="Arial"/>
          <w:sz w:val="22"/>
          <w:szCs w:val="22"/>
        </w:rPr>
        <w:t>we</w:t>
      </w:r>
      <w:r w:rsidR="006929CD">
        <w:rPr>
          <w:rFonts w:ascii="Arial" w:hAnsi="Arial" w:cs="Arial"/>
          <w:sz w:val="22"/>
          <w:szCs w:val="22"/>
        </w:rPr>
        <w:t xml:space="preserve">re seen in multiple SAS cisterns including the </w:t>
      </w:r>
      <w:proofErr w:type="spellStart"/>
      <w:r w:rsidR="006929CD">
        <w:rPr>
          <w:rFonts w:ascii="Arial" w:hAnsi="Arial" w:cs="Arial"/>
          <w:sz w:val="22"/>
          <w:szCs w:val="22"/>
        </w:rPr>
        <w:t>ACi</w:t>
      </w:r>
      <w:proofErr w:type="spellEnd"/>
      <w:r w:rsidR="006929CD">
        <w:rPr>
          <w:rFonts w:ascii="Arial" w:hAnsi="Arial" w:cs="Arial"/>
          <w:sz w:val="22"/>
          <w:szCs w:val="22"/>
        </w:rPr>
        <w:t xml:space="preserve">, AMV, the </w:t>
      </w:r>
      <w:proofErr w:type="spellStart"/>
      <w:r w:rsidR="006929CD">
        <w:rPr>
          <w:rFonts w:ascii="Arial" w:hAnsi="Arial" w:cs="Arial"/>
          <w:sz w:val="22"/>
          <w:szCs w:val="22"/>
        </w:rPr>
        <w:t>CiOT</w:t>
      </w:r>
      <w:proofErr w:type="spellEnd"/>
      <w:r w:rsidR="006929CD">
        <w:rPr>
          <w:rFonts w:ascii="Arial" w:hAnsi="Arial" w:cs="Arial"/>
          <w:sz w:val="22"/>
          <w:szCs w:val="22"/>
        </w:rPr>
        <w:t xml:space="preserve"> (cistern of the optic tract), and the </w:t>
      </w:r>
      <w:proofErr w:type="spellStart"/>
      <w:r w:rsidR="006929CD">
        <w:rPr>
          <w:rFonts w:ascii="Arial" w:hAnsi="Arial" w:cs="Arial"/>
          <w:sz w:val="22"/>
          <w:szCs w:val="22"/>
        </w:rPr>
        <w:t>CiLT</w:t>
      </w:r>
      <w:proofErr w:type="spellEnd"/>
      <w:r w:rsidR="006929CD">
        <w:rPr>
          <w:rFonts w:ascii="Arial" w:hAnsi="Arial" w:cs="Arial"/>
          <w:sz w:val="22"/>
          <w:szCs w:val="22"/>
        </w:rPr>
        <w:t xml:space="preserve"> (cistern of the lamina terminalis).</w:t>
      </w:r>
    </w:p>
    <w:p w14:paraId="29616B8B" w14:textId="77777777" w:rsidR="006929CD" w:rsidRDefault="006929CD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17FF708D" wp14:editId="3D8D8AEB">
            <wp:extent cx="5324326" cy="1498718"/>
            <wp:effectExtent l="0" t="0" r="0" b="6350"/>
            <wp:docPr id="223348964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348964" name="Picture 4" descr="A screenshot of a computer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04" b="60982"/>
                    <a:stretch/>
                  </pic:blipFill>
                  <pic:spPr bwMode="auto">
                    <a:xfrm>
                      <a:off x="0" y="0"/>
                      <a:ext cx="5325110" cy="1498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77477" w14:textId="0F828B4A" w:rsidR="006929CD" w:rsidRDefault="0033454B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Supplemental Fig. </w:t>
      </w:r>
      <w:r w:rsidR="000455B3"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  <w:r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929CD" w:rsidRPr="001A7FE1">
        <w:rPr>
          <w:rFonts w:ascii="Arial" w:hAnsi="Arial" w:cs="Arial"/>
          <w:b/>
          <w:bCs/>
          <w:sz w:val="22"/>
          <w:szCs w:val="22"/>
        </w:rPr>
        <w:t xml:space="preserve">Arachnoid cul-de-sac of the trigeminal nerve. </w:t>
      </w:r>
      <w:proofErr w:type="gramStart"/>
      <w:r w:rsidR="006929CD">
        <w:rPr>
          <w:rFonts w:ascii="Arial" w:hAnsi="Arial" w:cs="Arial"/>
          <w:b/>
          <w:bCs/>
          <w:sz w:val="22"/>
          <w:szCs w:val="22"/>
        </w:rPr>
        <w:t>a</w:t>
      </w:r>
      <w:proofErr w:type="gramEnd"/>
      <w:r w:rsidR="006929CD">
        <w:rPr>
          <w:rFonts w:ascii="Arial" w:hAnsi="Arial" w:cs="Arial"/>
          <w:sz w:val="22"/>
          <w:szCs w:val="22"/>
        </w:rPr>
        <w:t xml:space="preserve"> The arachnoid cul-de-sac (arrow) of the trigeminal nerve (Tri) is revealed on a lateral sagittal section of the Prox1-GFP mouse </w:t>
      </w:r>
      <w:proofErr w:type="spellStart"/>
      <w:r w:rsidR="006929CD">
        <w:rPr>
          <w:rFonts w:ascii="Arial" w:hAnsi="Arial" w:cs="Arial"/>
          <w:sz w:val="22"/>
          <w:szCs w:val="22"/>
        </w:rPr>
        <w:t>i.c.v</w:t>
      </w:r>
      <w:proofErr w:type="spellEnd"/>
      <w:r w:rsidR="006929CD">
        <w:rPr>
          <w:rFonts w:ascii="Arial" w:hAnsi="Arial" w:cs="Arial"/>
          <w:sz w:val="22"/>
          <w:szCs w:val="22"/>
        </w:rPr>
        <w:t xml:space="preserve">-infused with liposomes. </w:t>
      </w:r>
    </w:p>
    <w:p w14:paraId="30EBAFDB" w14:textId="77777777" w:rsidR="006929CD" w:rsidRDefault="006929CD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</w:p>
    <w:p w14:paraId="5CC627FE" w14:textId="69170921" w:rsidR="006929CD" w:rsidRDefault="0033454B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33C61B05" wp14:editId="1B746EF4">
            <wp:extent cx="5324608" cy="5974690"/>
            <wp:effectExtent l="0" t="0" r="0" b="7620"/>
            <wp:docPr id="1016735854" name="Picture 4" descr="A collage of images of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735854" name="Picture 4" descr="A collage of images of different colors&#10;&#10;AI-generated content may be incorrect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1" b="23102"/>
                    <a:stretch/>
                  </pic:blipFill>
                  <pic:spPr bwMode="auto">
                    <a:xfrm>
                      <a:off x="0" y="0"/>
                      <a:ext cx="5325110" cy="5975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F92765" w14:textId="41069B7F" w:rsidR="006929CD" w:rsidRDefault="0033454B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Supplemental Fig. </w:t>
      </w:r>
      <w:r w:rsidR="000455B3"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929CD" w:rsidRPr="00525C10">
        <w:rPr>
          <w:rFonts w:ascii="Arial" w:hAnsi="Arial" w:cs="Arial"/>
          <w:b/>
          <w:bCs/>
          <w:sz w:val="22"/>
          <w:szCs w:val="22"/>
        </w:rPr>
        <w:t xml:space="preserve">E-cadherin staining </w:t>
      </w:r>
      <w:r w:rsidR="00A42BD8">
        <w:rPr>
          <w:rFonts w:ascii="Arial" w:hAnsi="Arial" w:cs="Arial"/>
          <w:b/>
          <w:bCs/>
          <w:sz w:val="22"/>
          <w:szCs w:val="22"/>
        </w:rPr>
        <w:t>d</w:t>
      </w:r>
      <w:r w:rsidR="00CB04EC">
        <w:rPr>
          <w:rFonts w:ascii="Arial" w:hAnsi="Arial" w:cs="Arial"/>
          <w:b/>
          <w:bCs/>
          <w:sz w:val="22"/>
          <w:szCs w:val="22"/>
        </w:rPr>
        <w:t>id</w:t>
      </w:r>
      <w:r w:rsidR="00A42BD8">
        <w:rPr>
          <w:rFonts w:ascii="Arial" w:hAnsi="Arial" w:cs="Arial"/>
          <w:b/>
          <w:bCs/>
          <w:sz w:val="22"/>
          <w:szCs w:val="22"/>
        </w:rPr>
        <w:t xml:space="preserve"> not reveal </w:t>
      </w:r>
      <w:r w:rsidR="00CB04EC">
        <w:rPr>
          <w:rFonts w:ascii="Arial" w:hAnsi="Arial" w:cs="Arial"/>
          <w:b/>
          <w:bCs/>
          <w:sz w:val="22"/>
          <w:szCs w:val="22"/>
        </w:rPr>
        <w:t xml:space="preserve">obvious </w:t>
      </w:r>
      <w:r w:rsidR="00A42BD8">
        <w:rPr>
          <w:rFonts w:ascii="Arial" w:hAnsi="Arial" w:cs="Arial"/>
          <w:b/>
          <w:bCs/>
          <w:sz w:val="22"/>
          <w:szCs w:val="22"/>
        </w:rPr>
        <w:t>differences</w:t>
      </w:r>
      <w:r w:rsidR="006929CD" w:rsidRPr="00525C10">
        <w:rPr>
          <w:rFonts w:ascii="Arial" w:hAnsi="Arial" w:cs="Arial"/>
          <w:b/>
          <w:bCs/>
          <w:sz w:val="22"/>
          <w:szCs w:val="22"/>
        </w:rPr>
        <w:t xml:space="preserve"> between </w:t>
      </w:r>
      <w:r w:rsidR="00A42BD8">
        <w:rPr>
          <w:rFonts w:ascii="Arial" w:hAnsi="Arial" w:cs="Arial"/>
          <w:b/>
          <w:bCs/>
          <w:sz w:val="22"/>
          <w:szCs w:val="22"/>
        </w:rPr>
        <w:t xml:space="preserve">the </w:t>
      </w:r>
      <w:r w:rsidR="006929CD" w:rsidRPr="00525C10">
        <w:rPr>
          <w:rFonts w:ascii="Arial" w:hAnsi="Arial" w:cs="Arial"/>
          <w:b/>
          <w:bCs/>
          <w:sz w:val="22"/>
          <w:szCs w:val="22"/>
        </w:rPr>
        <w:t xml:space="preserve">naïve and EAE </w:t>
      </w:r>
      <w:r w:rsidR="00A42BD8">
        <w:rPr>
          <w:rFonts w:ascii="Arial" w:hAnsi="Arial" w:cs="Arial"/>
          <w:b/>
          <w:bCs/>
          <w:sz w:val="22"/>
          <w:szCs w:val="22"/>
        </w:rPr>
        <w:t>condition</w:t>
      </w:r>
      <w:r w:rsidR="006929CD" w:rsidRPr="00525C10">
        <w:rPr>
          <w:rFonts w:ascii="Arial" w:hAnsi="Arial" w:cs="Arial"/>
          <w:b/>
          <w:bCs/>
          <w:sz w:val="22"/>
          <w:szCs w:val="22"/>
        </w:rPr>
        <w:t xml:space="preserve"> for trigeminal and cochlear nerve</w:t>
      </w:r>
      <w:r w:rsidR="00A42BD8">
        <w:rPr>
          <w:rFonts w:ascii="Arial" w:hAnsi="Arial" w:cs="Arial"/>
          <w:b/>
          <w:bCs/>
          <w:sz w:val="22"/>
          <w:szCs w:val="22"/>
        </w:rPr>
        <w:t>s</w:t>
      </w:r>
      <w:r w:rsidR="006929CD" w:rsidRPr="00525C10">
        <w:rPr>
          <w:rFonts w:ascii="Arial" w:hAnsi="Arial" w:cs="Arial"/>
          <w:b/>
          <w:bCs/>
          <w:sz w:val="22"/>
          <w:szCs w:val="22"/>
        </w:rPr>
        <w:t>.</w:t>
      </w:r>
      <w:r w:rsidR="006929CD">
        <w:rPr>
          <w:rFonts w:ascii="Arial" w:hAnsi="Arial" w:cs="Arial"/>
          <w:sz w:val="22"/>
          <w:szCs w:val="22"/>
        </w:rPr>
        <w:t xml:space="preserve"> </w:t>
      </w:r>
      <w:r w:rsidR="006929CD">
        <w:rPr>
          <w:rFonts w:ascii="Arial" w:hAnsi="Arial" w:cs="Arial"/>
          <w:b/>
          <w:bCs/>
          <w:sz w:val="22"/>
          <w:szCs w:val="22"/>
        </w:rPr>
        <w:t>a</w:t>
      </w:r>
      <w:r w:rsidR="006929CD">
        <w:rPr>
          <w:rFonts w:ascii="Arial" w:hAnsi="Arial" w:cs="Arial"/>
          <w:sz w:val="22"/>
          <w:szCs w:val="22"/>
        </w:rPr>
        <w:t xml:space="preserve"> E-cadherin staining did not reveal morphological differences around the trigeminal nerve (Tri) between the naïve and the EAE mouse</w:t>
      </w:r>
      <w:r w:rsidR="007304A5">
        <w:rPr>
          <w:rFonts w:ascii="Arial" w:hAnsi="Arial" w:cs="Arial" w:hint="eastAsia"/>
          <w:sz w:val="22"/>
          <w:szCs w:val="22"/>
        </w:rPr>
        <w:t xml:space="preserve"> ((n= 3 mice in each group)</w:t>
      </w:r>
      <w:r w:rsidR="006929CD">
        <w:rPr>
          <w:rFonts w:ascii="Arial" w:hAnsi="Arial" w:cs="Arial"/>
          <w:sz w:val="22"/>
          <w:szCs w:val="22"/>
        </w:rPr>
        <w:t xml:space="preserve">. </w:t>
      </w:r>
      <w:r w:rsidR="006929CD">
        <w:rPr>
          <w:rFonts w:ascii="Arial" w:hAnsi="Arial" w:cs="Arial"/>
          <w:b/>
          <w:bCs/>
          <w:sz w:val="22"/>
          <w:szCs w:val="22"/>
        </w:rPr>
        <w:t>b</w:t>
      </w:r>
      <w:r w:rsidR="006929CD">
        <w:rPr>
          <w:rFonts w:ascii="Arial" w:hAnsi="Arial" w:cs="Arial"/>
          <w:sz w:val="22"/>
          <w:szCs w:val="22"/>
        </w:rPr>
        <w:t xml:space="preserve"> Discontinuous E-cadherin</w:t>
      </w:r>
      <w:r w:rsidR="006929CD" w:rsidRPr="007304A5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signal (between the colored arrows) when nerve bundles merge into the trunk of cochlear nerve</w:t>
      </w:r>
      <w:r w:rsidR="00143C3D">
        <w:rPr>
          <w:rFonts w:ascii="Arial" w:hAnsi="Arial" w:cs="Arial"/>
          <w:sz w:val="22"/>
          <w:szCs w:val="22"/>
        </w:rPr>
        <w:t xml:space="preserve"> (Coc)</w:t>
      </w:r>
      <w:r w:rsidR="006929CD">
        <w:rPr>
          <w:rFonts w:ascii="Arial" w:hAnsi="Arial" w:cs="Arial"/>
          <w:sz w:val="22"/>
          <w:szCs w:val="22"/>
        </w:rPr>
        <w:t xml:space="preserve"> </w:t>
      </w:r>
      <w:r w:rsidR="00CB04EC">
        <w:rPr>
          <w:rFonts w:ascii="Arial" w:hAnsi="Arial" w:cs="Arial"/>
          <w:sz w:val="22"/>
          <w:szCs w:val="22"/>
        </w:rPr>
        <w:t>wa</w:t>
      </w:r>
      <w:r w:rsidR="006929CD">
        <w:rPr>
          <w:rFonts w:ascii="Arial" w:hAnsi="Arial" w:cs="Arial"/>
          <w:sz w:val="22"/>
          <w:szCs w:val="22"/>
        </w:rPr>
        <w:t xml:space="preserve">s seen in both naïve and EAE peak. </w:t>
      </w:r>
      <w:r w:rsidR="00143C3D">
        <w:rPr>
          <w:rFonts w:ascii="Arial" w:hAnsi="Arial" w:cs="Arial"/>
          <w:sz w:val="22"/>
          <w:szCs w:val="22"/>
        </w:rPr>
        <w:t>ST, scala tympani.</w:t>
      </w:r>
    </w:p>
    <w:p w14:paraId="49692BA7" w14:textId="77777777" w:rsidR="006929CD" w:rsidRDefault="006929CD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6EE3ABEC" wp14:editId="2F477D76">
            <wp:extent cx="5324700" cy="4104167"/>
            <wp:effectExtent l="0" t="0" r="9525" b="0"/>
            <wp:docPr id="1041267497" name="Picture 6" descr="A collage of images of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267497" name="Picture 6" descr="A collage of images of different colors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44" b="41081"/>
                    <a:stretch/>
                  </pic:blipFill>
                  <pic:spPr bwMode="auto">
                    <a:xfrm>
                      <a:off x="0" y="0"/>
                      <a:ext cx="5325110" cy="4104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BC76F7" w14:textId="426D33C8" w:rsidR="006929CD" w:rsidRDefault="0033454B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Supplemental Fig. </w:t>
      </w:r>
      <w:r w:rsidR="000455B3"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>7</w:t>
      </w:r>
      <w:r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929CD" w:rsidRPr="004127F4">
        <w:rPr>
          <w:rFonts w:ascii="Arial" w:hAnsi="Arial" w:cs="Arial"/>
          <w:b/>
          <w:bCs/>
          <w:sz w:val="22"/>
          <w:szCs w:val="22"/>
        </w:rPr>
        <w:t xml:space="preserve">E-cadherin staining </w:t>
      </w:r>
      <w:r w:rsidR="00CB04EC" w:rsidRPr="004127F4">
        <w:rPr>
          <w:rFonts w:ascii="Arial" w:hAnsi="Arial" w:cs="Arial"/>
          <w:b/>
          <w:bCs/>
          <w:sz w:val="22"/>
          <w:szCs w:val="22"/>
        </w:rPr>
        <w:t>d</w:t>
      </w:r>
      <w:r w:rsidR="00CB04EC">
        <w:rPr>
          <w:rFonts w:ascii="Arial" w:hAnsi="Arial" w:cs="Arial"/>
          <w:b/>
          <w:bCs/>
          <w:sz w:val="22"/>
          <w:szCs w:val="22"/>
        </w:rPr>
        <w:t>id</w:t>
      </w:r>
      <w:r w:rsidR="00CB04EC" w:rsidRPr="004127F4">
        <w:rPr>
          <w:rFonts w:ascii="Arial" w:hAnsi="Arial" w:cs="Arial"/>
          <w:b/>
          <w:bCs/>
          <w:sz w:val="22"/>
          <w:szCs w:val="22"/>
        </w:rPr>
        <w:t xml:space="preserve"> </w:t>
      </w:r>
      <w:r w:rsidR="006929CD" w:rsidRPr="004127F4">
        <w:rPr>
          <w:rFonts w:ascii="Arial" w:hAnsi="Arial" w:cs="Arial"/>
          <w:b/>
          <w:bCs/>
          <w:sz w:val="22"/>
          <w:szCs w:val="22"/>
        </w:rPr>
        <w:t xml:space="preserve">not reveal </w:t>
      </w:r>
      <w:r w:rsidR="00CB04EC">
        <w:rPr>
          <w:rFonts w:ascii="Arial" w:hAnsi="Arial" w:cs="Arial"/>
          <w:b/>
          <w:bCs/>
          <w:sz w:val="22"/>
          <w:szCs w:val="22"/>
        </w:rPr>
        <w:t xml:space="preserve">obvious </w:t>
      </w:r>
      <w:r w:rsidR="006929CD" w:rsidRPr="004127F4">
        <w:rPr>
          <w:rFonts w:ascii="Arial" w:hAnsi="Arial" w:cs="Arial"/>
          <w:b/>
          <w:bCs/>
          <w:sz w:val="22"/>
          <w:szCs w:val="22"/>
        </w:rPr>
        <w:t>differences between the naïve and EAE mouse for optic and olfactory nerve</w:t>
      </w:r>
      <w:r w:rsidR="00A42BD8">
        <w:rPr>
          <w:rFonts w:ascii="Arial" w:hAnsi="Arial" w:cs="Arial"/>
          <w:b/>
          <w:bCs/>
          <w:sz w:val="22"/>
          <w:szCs w:val="22"/>
        </w:rPr>
        <w:t>s</w:t>
      </w:r>
      <w:r w:rsidR="006929CD" w:rsidRPr="004127F4">
        <w:rPr>
          <w:rFonts w:ascii="Arial" w:hAnsi="Arial" w:cs="Arial"/>
          <w:b/>
          <w:bCs/>
          <w:sz w:val="22"/>
          <w:szCs w:val="22"/>
        </w:rPr>
        <w:t>.</w:t>
      </w:r>
      <w:r w:rsidR="006929CD">
        <w:rPr>
          <w:rFonts w:ascii="Arial" w:hAnsi="Arial" w:cs="Arial"/>
          <w:sz w:val="22"/>
          <w:szCs w:val="22"/>
        </w:rPr>
        <w:t xml:space="preserve"> </w:t>
      </w:r>
      <w:r w:rsidR="006929CD">
        <w:rPr>
          <w:rFonts w:ascii="Arial" w:hAnsi="Arial" w:cs="Arial"/>
          <w:b/>
          <w:bCs/>
          <w:sz w:val="22"/>
          <w:szCs w:val="22"/>
        </w:rPr>
        <w:t>a</w:t>
      </w:r>
      <w:r w:rsidR="006929CD">
        <w:rPr>
          <w:rFonts w:ascii="Arial" w:hAnsi="Arial" w:cs="Arial"/>
          <w:sz w:val="22"/>
          <w:szCs w:val="22"/>
        </w:rPr>
        <w:t xml:space="preserve"> E-cadherin staining on sagittal sections (left and middle </w:t>
      </w:r>
      <w:r w:rsidR="00A42BD8">
        <w:rPr>
          <w:rFonts w:ascii="Arial" w:hAnsi="Arial" w:cs="Arial"/>
          <w:sz w:val="22"/>
          <w:szCs w:val="22"/>
        </w:rPr>
        <w:t>panels</w:t>
      </w:r>
      <w:r w:rsidR="006929CD">
        <w:rPr>
          <w:rFonts w:ascii="Arial" w:hAnsi="Arial" w:cs="Arial"/>
          <w:sz w:val="22"/>
          <w:szCs w:val="22"/>
        </w:rPr>
        <w:t>) of the optic tract (OT) and the cranial segment of the optic nerve (Opt). Right panels, E-cadherin staining on coronal sections showing the optic nerve (Opt) near the retina. CCR2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cells </w:t>
      </w:r>
      <w:r w:rsidR="00CB04EC">
        <w:rPr>
          <w:rFonts w:ascii="Arial" w:hAnsi="Arial" w:cs="Arial"/>
          <w:sz w:val="22"/>
          <w:szCs w:val="22"/>
        </w:rPr>
        <w:t>we</w:t>
      </w:r>
      <w:r w:rsidR="006929CD">
        <w:rPr>
          <w:rFonts w:ascii="Arial" w:hAnsi="Arial" w:cs="Arial"/>
          <w:sz w:val="22"/>
          <w:szCs w:val="22"/>
        </w:rPr>
        <w:t xml:space="preserve">re visible inside the optic nerve parenchyma, as well as in the </w:t>
      </w:r>
      <w:r w:rsidR="00A42BD8">
        <w:rPr>
          <w:rFonts w:ascii="Arial" w:hAnsi="Arial" w:cs="Arial"/>
          <w:sz w:val="22"/>
          <w:szCs w:val="22"/>
        </w:rPr>
        <w:t xml:space="preserve">intra-orbital </w:t>
      </w:r>
      <w:r w:rsidR="006929CD">
        <w:rPr>
          <w:rFonts w:ascii="Arial" w:hAnsi="Arial" w:cs="Arial"/>
          <w:sz w:val="22"/>
          <w:szCs w:val="22"/>
        </w:rPr>
        <w:t xml:space="preserve">connective tissue. </w:t>
      </w:r>
      <w:proofErr w:type="gramStart"/>
      <w:r w:rsidR="006929CD">
        <w:rPr>
          <w:rFonts w:ascii="Arial" w:hAnsi="Arial" w:cs="Arial"/>
          <w:b/>
          <w:bCs/>
          <w:sz w:val="22"/>
          <w:szCs w:val="22"/>
        </w:rPr>
        <w:t>b</w:t>
      </w:r>
      <w:proofErr w:type="gramEnd"/>
      <w:r w:rsidR="006929CD">
        <w:rPr>
          <w:rFonts w:ascii="Arial" w:hAnsi="Arial" w:cs="Arial"/>
          <w:sz w:val="22"/>
          <w:szCs w:val="22"/>
        </w:rPr>
        <w:t xml:space="preserve"> The</w:t>
      </w:r>
      <w:r w:rsidR="00A42BD8">
        <w:rPr>
          <w:rFonts w:ascii="Arial" w:hAnsi="Arial" w:cs="Arial"/>
          <w:sz w:val="22"/>
          <w:szCs w:val="22"/>
        </w:rPr>
        <w:t xml:space="preserve"> </w:t>
      </w:r>
      <w:r w:rsidR="006929CD">
        <w:rPr>
          <w:rFonts w:ascii="Arial" w:hAnsi="Arial" w:cs="Arial"/>
          <w:sz w:val="22"/>
          <w:szCs w:val="22"/>
        </w:rPr>
        <w:t xml:space="preserve">discontinuous E-cadherin staining looks similar around the olfactory nerve bundles between the naïve and EAE mouse. </w:t>
      </w:r>
      <w:r w:rsidR="006929CD">
        <w:rPr>
          <w:rFonts w:ascii="Arial" w:hAnsi="Arial" w:cs="Arial"/>
          <w:b/>
          <w:bCs/>
          <w:sz w:val="22"/>
          <w:szCs w:val="22"/>
        </w:rPr>
        <w:t xml:space="preserve">c </w:t>
      </w:r>
      <w:r w:rsidR="006929CD">
        <w:rPr>
          <w:rFonts w:ascii="Arial" w:hAnsi="Arial" w:cs="Arial"/>
          <w:sz w:val="22"/>
          <w:szCs w:val="22"/>
        </w:rPr>
        <w:t xml:space="preserve">Representative confocal images showing the indifferentiable E-cadherin </w:t>
      </w:r>
      <w:r w:rsidR="00A42BD8">
        <w:rPr>
          <w:rFonts w:ascii="Arial" w:hAnsi="Arial" w:cs="Arial"/>
          <w:sz w:val="22"/>
          <w:szCs w:val="22"/>
        </w:rPr>
        <w:t xml:space="preserve">staining pattern </w:t>
      </w:r>
      <w:r w:rsidR="006929CD">
        <w:rPr>
          <w:rFonts w:ascii="Arial" w:hAnsi="Arial" w:cs="Arial"/>
          <w:sz w:val="22"/>
          <w:szCs w:val="22"/>
        </w:rPr>
        <w:t xml:space="preserve">between the naïve and the EAE </w:t>
      </w:r>
      <w:r w:rsidR="00A42BD8">
        <w:rPr>
          <w:rFonts w:ascii="Arial" w:hAnsi="Arial" w:cs="Arial"/>
          <w:sz w:val="22"/>
          <w:szCs w:val="22"/>
        </w:rPr>
        <w:t>condition</w:t>
      </w:r>
      <w:r w:rsidR="006929CD">
        <w:rPr>
          <w:rFonts w:ascii="Arial" w:hAnsi="Arial" w:cs="Arial"/>
          <w:sz w:val="22"/>
          <w:szCs w:val="22"/>
        </w:rPr>
        <w:t xml:space="preserve">. </w:t>
      </w:r>
    </w:p>
    <w:p w14:paraId="732CBEA4" w14:textId="77777777" w:rsidR="006929CD" w:rsidRDefault="006929CD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64A4F41A" wp14:editId="27357A4A">
            <wp:extent cx="5324615" cy="3189398"/>
            <wp:effectExtent l="0" t="0" r="0" b="0"/>
            <wp:docPr id="1889773940" name="Picture 7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73940" name="Picture 7" descr="A screenshot of a cell phone&#10;&#10;AI-generated content may be incorrect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32" b="51810"/>
                    <a:stretch/>
                  </pic:blipFill>
                  <pic:spPr bwMode="auto">
                    <a:xfrm>
                      <a:off x="0" y="0"/>
                      <a:ext cx="5325110" cy="3189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9A7C69" w14:textId="264165B3" w:rsidR="006929CD" w:rsidRPr="0021104E" w:rsidRDefault="0033454B" w:rsidP="006929CD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Supplemental Fig. </w:t>
      </w:r>
      <w:r w:rsidR="000455B3"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>8</w:t>
      </w:r>
      <w:r w:rsidRPr="004A2F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929CD" w:rsidRPr="00DC54E6">
        <w:rPr>
          <w:rFonts w:ascii="Arial" w:hAnsi="Arial" w:cs="Arial"/>
          <w:b/>
          <w:bCs/>
          <w:sz w:val="22"/>
          <w:szCs w:val="22"/>
        </w:rPr>
        <w:t xml:space="preserve">Immune cells </w:t>
      </w:r>
      <w:r w:rsidR="00CB04EC">
        <w:rPr>
          <w:rFonts w:ascii="Arial" w:hAnsi="Arial" w:cs="Arial"/>
          <w:b/>
          <w:bCs/>
          <w:sz w:val="22"/>
          <w:szCs w:val="22"/>
        </w:rPr>
        <w:t>we</w:t>
      </w:r>
      <w:r w:rsidR="006929CD" w:rsidRPr="00DC54E6">
        <w:rPr>
          <w:rFonts w:ascii="Arial" w:hAnsi="Arial" w:cs="Arial"/>
          <w:b/>
          <w:bCs/>
          <w:sz w:val="22"/>
          <w:szCs w:val="22"/>
        </w:rPr>
        <w:t xml:space="preserve">re found inside the cribriform </w:t>
      </w:r>
      <w:r w:rsidR="00A42BD8">
        <w:rPr>
          <w:rFonts w:ascii="Arial" w:hAnsi="Arial" w:cs="Arial"/>
          <w:b/>
          <w:bCs/>
          <w:sz w:val="22"/>
          <w:szCs w:val="22"/>
        </w:rPr>
        <w:t xml:space="preserve">plate </w:t>
      </w:r>
      <w:r w:rsidR="006929CD" w:rsidRPr="00DC54E6">
        <w:rPr>
          <w:rFonts w:ascii="Arial" w:hAnsi="Arial" w:cs="Arial"/>
          <w:b/>
          <w:bCs/>
          <w:sz w:val="22"/>
          <w:szCs w:val="22"/>
        </w:rPr>
        <w:t xml:space="preserve">lymphatic vessels in naïve and EAE mouse. </w:t>
      </w:r>
      <w:r w:rsidR="006929CD">
        <w:rPr>
          <w:rFonts w:ascii="Arial" w:hAnsi="Arial" w:cs="Arial"/>
          <w:b/>
          <w:bCs/>
          <w:sz w:val="22"/>
          <w:szCs w:val="22"/>
        </w:rPr>
        <w:t>a</w:t>
      </w:r>
      <w:r w:rsidR="006929CD">
        <w:rPr>
          <w:rFonts w:ascii="Arial" w:hAnsi="Arial" w:cs="Arial"/>
          <w:sz w:val="22"/>
          <w:szCs w:val="22"/>
        </w:rPr>
        <w:t xml:space="preserve"> Iba1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macrophages containing liposomes </w:t>
      </w:r>
      <w:r w:rsidR="00CB04EC">
        <w:rPr>
          <w:rFonts w:ascii="Arial" w:hAnsi="Arial" w:cs="Arial"/>
          <w:sz w:val="22"/>
          <w:szCs w:val="22"/>
        </w:rPr>
        <w:t xml:space="preserve">observed </w:t>
      </w:r>
      <w:r w:rsidR="006929CD">
        <w:rPr>
          <w:rFonts w:ascii="Arial" w:hAnsi="Arial" w:cs="Arial"/>
          <w:sz w:val="22"/>
          <w:szCs w:val="22"/>
        </w:rPr>
        <w:t xml:space="preserve">inside the lymphatic vessel in a naïve Prox1-GFP mouse. Right panel, the 3D view of a confocal image from the yellow box area. </w:t>
      </w:r>
      <w:r w:rsidR="006929CD">
        <w:rPr>
          <w:rFonts w:ascii="Arial" w:hAnsi="Arial" w:cs="Arial"/>
          <w:b/>
          <w:bCs/>
          <w:sz w:val="22"/>
          <w:szCs w:val="22"/>
        </w:rPr>
        <w:t xml:space="preserve">b </w:t>
      </w:r>
      <w:r w:rsidR="00CB04EC">
        <w:rPr>
          <w:rFonts w:ascii="Arial" w:hAnsi="Arial" w:cs="Arial"/>
          <w:sz w:val="22"/>
          <w:szCs w:val="22"/>
        </w:rPr>
        <w:t xml:space="preserve">During </w:t>
      </w:r>
      <w:r w:rsidR="006929CD">
        <w:rPr>
          <w:rFonts w:ascii="Arial" w:hAnsi="Arial" w:cs="Arial"/>
          <w:sz w:val="22"/>
          <w:szCs w:val="22"/>
        </w:rPr>
        <w:t>EAE, CCR2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cells </w:t>
      </w:r>
      <w:r w:rsidR="00CB04EC">
        <w:rPr>
          <w:rFonts w:ascii="Arial" w:hAnsi="Arial" w:cs="Arial"/>
          <w:sz w:val="22"/>
          <w:szCs w:val="22"/>
        </w:rPr>
        <w:t>were located</w:t>
      </w:r>
      <w:r w:rsidR="006929CD">
        <w:rPr>
          <w:rFonts w:ascii="Arial" w:hAnsi="Arial" w:cs="Arial"/>
          <w:sz w:val="22"/>
          <w:szCs w:val="22"/>
        </w:rPr>
        <w:t xml:space="preserve"> within the lumen of the Lyve-1</w:t>
      </w:r>
      <w:r w:rsidR="006929CD" w:rsidRPr="00EA76C7">
        <w:rPr>
          <w:rFonts w:ascii="Arial" w:hAnsi="Arial" w:cs="Arial"/>
          <w:sz w:val="22"/>
          <w:szCs w:val="22"/>
          <w:vertAlign w:val="superscript"/>
        </w:rPr>
        <w:t>+</w:t>
      </w:r>
      <w:r w:rsidR="006929CD">
        <w:rPr>
          <w:rFonts w:ascii="Arial" w:hAnsi="Arial" w:cs="Arial"/>
          <w:sz w:val="22"/>
          <w:szCs w:val="22"/>
        </w:rPr>
        <w:t xml:space="preserve"> cribriform plate lymphatic vessels. Right panel, the 3D view of a confocal image from the yellow box area.</w:t>
      </w:r>
    </w:p>
    <w:p w14:paraId="67B38BFD" w14:textId="77777777" w:rsidR="003227CC" w:rsidRDefault="003227CC"/>
    <w:sectPr w:rsidR="003227CC" w:rsidSect="006929CD">
      <w:footerReference w:type="even" r:id="rId17"/>
      <w:footerReference w:type="default" r:id="rId1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281C6C" w14:textId="77777777" w:rsidR="00873C9C" w:rsidRDefault="00873C9C">
      <w:pPr>
        <w:spacing w:after="0" w:line="240" w:lineRule="auto"/>
      </w:pPr>
      <w:r>
        <w:separator/>
      </w:r>
    </w:p>
  </w:endnote>
  <w:endnote w:type="continuationSeparator" w:id="0">
    <w:p w14:paraId="01A15633" w14:textId="77777777" w:rsidR="00873C9C" w:rsidRDefault="00873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1419446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A1317D" w14:textId="77777777" w:rsidR="00590C18" w:rsidRDefault="005A526D" w:rsidP="00867F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F462A0" w14:textId="77777777" w:rsidR="00590C18" w:rsidRDefault="00590C18" w:rsidP="0053296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8333636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65F0293" w14:textId="77777777" w:rsidR="00590C18" w:rsidRDefault="005A526D" w:rsidP="00867FF0">
        <w:pPr>
          <w:pStyle w:val="Footer"/>
          <w:framePr w:wrap="none" w:vAnchor="text" w:hAnchor="margin" w:xAlign="right" w:y="1"/>
          <w:rPr>
            <w:rStyle w:val="PageNumber"/>
          </w:rPr>
        </w:pPr>
        <w:r w:rsidRPr="0053296C">
          <w:rPr>
            <w:rStyle w:val="PageNumber"/>
            <w:rFonts w:ascii="Arial" w:hAnsi="Arial" w:cs="Arial"/>
          </w:rPr>
          <w:fldChar w:fldCharType="begin"/>
        </w:r>
        <w:r w:rsidRPr="0053296C">
          <w:rPr>
            <w:rStyle w:val="PageNumber"/>
            <w:rFonts w:ascii="Arial" w:hAnsi="Arial" w:cs="Arial"/>
          </w:rPr>
          <w:instrText xml:space="preserve"> PAGE </w:instrText>
        </w:r>
        <w:r w:rsidRPr="0053296C">
          <w:rPr>
            <w:rStyle w:val="PageNumber"/>
            <w:rFonts w:ascii="Arial" w:hAnsi="Arial" w:cs="Arial"/>
          </w:rPr>
          <w:fldChar w:fldCharType="separate"/>
        </w:r>
        <w:r w:rsidR="00700315">
          <w:rPr>
            <w:rStyle w:val="PageNumber"/>
            <w:rFonts w:ascii="Arial" w:hAnsi="Arial" w:cs="Arial"/>
            <w:noProof/>
          </w:rPr>
          <w:t>9</w:t>
        </w:r>
        <w:r w:rsidRPr="0053296C">
          <w:rPr>
            <w:rStyle w:val="PageNumber"/>
            <w:rFonts w:ascii="Arial" w:hAnsi="Arial" w:cs="Arial"/>
          </w:rPr>
          <w:fldChar w:fldCharType="end"/>
        </w:r>
      </w:p>
    </w:sdtContent>
  </w:sdt>
  <w:p w14:paraId="35F2B7DD" w14:textId="77777777" w:rsidR="00590C18" w:rsidRDefault="00590C18" w:rsidP="0053296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DC6E4F" w14:textId="77777777" w:rsidR="00873C9C" w:rsidRDefault="00873C9C">
      <w:pPr>
        <w:spacing w:after="0" w:line="240" w:lineRule="auto"/>
      </w:pPr>
      <w:r>
        <w:separator/>
      </w:r>
    </w:p>
  </w:footnote>
  <w:footnote w:type="continuationSeparator" w:id="0">
    <w:p w14:paraId="21F0B845" w14:textId="77777777" w:rsidR="00873C9C" w:rsidRDefault="00873C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CD"/>
    <w:rsid w:val="000455B3"/>
    <w:rsid w:val="00077951"/>
    <w:rsid w:val="000F6935"/>
    <w:rsid w:val="00102239"/>
    <w:rsid w:val="00143C3D"/>
    <w:rsid w:val="00171A02"/>
    <w:rsid w:val="0017573D"/>
    <w:rsid w:val="0019111F"/>
    <w:rsid w:val="001A1ACF"/>
    <w:rsid w:val="001A2266"/>
    <w:rsid w:val="001C183F"/>
    <w:rsid w:val="001E36F1"/>
    <w:rsid w:val="00296539"/>
    <w:rsid w:val="003227CC"/>
    <w:rsid w:val="0033454B"/>
    <w:rsid w:val="00336B01"/>
    <w:rsid w:val="0043041C"/>
    <w:rsid w:val="0044383C"/>
    <w:rsid w:val="00490B47"/>
    <w:rsid w:val="004A2F96"/>
    <w:rsid w:val="00512112"/>
    <w:rsid w:val="00551C35"/>
    <w:rsid w:val="00590C18"/>
    <w:rsid w:val="005A526D"/>
    <w:rsid w:val="005C3B92"/>
    <w:rsid w:val="005F63B0"/>
    <w:rsid w:val="0061172A"/>
    <w:rsid w:val="006929CD"/>
    <w:rsid w:val="00700315"/>
    <w:rsid w:val="00700DC3"/>
    <w:rsid w:val="0072297B"/>
    <w:rsid w:val="007304A5"/>
    <w:rsid w:val="00777417"/>
    <w:rsid w:val="00785BBC"/>
    <w:rsid w:val="00835036"/>
    <w:rsid w:val="00850179"/>
    <w:rsid w:val="00873C9C"/>
    <w:rsid w:val="0088115F"/>
    <w:rsid w:val="008E1FC5"/>
    <w:rsid w:val="008F11F2"/>
    <w:rsid w:val="00917B8C"/>
    <w:rsid w:val="00945908"/>
    <w:rsid w:val="009672E9"/>
    <w:rsid w:val="00A42BD8"/>
    <w:rsid w:val="00AE1E44"/>
    <w:rsid w:val="00B06D51"/>
    <w:rsid w:val="00B13EA0"/>
    <w:rsid w:val="00B21A43"/>
    <w:rsid w:val="00B65FEF"/>
    <w:rsid w:val="00C00577"/>
    <w:rsid w:val="00C839AC"/>
    <w:rsid w:val="00CB04EC"/>
    <w:rsid w:val="00CD1F9D"/>
    <w:rsid w:val="00CE5ADF"/>
    <w:rsid w:val="00CE7F00"/>
    <w:rsid w:val="00D26DD5"/>
    <w:rsid w:val="00DC4DF1"/>
    <w:rsid w:val="00DF76A9"/>
    <w:rsid w:val="00E10125"/>
    <w:rsid w:val="00E5184B"/>
    <w:rsid w:val="00EC7673"/>
    <w:rsid w:val="00FD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A430"/>
  <w15:chartTrackingRefBased/>
  <w15:docId w15:val="{A4E22AEC-1532-4C32-BD96-06901200D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9CD"/>
  </w:style>
  <w:style w:type="paragraph" w:styleId="Heading1">
    <w:name w:val="heading 1"/>
    <w:basedOn w:val="Normal"/>
    <w:next w:val="Normal"/>
    <w:link w:val="Heading1Char"/>
    <w:uiPriority w:val="9"/>
    <w:qFormat/>
    <w:rsid w:val="00692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9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9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9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9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9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9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9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9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9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9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9C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92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9CD"/>
  </w:style>
  <w:style w:type="character" w:styleId="PageNumber">
    <w:name w:val="page number"/>
    <w:basedOn w:val="DefaultParagraphFont"/>
    <w:uiPriority w:val="99"/>
    <w:semiHidden/>
    <w:unhideWhenUsed/>
    <w:rsid w:val="006929CD"/>
  </w:style>
  <w:style w:type="character" w:styleId="CommentReference">
    <w:name w:val="annotation reference"/>
    <w:basedOn w:val="DefaultParagraphFont"/>
    <w:uiPriority w:val="99"/>
    <w:semiHidden/>
    <w:unhideWhenUsed/>
    <w:rsid w:val="008E1F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1F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1FC5"/>
    <w:rPr>
      <w:sz w:val="20"/>
      <w:szCs w:val="20"/>
    </w:rPr>
  </w:style>
  <w:style w:type="paragraph" w:styleId="Revision">
    <w:name w:val="Revision"/>
    <w:hidden/>
    <w:uiPriority w:val="99"/>
    <w:semiHidden/>
    <w:rsid w:val="00B06D5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1A02"/>
    <w:rPr>
      <w:color w:val="467886" w:themeColor="hyperlink"/>
      <w:u w:val="single"/>
    </w:rPr>
  </w:style>
  <w:style w:type="paragraph" w:styleId="BodyText">
    <w:name w:val="Body Text"/>
    <w:basedOn w:val="Normal"/>
    <w:link w:val="BodyTextChar"/>
    <w:rsid w:val="00171A02"/>
    <w:pPr>
      <w:spacing w:after="0" w:line="480" w:lineRule="auto"/>
      <w:ind w:right="-540"/>
    </w:pPr>
    <w:rPr>
      <w:rFonts w:ascii="Times" w:eastAsia="Times" w:hAnsi="Times" w:cs="Times New Roman"/>
      <w:kern w:val="0"/>
      <w:szCs w:val="20"/>
      <w:lang w:val="en-US" w:eastAsia="ko-KR"/>
      <w14:ligatures w14:val="none"/>
    </w:rPr>
  </w:style>
  <w:style w:type="character" w:customStyle="1" w:styleId="BodyTextChar">
    <w:name w:val="Body Text Char"/>
    <w:basedOn w:val="DefaultParagraphFont"/>
    <w:link w:val="BodyText"/>
    <w:rsid w:val="00171A02"/>
    <w:rPr>
      <w:rFonts w:ascii="Times" w:eastAsia="Times" w:hAnsi="Times" w:cs="Times New Roman"/>
      <w:kern w:val="0"/>
      <w:szCs w:val="20"/>
      <w:lang w:val="en-US"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3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n.proulx@tki.unibe.chs" TargetMode="External"/><Relationship Id="rId13" Type="http://schemas.openxmlformats.org/officeDocument/2006/relationships/image" Target="media/image5.tif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li.xin@unibe.ch" TargetMode="External"/><Relationship Id="rId12" Type="http://schemas.openxmlformats.org/officeDocument/2006/relationships/image" Target="media/image4.tif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70250-DD56-4F91-BFCE-18175C321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Xin, Li (TKI)</dc:creator>
  <cp:keywords/>
  <dc:description/>
  <cp:lastModifiedBy>Sharmila  Yesu</cp:lastModifiedBy>
  <cp:revision>3</cp:revision>
  <dcterms:created xsi:type="dcterms:W3CDTF">2025-05-13T08:06:00Z</dcterms:created>
  <dcterms:modified xsi:type="dcterms:W3CDTF">2025-05-23T07:20:00Z</dcterms:modified>
</cp:coreProperties>
</file>