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DE4AF" w14:textId="624E5554" w:rsidR="001A5808" w:rsidRPr="00F02411" w:rsidRDefault="009B33C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F02411">
        <w:rPr>
          <w:rFonts w:ascii="Times New Roman" w:hAnsi="Times New Roman" w:cs="Times New Roman"/>
          <w:b/>
          <w:bCs/>
          <w:sz w:val="22"/>
          <w:szCs w:val="22"/>
        </w:rPr>
        <w:t>Supplementary Legends</w:t>
      </w:r>
    </w:p>
    <w:p w14:paraId="264732F4" w14:textId="25216A3A" w:rsidR="00E83B89" w:rsidRPr="00F02411" w:rsidRDefault="00E83B89" w:rsidP="00B213B7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02411">
        <w:rPr>
          <w:rFonts w:ascii="Times New Roman" w:hAnsi="Times New Roman" w:cs="Times New Roman"/>
          <w:b/>
          <w:bCs/>
          <w:sz w:val="22"/>
          <w:szCs w:val="22"/>
        </w:rPr>
        <w:t>Supplementary Figure 1</w:t>
      </w:r>
      <w:r w:rsidRPr="00F02411">
        <w:rPr>
          <w:rFonts w:ascii="Times New Roman" w:hAnsi="Times New Roman" w:cs="Times New Roman"/>
          <w:sz w:val="22"/>
          <w:szCs w:val="22"/>
        </w:rPr>
        <w:t xml:space="preserve"> Swimmer plot depicting individual patients’ </w:t>
      </w:r>
      <w:r w:rsidR="00A61E19" w:rsidRPr="00F02411">
        <w:rPr>
          <w:rFonts w:ascii="Times New Roman" w:hAnsi="Times New Roman" w:cs="Times New Roman"/>
          <w:sz w:val="22"/>
          <w:szCs w:val="22"/>
        </w:rPr>
        <w:t>treatment, disease course, and outcome.</w:t>
      </w:r>
    </w:p>
    <w:p w14:paraId="29F79932" w14:textId="38F33921" w:rsidR="009B33CF" w:rsidRPr="00F02411" w:rsidRDefault="009B33CF" w:rsidP="00B213B7">
      <w:pPr>
        <w:jc w:val="both"/>
        <w:rPr>
          <w:rFonts w:ascii="Times New Roman" w:hAnsi="Times New Roman" w:cs="Times New Roman"/>
          <w:sz w:val="22"/>
          <w:szCs w:val="22"/>
        </w:rPr>
      </w:pPr>
      <w:r w:rsidRPr="00F02411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Figure </w:t>
      </w:r>
      <w:r w:rsidR="00E83B89" w:rsidRPr="00F02411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F02411">
        <w:rPr>
          <w:rFonts w:ascii="Times New Roman" w:hAnsi="Times New Roman" w:cs="Times New Roman"/>
          <w:sz w:val="22"/>
          <w:szCs w:val="22"/>
        </w:rPr>
        <w:t xml:space="preserve"> </w:t>
      </w:r>
      <w:r w:rsidR="00B213B7" w:rsidRPr="00F02411">
        <w:rPr>
          <w:rFonts w:ascii="Times New Roman" w:hAnsi="Times New Roman" w:cs="Times New Roman"/>
          <w:b/>
          <w:bCs/>
          <w:sz w:val="22"/>
          <w:szCs w:val="22"/>
        </w:rPr>
        <w:t>Imaging features of H3 G34-mutant DHG</w:t>
      </w:r>
      <w:r w:rsidR="00B213B7" w:rsidRPr="00F02411">
        <w:rPr>
          <w:rFonts w:ascii="Times New Roman" w:hAnsi="Times New Roman" w:cs="Times New Roman"/>
          <w:sz w:val="22"/>
          <w:szCs w:val="22"/>
        </w:rPr>
        <w:t xml:space="preserve"> (</w:t>
      </w:r>
      <w:r w:rsidR="00A505EF" w:rsidRPr="00F02411">
        <w:rPr>
          <w:rFonts w:ascii="Times New Roman" w:hAnsi="Times New Roman" w:cs="Times New Roman"/>
          <w:sz w:val="22"/>
          <w:szCs w:val="22"/>
        </w:rPr>
        <w:t>a</w:t>
      </w:r>
      <w:r w:rsidR="00B213B7" w:rsidRPr="00F02411">
        <w:rPr>
          <w:rFonts w:ascii="Times New Roman" w:hAnsi="Times New Roman" w:cs="Times New Roman"/>
          <w:sz w:val="22"/>
          <w:szCs w:val="22"/>
        </w:rPr>
        <w:t>) Axial T2-weighted image demonstrates a round, well-defined, heterogeneously T2 hyper-intense mass in the right temporal lobe with minimal peritumoral edema. (</w:t>
      </w:r>
      <w:r w:rsidR="00A505EF" w:rsidRPr="00F02411">
        <w:rPr>
          <w:rFonts w:ascii="Times New Roman" w:hAnsi="Times New Roman" w:cs="Times New Roman"/>
          <w:sz w:val="22"/>
          <w:szCs w:val="22"/>
        </w:rPr>
        <w:t>b</w:t>
      </w:r>
      <w:r w:rsidR="00B213B7" w:rsidRPr="00F02411">
        <w:rPr>
          <w:rFonts w:ascii="Times New Roman" w:hAnsi="Times New Roman" w:cs="Times New Roman"/>
          <w:sz w:val="22"/>
          <w:szCs w:val="22"/>
        </w:rPr>
        <w:t>) Coronal T2</w:t>
      </w:r>
      <w:r w:rsidR="00A61E19" w:rsidRPr="00F02411">
        <w:rPr>
          <w:rFonts w:ascii="Times New Roman" w:hAnsi="Times New Roman" w:cs="Times New Roman"/>
          <w:sz w:val="22"/>
          <w:szCs w:val="22"/>
        </w:rPr>
        <w:t>-</w:t>
      </w:r>
      <w:r w:rsidR="00B213B7" w:rsidRPr="00F02411">
        <w:rPr>
          <w:rFonts w:ascii="Times New Roman" w:hAnsi="Times New Roman" w:cs="Times New Roman"/>
          <w:sz w:val="22"/>
          <w:szCs w:val="22"/>
        </w:rPr>
        <w:t>weighted sequence demonstrates a well-defined heterogeneously T2 hyper-intense mass centered in the cingulate gyr</w:t>
      </w:r>
      <w:r w:rsidR="00A702DC" w:rsidRPr="00F02411">
        <w:rPr>
          <w:rFonts w:ascii="Times New Roman" w:hAnsi="Times New Roman" w:cs="Times New Roman"/>
          <w:sz w:val="22"/>
          <w:szCs w:val="22"/>
        </w:rPr>
        <w:t>i</w:t>
      </w:r>
      <w:r w:rsidR="00B213B7" w:rsidRPr="00F02411">
        <w:rPr>
          <w:rFonts w:ascii="Times New Roman" w:hAnsi="Times New Roman" w:cs="Times New Roman"/>
          <w:sz w:val="22"/>
          <w:szCs w:val="22"/>
        </w:rPr>
        <w:t xml:space="preserve"> and corpus callosum, which also demonstrates no significant peritumoral edema. (</w:t>
      </w:r>
      <w:r w:rsidR="00A505EF" w:rsidRPr="00F02411">
        <w:rPr>
          <w:rFonts w:ascii="Times New Roman" w:hAnsi="Times New Roman" w:cs="Times New Roman"/>
          <w:sz w:val="22"/>
          <w:szCs w:val="22"/>
        </w:rPr>
        <w:t>c</w:t>
      </w:r>
      <w:r w:rsidR="00B213B7" w:rsidRPr="00F02411">
        <w:rPr>
          <w:rFonts w:ascii="Times New Roman" w:hAnsi="Times New Roman" w:cs="Times New Roman"/>
          <w:sz w:val="22"/>
          <w:szCs w:val="22"/>
        </w:rPr>
        <w:t>) Axial T2-weighted image demonstrates an ill-defined T2 hyperintense mass in the left posterior frontal and parietal lobe (arrow). (</w:t>
      </w:r>
      <w:r w:rsidR="00A505EF" w:rsidRPr="00F02411">
        <w:rPr>
          <w:rFonts w:ascii="Times New Roman" w:hAnsi="Times New Roman" w:cs="Times New Roman"/>
          <w:sz w:val="22"/>
          <w:szCs w:val="22"/>
        </w:rPr>
        <w:t>d</w:t>
      </w:r>
      <w:r w:rsidR="00B213B7" w:rsidRPr="00F02411">
        <w:rPr>
          <w:rFonts w:ascii="Times New Roman" w:hAnsi="Times New Roman" w:cs="Times New Roman"/>
          <w:sz w:val="22"/>
          <w:szCs w:val="22"/>
        </w:rPr>
        <w:t>) Axial T2-weighted image demonstrates an ill-defined thickening of the gyri in the right anterior temporal lobe (arrow). (</w:t>
      </w:r>
      <w:r w:rsidR="00A505EF" w:rsidRPr="00F02411">
        <w:rPr>
          <w:rFonts w:ascii="Times New Roman" w:hAnsi="Times New Roman" w:cs="Times New Roman"/>
          <w:sz w:val="22"/>
          <w:szCs w:val="22"/>
        </w:rPr>
        <w:t>e</w:t>
      </w:r>
      <w:r w:rsidR="00B213B7" w:rsidRPr="00F02411">
        <w:rPr>
          <w:rFonts w:ascii="Times New Roman" w:hAnsi="Times New Roman" w:cs="Times New Roman"/>
          <w:sz w:val="22"/>
          <w:szCs w:val="22"/>
        </w:rPr>
        <w:t>) Axial T2-weighted image demonstrated an ill-defined mass that involves the right frontal, temporal, and occipital lobe</w:t>
      </w:r>
      <w:r w:rsidR="005A258C" w:rsidRPr="00F02411">
        <w:rPr>
          <w:rFonts w:ascii="Times New Roman" w:hAnsi="Times New Roman" w:cs="Times New Roman"/>
          <w:sz w:val="22"/>
          <w:szCs w:val="22"/>
        </w:rPr>
        <w:t>s</w:t>
      </w:r>
      <w:r w:rsidR="00B213B7" w:rsidRPr="00F02411">
        <w:rPr>
          <w:rFonts w:ascii="Times New Roman" w:hAnsi="Times New Roman" w:cs="Times New Roman"/>
          <w:sz w:val="22"/>
          <w:szCs w:val="22"/>
        </w:rPr>
        <w:t xml:space="preserve"> as well as the right thalamus with evidence of central heterogen</w:t>
      </w:r>
      <w:r w:rsidR="0073158F" w:rsidRPr="00F02411">
        <w:rPr>
          <w:rFonts w:ascii="Times New Roman" w:hAnsi="Times New Roman" w:cs="Times New Roman"/>
          <w:sz w:val="22"/>
          <w:szCs w:val="22"/>
        </w:rPr>
        <w:t>e</w:t>
      </w:r>
      <w:r w:rsidR="00B213B7" w:rsidRPr="00F02411">
        <w:rPr>
          <w:rFonts w:ascii="Times New Roman" w:hAnsi="Times New Roman" w:cs="Times New Roman"/>
          <w:sz w:val="22"/>
          <w:szCs w:val="22"/>
        </w:rPr>
        <w:t>ous T2 hypointensity due to intratumoral hemorrhage. (</w:t>
      </w:r>
      <w:r w:rsidR="00A505EF" w:rsidRPr="00F02411">
        <w:rPr>
          <w:rFonts w:ascii="Times New Roman" w:hAnsi="Times New Roman" w:cs="Times New Roman"/>
          <w:sz w:val="22"/>
          <w:szCs w:val="22"/>
        </w:rPr>
        <w:t>f</w:t>
      </w:r>
      <w:r w:rsidR="00B213B7" w:rsidRPr="00F02411">
        <w:rPr>
          <w:rFonts w:ascii="Times New Roman" w:hAnsi="Times New Roman" w:cs="Times New Roman"/>
          <w:sz w:val="22"/>
          <w:szCs w:val="22"/>
        </w:rPr>
        <w:t xml:space="preserve">) Axial T2-weighted image demonstrates an ill-defined mass involving the splenium of the corpus callosum </w:t>
      </w:r>
      <w:r w:rsidR="00181992" w:rsidRPr="00F02411">
        <w:rPr>
          <w:rFonts w:ascii="Times New Roman" w:hAnsi="Times New Roman" w:cs="Times New Roman"/>
          <w:sz w:val="22"/>
          <w:szCs w:val="22"/>
        </w:rPr>
        <w:t xml:space="preserve">and right posterior cingulate gyrus </w:t>
      </w:r>
      <w:r w:rsidR="00B213B7" w:rsidRPr="00F02411">
        <w:rPr>
          <w:rFonts w:ascii="Times New Roman" w:hAnsi="Times New Roman" w:cs="Times New Roman"/>
          <w:sz w:val="22"/>
          <w:szCs w:val="22"/>
        </w:rPr>
        <w:t xml:space="preserve">that also involves the right </w:t>
      </w:r>
      <w:r w:rsidR="00181992" w:rsidRPr="00F02411">
        <w:rPr>
          <w:rFonts w:ascii="Times New Roman" w:hAnsi="Times New Roman" w:cs="Times New Roman"/>
          <w:sz w:val="22"/>
          <w:szCs w:val="22"/>
        </w:rPr>
        <w:t xml:space="preserve">posterior </w:t>
      </w:r>
      <w:r w:rsidR="00B213B7" w:rsidRPr="00F02411">
        <w:rPr>
          <w:rFonts w:ascii="Times New Roman" w:hAnsi="Times New Roman" w:cs="Times New Roman"/>
          <w:sz w:val="22"/>
          <w:szCs w:val="22"/>
        </w:rPr>
        <w:t>frontal and occipital lobes. (</w:t>
      </w:r>
      <w:r w:rsidR="00A505EF" w:rsidRPr="00F02411">
        <w:rPr>
          <w:rFonts w:ascii="Times New Roman" w:hAnsi="Times New Roman" w:cs="Times New Roman"/>
          <w:sz w:val="22"/>
          <w:szCs w:val="22"/>
        </w:rPr>
        <w:t>g</w:t>
      </w:r>
      <w:r w:rsidR="00B213B7" w:rsidRPr="00F02411">
        <w:rPr>
          <w:rFonts w:ascii="Times New Roman" w:hAnsi="Times New Roman" w:cs="Times New Roman"/>
          <w:sz w:val="22"/>
          <w:szCs w:val="22"/>
        </w:rPr>
        <w:t>) Axial head CT demonstrates a focal intraparenchymal hemorrhage in the right frontal lobe with extra-axial extension. No underlying mass is evident. (</w:t>
      </w:r>
      <w:r w:rsidR="00A505EF" w:rsidRPr="00F02411">
        <w:rPr>
          <w:rFonts w:ascii="Times New Roman" w:hAnsi="Times New Roman" w:cs="Times New Roman"/>
          <w:sz w:val="22"/>
          <w:szCs w:val="22"/>
        </w:rPr>
        <w:t>h</w:t>
      </w:r>
      <w:r w:rsidR="00B213B7" w:rsidRPr="00F02411">
        <w:rPr>
          <w:rFonts w:ascii="Times New Roman" w:hAnsi="Times New Roman" w:cs="Times New Roman"/>
          <w:sz w:val="22"/>
          <w:szCs w:val="22"/>
        </w:rPr>
        <w:t>) Axial head CT demonstrates a focal intraparenchymal hemorrhage in the left temporal lobe. No underlying mass is evident.</w:t>
      </w:r>
    </w:p>
    <w:p w14:paraId="48C83699" w14:textId="4DFD26E5" w:rsidR="004633A3" w:rsidRPr="00F02411" w:rsidRDefault="004633A3" w:rsidP="00B213B7">
      <w:pPr>
        <w:jc w:val="both"/>
        <w:rPr>
          <w:rFonts w:ascii="Times New Roman" w:hAnsi="Times New Roman" w:cs="Times New Roman"/>
          <w:sz w:val="22"/>
          <w:szCs w:val="22"/>
        </w:rPr>
      </w:pPr>
      <w:r w:rsidRPr="00F02411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Figure </w:t>
      </w:r>
      <w:r w:rsidR="00E83B89" w:rsidRPr="00F02411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Pr="00F0241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567EC" w:rsidRPr="00F02411">
        <w:rPr>
          <w:rFonts w:ascii="Times New Roman" w:hAnsi="Times New Roman" w:cs="Times New Roman"/>
          <w:b/>
          <w:bCs/>
          <w:sz w:val="22"/>
          <w:szCs w:val="22"/>
        </w:rPr>
        <w:t>Kaplan-Meier survival analysis</w:t>
      </w:r>
      <w:r w:rsidR="00E567EC" w:rsidRPr="00F02411">
        <w:rPr>
          <w:rFonts w:ascii="Times New Roman" w:hAnsi="Times New Roman" w:cs="Times New Roman"/>
          <w:sz w:val="22"/>
          <w:szCs w:val="22"/>
        </w:rPr>
        <w:t xml:space="preserve"> of (</w:t>
      </w:r>
      <w:r w:rsidR="00767EDC" w:rsidRPr="00F02411">
        <w:rPr>
          <w:rFonts w:ascii="Times New Roman" w:hAnsi="Times New Roman" w:cs="Times New Roman"/>
          <w:sz w:val="22"/>
          <w:szCs w:val="22"/>
        </w:rPr>
        <w:t>a</w:t>
      </w:r>
      <w:r w:rsidR="00E567EC" w:rsidRPr="00F02411">
        <w:rPr>
          <w:rFonts w:ascii="Times New Roman" w:hAnsi="Times New Roman" w:cs="Times New Roman"/>
          <w:sz w:val="22"/>
          <w:szCs w:val="22"/>
        </w:rPr>
        <w:t xml:space="preserve">) </w:t>
      </w:r>
      <w:r w:rsidR="00AE24AD" w:rsidRPr="00F02411">
        <w:rPr>
          <w:rFonts w:ascii="Times New Roman" w:hAnsi="Times New Roman" w:cs="Times New Roman"/>
          <w:sz w:val="22"/>
          <w:szCs w:val="22"/>
        </w:rPr>
        <w:t>Pr</w:t>
      </w:r>
      <w:r w:rsidR="00EE1B0F" w:rsidRPr="00F02411">
        <w:rPr>
          <w:rFonts w:ascii="Times New Roman" w:hAnsi="Times New Roman" w:cs="Times New Roman"/>
          <w:sz w:val="22"/>
          <w:szCs w:val="22"/>
        </w:rPr>
        <w:t>ogression</w:t>
      </w:r>
      <w:r w:rsidR="00A61E19" w:rsidRPr="00F02411">
        <w:rPr>
          <w:rFonts w:ascii="Times New Roman" w:hAnsi="Times New Roman" w:cs="Times New Roman"/>
          <w:sz w:val="22"/>
          <w:szCs w:val="22"/>
        </w:rPr>
        <w:t>-</w:t>
      </w:r>
      <w:r w:rsidR="00EE1B0F" w:rsidRPr="00F02411">
        <w:rPr>
          <w:rFonts w:ascii="Times New Roman" w:hAnsi="Times New Roman" w:cs="Times New Roman"/>
          <w:sz w:val="22"/>
          <w:szCs w:val="22"/>
        </w:rPr>
        <w:t>free survival</w:t>
      </w:r>
      <w:r w:rsidR="00C7161B" w:rsidRPr="00F02411">
        <w:rPr>
          <w:rFonts w:ascii="Times New Roman" w:hAnsi="Times New Roman" w:cs="Times New Roman"/>
          <w:sz w:val="22"/>
          <w:szCs w:val="22"/>
        </w:rPr>
        <w:t xml:space="preserve">, </w:t>
      </w:r>
      <w:r w:rsidR="004E60FD" w:rsidRPr="00F02411">
        <w:rPr>
          <w:rFonts w:ascii="Times New Roman" w:hAnsi="Times New Roman" w:cs="Times New Roman"/>
          <w:sz w:val="22"/>
          <w:szCs w:val="22"/>
        </w:rPr>
        <w:t>N</w:t>
      </w:r>
      <w:r w:rsidR="00C7161B" w:rsidRPr="00F02411">
        <w:rPr>
          <w:rFonts w:ascii="Times New Roman" w:hAnsi="Times New Roman" w:cs="Times New Roman"/>
          <w:sz w:val="22"/>
          <w:szCs w:val="22"/>
        </w:rPr>
        <w:t xml:space="preserve">o frontline TMZ vs. </w:t>
      </w:r>
      <w:r w:rsidR="00AE24AD" w:rsidRPr="00F02411">
        <w:rPr>
          <w:rFonts w:ascii="Times New Roman" w:hAnsi="Times New Roman" w:cs="Times New Roman"/>
          <w:sz w:val="22"/>
          <w:szCs w:val="22"/>
        </w:rPr>
        <w:t>Fr</w:t>
      </w:r>
      <w:r w:rsidR="00C7161B" w:rsidRPr="00F02411">
        <w:rPr>
          <w:rFonts w:ascii="Times New Roman" w:hAnsi="Times New Roman" w:cs="Times New Roman"/>
          <w:sz w:val="22"/>
          <w:szCs w:val="22"/>
        </w:rPr>
        <w:t xml:space="preserve">ontline TMZ with high </w:t>
      </w:r>
      <w:r w:rsidR="00C7161B" w:rsidRPr="00F02411">
        <w:rPr>
          <w:rFonts w:ascii="Times New Roman" w:hAnsi="Times New Roman" w:cs="Times New Roman"/>
          <w:i/>
          <w:iCs/>
          <w:sz w:val="22"/>
          <w:szCs w:val="22"/>
        </w:rPr>
        <w:t>MGMT</w:t>
      </w:r>
      <w:r w:rsidR="00C7161B" w:rsidRPr="00F02411">
        <w:rPr>
          <w:rFonts w:ascii="Times New Roman" w:hAnsi="Times New Roman" w:cs="Times New Roman"/>
          <w:sz w:val="22"/>
          <w:szCs w:val="22"/>
        </w:rPr>
        <w:t xml:space="preserve"> expression levels</w:t>
      </w:r>
      <w:r w:rsidR="008313D1" w:rsidRPr="00F02411">
        <w:rPr>
          <w:rFonts w:ascii="Times New Roman" w:hAnsi="Times New Roman" w:cs="Times New Roman"/>
          <w:sz w:val="22"/>
          <w:szCs w:val="22"/>
        </w:rPr>
        <w:t>, and (</w:t>
      </w:r>
      <w:r w:rsidR="00767EDC" w:rsidRPr="00F02411">
        <w:rPr>
          <w:rFonts w:ascii="Times New Roman" w:hAnsi="Times New Roman" w:cs="Times New Roman"/>
          <w:sz w:val="22"/>
          <w:szCs w:val="22"/>
        </w:rPr>
        <w:t>b</w:t>
      </w:r>
      <w:r w:rsidR="008313D1" w:rsidRPr="00F02411">
        <w:rPr>
          <w:rFonts w:ascii="Times New Roman" w:hAnsi="Times New Roman" w:cs="Times New Roman"/>
          <w:sz w:val="22"/>
          <w:szCs w:val="22"/>
        </w:rPr>
        <w:t xml:space="preserve">) </w:t>
      </w:r>
      <w:r w:rsidR="00AE24AD" w:rsidRPr="00F02411">
        <w:rPr>
          <w:rFonts w:ascii="Times New Roman" w:hAnsi="Times New Roman" w:cs="Times New Roman"/>
          <w:sz w:val="22"/>
          <w:szCs w:val="22"/>
        </w:rPr>
        <w:t>O</w:t>
      </w:r>
      <w:r w:rsidR="004E60FD" w:rsidRPr="00F02411">
        <w:rPr>
          <w:rFonts w:ascii="Times New Roman" w:hAnsi="Times New Roman" w:cs="Times New Roman"/>
          <w:sz w:val="22"/>
          <w:szCs w:val="22"/>
        </w:rPr>
        <w:t>verall survival</w:t>
      </w:r>
      <w:r w:rsidR="008313D1" w:rsidRPr="00F02411">
        <w:rPr>
          <w:rFonts w:ascii="Times New Roman" w:hAnsi="Times New Roman" w:cs="Times New Roman"/>
          <w:sz w:val="22"/>
          <w:szCs w:val="22"/>
        </w:rPr>
        <w:t xml:space="preserve">, </w:t>
      </w:r>
      <w:r w:rsidR="004E60FD" w:rsidRPr="00F02411">
        <w:rPr>
          <w:rFonts w:ascii="Times New Roman" w:hAnsi="Times New Roman" w:cs="Times New Roman"/>
          <w:sz w:val="22"/>
          <w:szCs w:val="22"/>
        </w:rPr>
        <w:t xml:space="preserve">No frontline TMZ vs. Frontline TMZ with high </w:t>
      </w:r>
      <w:r w:rsidR="004E60FD" w:rsidRPr="00F02411">
        <w:rPr>
          <w:rFonts w:ascii="Times New Roman" w:hAnsi="Times New Roman" w:cs="Times New Roman"/>
          <w:i/>
          <w:iCs/>
          <w:sz w:val="22"/>
          <w:szCs w:val="22"/>
        </w:rPr>
        <w:t>MGMT</w:t>
      </w:r>
      <w:r w:rsidR="004E60FD" w:rsidRPr="00F02411">
        <w:rPr>
          <w:rFonts w:ascii="Times New Roman" w:hAnsi="Times New Roman" w:cs="Times New Roman"/>
          <w:sz w:val="22"/>
          <w:szCs w:val="22"/>
        </w:rPr>
        <w:t xml:space="preserve"> expression levels</w:t>
      </w:r>
      <w:r w:rsidR="00AE24AD" w:rsidRPr="00F02411">
        <w:rPr>
          <w:rFonts w:ascii="Times New Roman" w:hAnsi="Times New Roman" w:cs="Times New Roman"/>
          <w:sz w:val="22"/>
          <w:szCs w:val="22"/>
        </w:rPr>
        <w:t>.</w:t>
      </w:r>
    </w:p>
    <w:p w14:paraId="19803A43" w14:textId="4C123D3B" w:rsidR="00FE7151" w:rsidRPr="00F02411" w:rsidRDefault="00F2432A" w:rsidP="00B213B7">
      <w:pPr>
        <w:jc w:val="both"/>
        <w:rPr>
          <w:rFonts w:ascii="Times New Roman" w:hAnsi="Times New Roman" w:cs="Times New Roman"/>
          <w:sz w:val="22"/>
          <w:szCs w:val="22"/>
        </w:rPr>
      </w:pPr>
      <w:r w:rsidRPr="00F2432A">
        <w:rPr>
          <w:rFonts w:ascii="Times New Roman" w:hAnsi="Times New Roman" w:cs="Times New Roman"/>
          <w:b/>
          <w:bCs/>
          <w:sz w:val="22"/>
          <w:szCs w:val="22"/>
        </w:rPr>
        <w:t>Supplementary Figure 4 Kaplan-Meier survival analysis</w:t>
      </w:r>
      <w:r w:rsidRPr="00F2432A">
        <w:rPr>
          <w:rFonts w:ascii="Times New Roman" w:hAnsi="Times New Roman" w:cs="Times New Roman"/>
          <w:sz w:val="22"/>
          <w:szCs w:val="22"/>
        </w:rPr>
        <w:t xml:space="preserve"> of (a) Progression-free survival, </w:t>
      </w:r>
      <w:r w:rsidR="004837C7">
        <w:rPr>
          <w:rFonts w:ascii="Times New Roman" w:hAnsi="Times New Roman" w:cs="Times New Roman"/>
          <w:sz w:val="22"/>
          <w:szCs w:val="22"/>
        </w:rPr>
        <w:t xml:space="preserve">tumors </w:t>
      </w:r>
      <w:r w:rsidR="001C7E56">
        <w:rPr>
          <w:rFonts w:ascii="Times New Roman" w:hAnsi="Times New Roman" w:cs="Times New Roman"/>
          <w:sz w:val="22"/>
          <w:szCs w:val="22"/>
        </w:rPr>
        <w:t>presented as gliomatosis cerebri (GC) vs</w:t>
      </w:r>
      <w:r w:rsidR="0079550F">
        <w:rPr>
          <w:rFonts w:ascii="Times New Roman" w:hAnsi="Times New Roman" w:cs="Times New Roman"/>
          <w:sz w:val="22"/>
          <w:szCs w:val="22"/>
        </w:rPr>
        <w:t>. not (non-GC)</w:t>
      </w:r>
      <w:r w:rsidRPr="00F2432A">
        <w:rPr>
          <w:rFonts w:ascii="Times New Roman" w:hAnsi="Times New Roman" w:cs="Times New Roman"/>
          <w:sz w:val="22"/>
          <w:szCs w:val="22"/>
        </w:rPr>
        <w:t>, and (b) Overall survival,</w:t>
      </w:r>
      <w:r w:rsidR="001679B2">
        <w:rPr>
          <w:rFonts w:ascii="Times New Roman" w:hAnsi="Times New Roman" w:cs="Times New Roman"/>
          <w:sz w:val="22"/>
          <w:szCs w:val="22"/>
        </w:rPr>
        <w:t xml:space="preserve"> </w:t>
      </w:r>
      <w:r w:rsidR="0079550F" w:rsidRPr="0079550F">
        <w:rPr>
          <w:rFonts w:ascii="Times New Roman" w:hAnsi="Times New Roman" w:cs="Times New Roman"/>
          <w:sz w:val="22"/>
          <w:szCs w:val="22"/>
        </w:rPr>
        <w:t>tumors presented as gliomatosis cerebri (GC) vs. not (non-GC)</w:t>
      </w:r>
      <w:r w:rsidRPr="00F2432A">
        <w:rPr>
          <w:rFonts w:ascii="Times New Roman" w:hAnsi="Times New Roman" w:cs="Times New Roman"/>
          <w:sz w:val="22"/>
          <w:szCs w:val="22"/>
        </w:rPr>
        <w:t>.</w:t>
      </w:r>
    </w:p>
    <w:p w14:paraId="12F27479" w14:textId="593557FF" w:rsidR="00F02411" w:rsidRPr="00F02411" w:rsidRDefault="00F02411" w:rsidP="00B213B7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02411">
        <w:rPr>
          <w:rFonts w:ascii="Times New Roman" w:hAnsi="Times New Roman" w:cs="Times New Roman"/>
          <w:b/>
          <w:bCs/>
          <w:sz w:val="22"/>
          <w:szCs w:val="22"/>
        </w:rPr>
        <w:t>Supplementary Table 1 Study Cohort Information</w:t>
      </w:r>
    </w:p>
    <w:p w14:paraId="648FB238" w14:textId="72237A64" w:rsidR="001B5151" w:rsidRPr="00F02411" w:rsidRDefault="003C560E" w:rsidP="00B213B7">
      <w:pPr>
        <w:jc w:val="both"/>
        <w:rPr>
          <w:rFonts w:ascii="Times New Roman" w:hAnsi="Times New Roman" w:cs="Times New Roman"/>
          <w:sz w:val="22"/>
          <w:szCs w:val="22"/>
        </w:rPr>
      </w:pPr>
      <w:r w:rsidRPr="00F02411">
        <w:rPr>
          <w:rFonts w:ascii="Times New Roman" w:hAnsi="Times New Roman" w:cs="Times New Roman"/>
          <w:b/>
          <w:bCs/>
          <w:sz w:val="22"/>
          <w:szCs w:val="22"/>
        </w:rPr>
        <w:t>Supplementary Table 2</w:t>
      </w:r>
      <w:r w:rsidRPr="00F02411">
        <w:rPr>
          <w:rFonts w:ascii="Times New Roman" w:hAnsi="Times New Roman" w:cs="Times New Roman"/>
          <w:sz w:val="22"/>
          <w:szCs w:val="22"/>
        </w:rPr>
        <w:t xml:space="preserve"> </w:t>
      </w:r>
      <w:r w:rsidR="006C284C" w:rsidRPr="00F02411">
        <w:rPr>
          <w:rFonts w:ascii="Times New Roman" w:hAnsi="Times New Roman" w:cs="Times New Roman"/>
          <w:b/>
          <w:bCs/>
          <w:sz w:val="22"/>
          <w:szCs w:val="22"/>
        </w:rPr>
        <w:t>Multivariate Cox models with both resection status and TMZ use</w:t>
      </w:r>
      <w:r w:rsidR="006C284C" w:rsidRPr="00F02411">
        <w:rPr>
          <w:rFonts w:ascii="Times New Roman" w:hAnsi="Times New Roman" w:cs="Times New Roman"/>
          <w:sz w:val="22"/>
          <w:szCs w:val="22"/>
        </w:rPr>
        <w:t xml:space="preserve"> </w:t>
      </w:r>
      <w:r w:rsidR="00551821" w:rsidRPr="00F02411">
        <w:rPr>
          <w:rFonts w:ascii="Times New Roman" w:hAnsi="Times New Roman" w:cs="Times New Roman"/>
          <w:sz w:val="22"/>
          <w:szCs w:val="22"/>
        </w:rPr>
        <w:t xml:space="preserve">Resection status and </w:t>
      </w:r>
      <w:r w:rsidR="006C284C" w:rsidRPr="00F02411">
        <w:rPr>
          <w:rFonts w:ascii="Times New Roman" w:hAnsi="Times New Roman" w:cs="Times New Roman"/>
          <w:sz w:val="22"/>
          <w:szCs w:val="22"/>
        </w:rPr>
        <w:t xml:space="preserve">TMZ </w:t>
      </w:r>
      <w:r w:rsidR="00C52CE8" w:rsidRPr="00F02411">
        <w:rPr>
          <w:rFonts w:ascii="Times New Roman" w:hAnsi="Times New Roman" w:cs="Times New Roman"/>
          <w:sz w:val="22"/>
          <w:szCs w:val="22"/>
        </w:rPr>
        <w:t>use were</w:t>
      </w:r>
      <w:r w:rsidR="006C284C" w:rsidRPr="00F02411">
        <w:rPr>
          <w:rFonts w:ascii="Times New Roman" w:hAnsi="Times New Roman" w:cs="Times New Roman"/>
          <w:sz w:val="22"/>
          <w:szCs w:val="22"/>
        </w:rPr>
        <w:t xml:space="preserve"> significantly associated with progression-free survival in </w:t>
      </w:r>
      <w:r w:rsidR="00D34E76" w:rsidRPr="00F02411">
        <w:rPr>
          <w:rFonts w:ascii="Times New Roman" w:hAnsi="Times New Roman" w:cs="Times New Roman"/>
          <w:sz w:val="22"/>
          <w:szCs w:val="22"/>
        </w:rPr>
        <w:t xml:space="preserve">a </w:t>
      </w:r>
      <w:r w:rsidR="006C284C" w:rsidRPr="00F02411">
        <w:rPr>
          <w:rFonts w:ascii="Times New Roman" w:hAnsi="Times New Roman" w:cs="Times New Roman"/>
          <w:sz w:val="22"/>
          <w:szCs w:val="22"/>
        </w:rPr>
        <w:t>multivariate Cox model.</w:t>
      </w:r>
    </w:p>
    <w:p w14:paraId="365F0595" w14:textId="77777777" w:rsidR="001665A7" w:rsidRPr="00F02411" w:rsidRDefault="001665A7" w:rsidP="001665A7">
      <w:pPr>
        <w:jc w:val="both"/>
        <w:rPr>
          <w:rFonts w:ascii="Times New Roman" w:hAnsi="Times New Roman" w:cs="Times New Roman"/>
          <w:sz w:val="22"/>
          <w:szCs w:val="22"/>
        </w:rPr>
      </w:pPr>
      <w:r w:rsidRPr="00F02411">
        <w:rPr>
          <w:rFonts w:ascii="Times New Roman" w:hAnsi="Times New Roman" w:cs="Times New Roman"/>
          <w:b/>
          <w:bCs/>
          <w:sz w:val="22"/>
          <w:szCs w:val="22"/>
        </w:rPr>
        <w:t>Supplementary Table 3</w:t>
      </w:r>
      <w:r w:rsidRPr="00F02411">
        <w:rPr>
          <w:rFonts w:ascii="Times New Roman" w:hAnsi="Times New Roman" w:cs="Times New Roman"/>
          <w:sz w:val="22"/>
          <w:szCs w:val="22"/>
        </w:rPr>
        <w:t xml:space="preserve"> Fisher’s exact test; resection status was not significantly associated with TMZ usage.</w:t>
      </w:r>
    </w:p>
    <w:p w14:paraId="51930B57" w14:textId="547B88CE" w:rsidR="001665A7" w:rsidRPr="000071A2" w:rsidRDefault="00F02411" w:rsidP="00B213B7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071A2">
        <w:rPr>
          <w:rFonts w:ascii="Times New Roman" w:hAnsi="Times New Roman" w:cs="Times New Roman"/>
          <w:b/>
          <w:bCs/>
          <w:sz w:val="22"/>
          <w:szCs w:val="22"/>
        </w:rPr>
        <w:t xml:space="preserve">Supplementary Table </w:t>
      </w:r>
      <w:r w:rsidR="000071A2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0071A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0071A2">
        <w:rPr>
          <w:rFonts w:ascii="Times New Roman" w:hAnsi="Times New Roman" w:cs="Times New Roman"/>
          <w:b/>
          <w:bCs/>
          <w:i/>
          <w:iCs/>
          <w:sz w:val="22"/>
          <w:szCs w:val="22"/>
        </w:rPr>
        <w:t>MGMT</w:t>
      </w:r>
      <w:r w:rsidRPr="000071A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C17AAC" w:rsidRPr="000071A2">
        <w:rPr>
          <w:rFonts w:ascii="Times New Roman" w:hAnsi="Times New Roman" w:cs="Times New Roman"/>
          <w:b/>
          <w:bCs/>
          <w:sz w:val="22"/>
          <w:szCs w:val="22"/>
        </w:rPr>
        <w:t xml:space="preserve">mRNA </w:t>
      </w:r>
      <w:r w:rsidR="000071A2" w:rsidRPr="000071A2">
        <w:rPr>
          <w:rFonts w:ascii="Times New Roman" w:hAnsi="Times New Roman" w:cs="Times New Roman"/>
          <w:b/>
          <w:bCs/>
          <w:sz w:val="22"/>
          <w:szCs w:val="22"/>
        </w:rPr>
        <w:t>levels</w:t>
      </w:r>
    </w:p>
    <w:sectPr w:rsidR="001665A7" w:rsidRPr="000071A2" w:rsidSect="00F63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7A802" w14:textId="77777777" w:rsidR="003C034E" w:rsidRDefault="003C034E" w:rsidP="009B33CF">
      <w:pPr>
        <w:spacing w:after="0" w:line="240" w:lineRule="auto"/>
      </w:pPr>
      <w:r>
        <w:separator/>
      </w:r>
    </w:p>
  </w:endnote>
  <w:endnote w:type="continuationSeparator" w:id="0">
    <w:p w14:paraId="520C50E3" w14:textId="77777777" w:rsidR="003C034E" w:rsidRDefault="003C034E" w:rsidP="009B3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E1087" w14:textId="77777777" w:rsidR="003C034E" w:rsidRDefault="003C034E" w:rsidP="009B33CF">
      <w:pPr>
        <w:spacing w:after="0" w:line="240" w:lineRule="auto"/>
      </w:pPr>
      <w:r>
        <w:separator/>
      </w:r>
    </w:p>
  </w:footnote>
  <w:footnote w:type="continuationSeparator" w:id="0">
    <w:p w14:paraId="65556B02" w14:textId="77777777" w:rsidR="003C034E" w:rsidRDefault="003C034E" w:rsidP="009B33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7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EytTQ2MDG1MDUwMjBT0lEKTi0uzszPAykwNKgFALBEjn4tAAAA"/>
  </w:docVars>
  <w:rsids>
    <w:rsidRoot w:val="007A6C8A"/>
    <w:rsid w:val="000071A2"/>
    <w:rsid w:val="00020CEC"/>
    <w:rsid w:val="000961D6"/>
    <w:rsid w:val="00096FB7"/>
    <w:rsid w:val="000E2F1C"/>
    <w:rsid w:val="000F7873"/>
    <w:rsid w:val="0016512C"/>
    <w:rsid w:val="001665A7"/>
    <w:rsid w:val="001679B2"/>
    <w:rsid w:val="00170C04"/>
    <w:rsid w:val="00181992"/>
    <w:rsid w:val="001A5808"/>
    <w:rsid w:val="001B5151"/>
    <w:rsid w:val="001C7BF9"/>
    <w:rsid w:val="001C7E56"/>
    <w:rsid w:val="0025061C"/>
    <w:rsid w:val="00284C49"/>
    <w:rsid w:val="00336980"/>
    <w:rsid w:val="003968B1"/>
    <w:rsid w:val="003A76EC"/>
    <w:rsid w:val="003B17DC"/>
    <w:rsid w:val="003C034E"/>
    <w:rsid w:val="003C560E"/>
    <w:rsid w:val="003D1720"/>
    <w:rsid w:val="003F6051"/>
    <w:rsid w:val="004633A3"/>
    <w:rsid w:val="004837C7"/>
    <w:rsid w:val="004972DB"/>
    <w:rsid w:val="004C3303"/>
    <w:rsid w:val="004E60FD"/>
    <w:rsid w:val="00551821"/>
    <w:rsid w:val="005631FD"/>
    <w:rsid w:val="00571347"/>
    <w:rsid w:val="005A258C"/>
    <w:rsid w:val="006C284C"/>
    <w:rsid w:val="006D509F"/>
    <w:rsid w:val="00721BC8"/>
    <w:rsid w:val="0073158F"/>
    <w:rsid w:val="00767EDC"/>
    <w:rsid w:val="0079550F"/>
    <w:rsid w:val="007A6C8A"/>
    <w:rsid w:val="007C6419"/>
    <w:rsid w:val="008313D1"/>
    <w:rsid w:val="00854A0C"/>
    <w:rsid w:val="00857C40"/>
    <w:rsid w:val="00893B5D"/>
    <w:rsid w:val="009021E1"/>
    <w:rsid w:val="00946757"/>
    <w:rsid w:val="00964456"/>
    <w:rsid w:val="009A7FC9"/>
    <w:rsid w:val="009B0C03"/>
    <w:rsid w:val="009B33CF"/>
    <w:rsid w:val="00A14099"/>
    <w:rsid w:val="00A505EF"/>
    <w:rsid w:val="00A61E19"/>
    <w:rsid w:val="00A702DC"/>
    <w:rsid w:val="00AE24AD"/>
    <w:rsid w:val="00AE3CB1"/>
    <w:rsid w:val="00B02FCA"/>
    <w:rsid w:val="00B213B7"/>
    <w:rsid w:val="00B55687"/>
    <w:rsid w:val="00B854CE"/>
    <w:rsid w:val="00BC0F6D"/>
    <w:rsid w:val="00C17AAC"/>
    <w:rsid w:val="00C37E7C"/>
    <w:rsid w:val="00C52CE8"/>
    <w:rsid w:val="00C7161B"/>
    <w:rsid w:val="00CA5B11"/>
    <w:rsid w:val="00CE05F4"/>
    <w:rsid w:val="00CE2DF4"/>
    <w:rsid w:val="00D02443"/>
    <w:rsid w:val="00D21D45"/>
    <w:rsid w:val="00D34E76"/>
    <w:rsid w:val="00DD5F92"/>
    <w:rsid w:val="00E567EC"/>
    <w:rsid w:val="00E83B89"/>
    <w:rsid w:val="00EC6D81"/>
    <w:rsid w:val="00EE1B0F"/>
    <w:rsid w:val="00EE2160"/>
    <w:rsid w:val="00EE7741"/>
    <w:rsid w:val="00EF2A49"/>
    <w:rsid w:val="00F02411"/>
    <w:rsid w:val="00F2432A"/>
    <w:rsid w:val="00F4785D"/>
    <w:rsid w:val="00F63890"/>
    <w:rsid w:val="00F81256"/>
    <w:rsid w:val="00FB4B9C"/>
    <w:rsid w:val="00FC0C99"/>
    <w:rsid w:val="00FE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4C369F"/>
  <w15:chartTrackingRefBased/>
  <w15:docId w15:val="{0A4D4672-0D3D-4226-92BD-0789A92DE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6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C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C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C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C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C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C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C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3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3CF"/>
  </w:style>
  <w:style w:type="paragraph" w:styleId="Footer">
    <w:name w:val="footer"/>
    <w:basedOn w:val="Normal"/>
    <w:link w:val="FooterChar"/>
    <w:uiPriority w:val="99"/>
    <w:unhideWhenUsed/>
    <w:rsid w:val="009B3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337</Words>
  <Characters>2102</Characters>
  <Application>Microsoft Office Word</Application>
  <DocSecurity>0</DocSecurity>
  <Lines>30</Lines>
  <Paragraphs>9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Chiang</dc:creator>
  <cp:keywords/>
  <dc:description/>
  <cp:lastModifiedBy>Jason Chiang</cp:lastModifiedBy>
  <cp:revision>11</cp:revision>
  <dcterms:created xsi:type="dcterms:W3CDTF">2026-02-04T15:11:00Z</dcterms:created>
  <dcterms:modified xsi:type="dcterms:W3CDTF">2026-02-16T17:20:00Z</dcterms:modified>
</cp:coreProperties>
</file>