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1146D" w14:textId="77777777" w:rsidR="00660CD5" w:rsidRPr="00311E7D" w:rsidRDefault="001B353E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1E7D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figures and legends</w:t>
      </w:r>
    </w:p>
    <w:p w14:paraId="56795FE1" w14:textId="77777777" w:rsidR="00660CD5" w:rsidRPr="00311E7D" w:rsidRDefault="001B353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1E7D">
        <w:rPr>
          <w:rFonts w:ascii="Times New Roman" w:eastAsia="Times New Roman" w:hAnsi="Times New Roman" w:cs="Times New Roman"/>
          <w:b/>
          <w:bCs/>
          <w:sz w:val="24"/>
          <w:szCs w:val="24"/>
        </w:rPr>
        <w:t>Microglial 5-LOX-activating protein antagonism alleviates leukotriene-driven neuroinflammation</w:t>
      </w:r>
    </w:p>
    <w:p w14:paraId="024CACC0" w14:textId="77777777" w:rsidR="00D6145F" w:rsidRPr="00311E7D" w:rsidRDefault="00D6145F" w:rsidP="00D6145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/>
          <w:color w:val="000000"/>
          <w:vertAlign w:val="superscript"/>
        </w:rPr>
      </w:pPr>
      <w:r w:rsidRPr="00311E7D">
        <w:rPr>
          <w:rFonts w:ascii="Times New Roman" w:eastAsia="Times New Roman" w:hAnsi="Times New Roman" w:cs="Times New Roman"/>
          <w:color w:val="000000"/>
        </w:rPr>
        <w:t>Julia Konings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1,2,3*</w:t>
      </w:r>
      <w:r w:rsidRPr="00311E7D">
        <w:rPr>
          <w:rFonts w:ascii="Times New Roman" w:eastAsia="Times New Roman" w:hAnsi="Times New Roman" w:cs="Times New Roman"/>
          <w:color w:val="000000"/>
        </w:rPr>
        <w:t>, Fleur Mingneau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4,5*</w:t>
      </w:r>
      <w:r w:rsidRPr="00311E7D">
        <w:rPr>
          <w:rFonts w:ascii="Times New Roman" w:eastAsia="Times New Roman" w:hAnsi="Times New Roman" w:cs="Times New Roman"/>
          <w:color w:val="000000"/>
        </w:rPr>
        <w:t>, Serhii Chornyi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1,6</w:t>
      </w:r>
      <w:r w:rsidRPr="00311E7D">
        <w:rPr>
          <w:rFonts w:ascii="Times New Roman" w:eastAsia="Times New Roman" w:hAnsi="Times New Roman" w:cs="Times New Roman"/>
          <w:color w:val="000000"/>
        </w:rPr>
        <w:t>, Cathrin E. Hansen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1,2,3</w:t>
      </w:r>
      <w:r w:rsidRPr="00311E7D">
        <w:rPr>
          <w:rFonts w:ascii="Times New Roman" w:eastAsia="Times New Roman" w:hAnsi="Times New Roman" w:cs="Times New Roman"/>
          <w:color w:val="000000"/>
        </w:rPr>
        <w:t>, Rianne van der Brugt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1,2,7</w:t>
      </w:r>
      <w:r w:rsidRPr="00311E7D">
        <w:rPr>
          <w:rFonts w:ascii="Times New Roman" w:eastAsia="Times New Roman" w:hAnsi="Times New Roman" w:cs="Times New Roman"/>
          <w:color w:val="000000"/>
        </w:rPr>
        <w:t>, Tessa G. van Elk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1,2,3</w:t>
      </w:r>
      <w:r w:rsidRPr="00311E7D">
        <w:rPr>
          <w:rFonts w:ascii="Times New Roman" w:eastAsia="Times New Roman" w:hAnsi="Times New Roman" w:cs="Times New Roman"/>
          <w:color w:val="000000"/>
        </w:rPr>
        <w:t>, Laura Bolkaerts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4,5</w:t>
      </w:r>
      <w:r w:rsidRPr="00311E7D">
        <w:rPr>
          <w:rFonts w:ascii="Times New Roman" w:eastAsia="Times New Roman" w:hAnsi="Times New Roman" w:cs="Times New Roman"/>
          <w:color w:val="000000"/>
        </w:rPr>
        <w:t>, Bo Batens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4,5</w:t>
      </w:r>
      <w:r w:rsidRPr="00311E7D">
        <w:rPr>
          <w:rFonts w:ascii="Times New Roman" w:eastAsia="Times New Roman" w:hAnsi="Times New Roman" w:cs="Times New Roman"/>
          <w:color w:val="000000"/>
        </w:rPr>
        <w:t>, Gabor Toth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8,9</w:t>
      </w:r>
      <w:r w:rsidRPr="00311E7D">
        <w:rPr>
          <w:rFonts w:ascii="Times New Roman" w:eastAsia="Times New Roman" w:hAnsi="Times New Roman" w:cs="Times New Roman"/>
          <w:color w:val="000000"/>
        </w:rPr>
        <w:t>, Ingela Lanekoff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8,9</w:t>
      </w:r>
      <w:r w:rsidRPr="00311E7D">
        <w:rPr>
          <w:rFonts w:ascii="Times New Roman" w:eastAsia="Times New Roman" w:hAnsi="Times New Roman" w:cs="Times New Roman"/>
          <w:color w:val="000000"/>
        </w:rPr>
        <w:t>, Frédéric M. Vaz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10,11</w:t>
      </w:r>
      <w:r w:rsidRPr="00311E7D">
        <w:rPr>
          <w:rFonts w:ascii="Times New Roman" w:eastAsia="Times New Roman" w:hAnsi="Times New Roman" w:cs="Times New Roman"/>
          <w:color w:val="000000"/>
        </w:rPr>
        <w:t>, Alessio Cardilli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4,5</w:t>
      </w:r>
      <w:r w:rsidRPr="00311E7D">
        <w:rPr>
          <w:rFonts w:ascii="Times New Roman" w:eastAsia="Times New Roman" w:hAnsi="Times New Roman" w:cs="Times New Roman"/>
          <w:color w:val="000000"/>
        </w:rPr>
        <w:t>, Marie Sels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4,12</w:t>
      </w:r>
      <w:r w:rsidRPr="00311E7D">
        <w:rPr>
          <w:rFonts w:ascii="Times New Roman" w:eastAsia="Times New Roman" w:hAnsi="Times New Roman" w:cs="Times New Roman"/>
          <w:color w:val="000000"/>
        </w:rPr>
        <w:t>, Susanne M.A. van der Pol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  <w:r w:rsidRPr="00311E7D">
        <w:rPr>
          <w:rFonts w:ascii="Times New Roman" w:eastAsia="Times New Roman" w:hAnsi="Times New Roman" w:cs="Times New Roman"/>
          <w:color w:val="000000"/>
        </w:rPr>
        <w:t>, Helga E. de Vries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1,2,3</w:t>
      </w:r>
      <w:r w:rsidRPr="00311E7D">
        <w:rPr>
          <w:rFonts w:ascii="Times New Roman" w:eastAsia="Times New Roman" w:hAnsi="Times New Roman" w:cs="Times New Roman"/>
          <w:color w:val="000000"/>
        </w:rPr>
        <w:t>, Martin Giera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6</w:t>
      </w:r>
      <w:r w:rsidRPr="00311E7D">
        <w:rPr>
          <w:rFonts w:ascii="Times New Roman" w:eastAsia="Times New Roman" w:hAnsi="Times New Roman" w:cs="Times New Roman"/>
          <w:color w:val="000000"/>
        </w:rPr>
        <w:t>, Oliver Werz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13,14</w:t>
      </w:r>
      <w:r w:rsidRPr="00311E7D">
        <w:rPr>
          <w:rFonts w:ascii="Times New Roman" w:eastAsia="Times New Roman" w:hAnsi="Times New Roman" w:cs="Times New Roman"/>
          <w:color w:val="000000"/>
        </w:rPr>
        <w:t>, Sofie Kessels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4,5</w:t>
      </w:r>
      <w:r w:rsidRPr="00311E7D">
        <w:rPr>
          <w:rFonts w:ascii="Times New Roman" w:eastAsia="Times New Roman" w:hAnsi="Times New Roman" w:cs="Times New Roman"/>
          <w:color w:val="000000"/>
        </w:rPr>
        <w:t>, Sanne G.S. Verberk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4,5</w:t>
      </w:r>
      <w:r w:rsidRPr="00311E7D">
        <w:rPr>
          <w:rFonts w:ascii="Times New Roman" w:eastAsia="Times New Roman" w:hAnsi="Times New Roman" w:cs="Times New Roman"/>
          <w:color w:val="000000"/>
        </w:rPr>
        <w:t>, Jeroen F.J. Bogie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4,5</w:t>
      </w:r>
      <w:r w:rsidRPr="00311E7D">
        <w:rPr>
          <w:rFonts w:ascii="Times New Roman" w:eastAsia="Times New Roman" w:hAnsi="Times New Roman" w:cs="Times New Roman"/>
          <w:color w:val="000000"/>
        </w:rPr>
        <w:t>, Merel Rijnsburger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1,2,3</w:t>
      </w:r>
      <w:r w:rsidRPr="00311E7D">
        <w:rPr>
          <w:rFonts w:ascii="Times New Roman" w:eastAsia="Times New Roman" w:hAnsi="Times New Roman" w:cs="Times New Roman"/>
          <w:color w:val="000000"/>
        </w:rPr>
        <w:t>,Jerome J.A. Hendriks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4,5*</w:t>
      </w:r>
      <w:r w:rsidRPr="00311E7D">
        <w:rPr>
          <w:rFonts w:ascii="Times New Roman" w:eastAsia="Times New Roman" w:hAnsi="Times New Roman" w:cs="Times New Roman"/>
          <w:color w:val="000000"/>
        </w:rPr>
        <w:t>, Gijs Kooij</w:t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1,2,3,15*#</w:t>
      </w:r>
      <w:r w:rsidRPr="00311E7D">
        <w:rPr>
          <w:rFonts w:ascii="Times New Roman" w:eastAsia="Times New Roman" w:hAnsi="Times New Roman" w:cs="Times New Roman"/>
          <w:color w:val="000000"/>
        </w:rPr>
        <w:t>.</w:t>
      </w:r>
    </w:p>
    <w:p w14:paraId="528BE4D1" w14:textId="77777777" w:rsidR="00D6145F" w:rsidRPr="00311E7D" w:rsidRDefault="00D6145F" w:rsidP="00D6145F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</w:tabs>
        <w:spacing w:line="48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11E7D">
        <w:rPr>
          <w:rFonts w:ascii="Times New Roman" w:eastAsia="Times New Roman" w:hAnsi="Times New Roman" w:cs="Times New Roman"/>
          <w:color w:val="000000"/>
        </w:rPr>
        <w:tab/>
      </w:r>
    </w:p>
    <w:p w14:paraId="5BD60011" w14:textId="77777777" w:rsidR="00D6145F" w:rsidRPr="00311E7D" w:rsidRDefault="00D6145F" w:rsidP="00D6145F">
      <w:pPr>
        <w:tabs>
          <w:tab w:val="lef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*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These authors contributed equally to this work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 </w:t>
      </w:r>
    </w:p>
    <w:p w14:paraId="3BCD6A5C" w14:textId="77777777" w:rsidR="00D6145F" w:rsidRPr="00311E7D" w:rsidRDefault="00D6145F" w:rsidP="00D6145F">
      <w:pPr>
        <w:tabs>
          <w:tab w:val="left" w:pos="284"/>
        </w:tabs>
        <w:spacing w:after="0" w:line="48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1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Amsterdam UMC location Vrije Universiteit Amsterdam, Department of Molecular Cell Biology and Immunology, De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Boelelaan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1117, Amsterdam, The Netherlands</w:t>
      </w:r>
    </w:p>
    <w:p w14:paraId="527631A0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2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Amsterdam Neuroscience, Amsterdam UMC, Amsterdam, </w:t>
      </w:r>
      <w:proofErr w:type="gram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The</w:t>
      </w:r>
      <w:proofErr w:type="gram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Netherlands</w:t>
      </w:r>
    </w:p>
    <w:p w14:paraId="1B5A97AD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3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MS Center Amsterdam, Amsterdam UMC Location VU Medical Center, Amsterdam, </w:t>
      </w:r>
      <w:proofErr w:type="gram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The</w:t>
      </w:r>
      <w:proofErr w:type="gram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Netherlands</w:t>
      </w:r>
    </w:p>
    <w:p w14:paraId="7D79856F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4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Department of Immunology and Infection, Biomedical Research Institute, Hasselt University,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Diepenbeek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, Belgium</w:t>
      </w:r>
    </w:p>
    <w:p w14:paraId="3A00FF5E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5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University MS Center, Pelt, Belgium</w:t>
      </w:r>
    </w:p>
    <w:p w14:paraId="53517F5B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6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Leiden University Medical Centre (LUMC), Center for Proteomics and Metabolomics, Leiden, </w:t>
      </w:r>
      <w:proofErr w:type="gram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The</w:t>
      </w:r>
      <w:proofErr w:type="gram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Netherlands </w:t>
      </w:r>
    </w:p>
    <w:p w14:paraId="788FA776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7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Amsterdam institute for immunology &amp; Infectious diseases, Amsterdam, The Netherlands</w:t>
      </w:r>
    </w:p>
    <w:p w14:paraId="3A185F2A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8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Department of Chemistry for Life Sciences, Uppsala University, Uppsala, Sweden</w:t>
      </w:r>
    </w:p>
    <w:p w14:paraId="5407AD7E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9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Center for Excellence for the Chemical Mechanisms of Life, Uppsala University, Uppsala, Sweden</w:t>
      </w:r>
    </w:p>
    <w:p w14:paraId="45978F71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10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Laboratory Genetic Metabolic Diseases, Amsterdam UMC, Amsterdam, the Netherlands</w:t>
      </w:r>
    </w:p>
    <w:p w14:paraId="6266C5A1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11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Core Facility</w:t>
      </w:r>
      <w:r w:rsidRPr="00311E7D">
        <w:rPr>
          <w:rFonts w:ascii="Times New Roman" w:hAnsi="Times New Roman"/>
          <w:color w:val="000000"/>
          <w:sz w:val="20"/>
        </w:rPr>
        <w:t xml:space="preserve"> Metabolomics,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Amsterdam UMC, Amsterdam, the Netherlands</w:t>
      </w:r>
    </w:p>
    <w:p w14:paraId="1BB89AB1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12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Department of Biochemistry, Cardiovascular Research Institute Maastricht, University of Maastricht, Maastricht</w:t>
      </w:r>
      <w:r w:rsidRPr="00311E7D">
        <w:rPr>
          <w:rFonts w:ascii="Times New Roman" w:hAnsi="Times New Roman"/>
          <w:color w:val="000000"/>
          <w:sz w:val="20"/>
        </w:rPr>
        <w:t xml:space="preserve">, </w:t>
      </w:r>
      <w:proofErr w:type="gramStart"/>
      <w:r w:rsidRPr="00311E7D">
        <w:rPr>
          <w:rFonts w:ascii="Times New Roman" w:hAnsi="Times New Roman"/>
          <w:color w:val="000000"/>
          <w:sz w:val="20"/>
        </w:rPr>
        <w:t>The</w:t>
      </w:r>
      <w:proofErr w:type="gramEnd"/>
      <w:r w:rsidRPr="00311E7D">
        <w:rPr>
          <w:rFonts w:ascii="Times New Roman" w:hAnsi="Times New Roman"/>
          <w:color w:val="000000"/>
          <w:sz w:val="20"/>
        </w:rPr>
        <w:t xml:space="preserve"> Netherlands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14132CAE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13</w:t>
      </w:r>
      <w:r w:rsidRPr="00311E7D">
        <w:rPr>
          <w:rFonts w:ascii="Times New Roman" w:hAnsi="Times New Roman"/>
          <w:color w:val="000000"/>
          <w:sz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Department of Pharmaceutical/Medicinal Chemistry, Institute of Pharmacy, Friedrich Schiller University, Jena, Germany</w:t>
      </w:r>
    </w:p>
    <w:p w14:paraId="3EA5C16A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lastRenderedPageBreak/>
        <w:t>14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Jena Center for Soft Matter (JCSM), Friedrich Schiller University Jena, Jena, Germany</w:t>
      </w:r>
    </w:p>
    <w:p w14:paraId="77F9CDCE" w14:textId="77777777" w:rsidR="00D6145F" w:rsidRPr="00311E7D" w:rsidRDefault="00D6145F" w:rsidP="00D6145F">
      <w:pPr>
        <w:tabs>
          <w:tab w:val="left" w:pos="284"/>
          <w:tab w:val="left" w:pos="567"/>
        </w:tabs>
        <w:spacing w:after="0" w:line="48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15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ab/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Amsterdam Institute for Immunology and Infectious Diseases, Amsterdam UMC, Amsterdam, </w:t>
      </w:r>
      <w:proofErr w:type="gram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The</w:t>
      </w:r>
      <w:proofErr w:type="gram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Netherlands</w:t>
      </w:r>
    </w:p>
    <w:p w14:paraId="455950EC" w14:textId="77777777" w:rsidR="00D6145F" w:rsidRPr="00311E7D" w:rsidRDefault="00D6145F" w:rsidP="00D6145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311E7D">
        <w:rPr>
          <w:rFonts w:ascii="Times New Roman" w:eastAsia="Times New Roman" w:hAnsi="Times New Roman" w:cs="Times New Roman"/>
        </w:rPr>
        <w:br/>
      </w:r>
      <w:r w:rsidRPr="00311E7D">
        <w:rPr>
          <w:rFonts w:ascii="Times New Roman" w:eastAsia="Times New Roman" w:hAnsi="Times New Roman" w:cs="Times New Roman"/>
          <w:color w:val="000000"/>
          <w:vertAlign w:val="superscript"/>
        </w:rPr>
        <w:t>#</w:t>
      </w:r>
      <w:r w:rsidRPr="00311E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311E7D">
        <w:rPr>
          <w:rFonts w:ascii="Times New Roman" w:eastAsia="Times New Roman" w:hAnsi="Times New Roman" w:cs="Times New Roman"/>
          <w:color w:val="000000"/>
        </w:rPr>
        <w:t>Corresponding</w:t>
      </w:r>
      <w:proofErr w:type="gramEnd"/>
      <w:r w:rsidRPr="00311E7D">
        <w:rPr>
          <w:rFonts w:ascii="Times New Roman" w:eastAsia="Times New Roman" w:hAnsi="Times New Roman" w:cs="Times New Roman"/>
          <w:color w:val="000000"/>
        </w:rPr>
        <w:t xml:space="preserve"> author: Gijs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</w:rPr>
        <w:t>Kooij</w:t>
      </w:r>
      <w:proofErr w:type="spellEnd"/>
      <w:r w:rsidRPr="00311E7D">
        <w:rPr>
          <w:rFonts w:ascii="Times New Roman" w:eastAsia="Times New Roman" w:hAnsi="Times New Roman" w:cs="Times New Roman"/>
          <w:color w:val="000000"/>
        </w:rPr>
        <w:t xml:space="preserve"> (email: g.kooij@amsterdamumc.nl,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</w:rPr>
        <w:t>tel</w:t>
      </w:r>
      <w:proofErr w:type="spellEnd"/>
      <w:r w:rsidRPr="00311E7D">
        <w:rPr>
          <w:rFonts w:ascii="Times New Roman" w:eastAsia="Times New Roman" w:hAnsi="Times New Roman" w:cs="Times New Roman"/>
          <w:color w:val="000000"/>
        </w:rPr>
        <w:t>: +31 (0) 204448080)</w:t>
      </w:r>
    </w:p>
    <w:p w14:paraId="4D07FB12" w14:textId="77777777" w:rsidR="00660CD5" w:rsidRPr="00311E7D" w:rsidRDefault="00660CD5">
      <w:pPr>
        <w:tabs>
          <w:tab w:val="left" w:pos="284"/>
          <w:tab w:val="left" w:pos="567"/>
        </w:tabs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B3AAD0" w14:textId="77777777" w:rsidR="00394636" w:rsidRPr="00311E7D" w:rsidRDefault="00394636" w:rsidP="00394636">
      <w:r w:rsidRPr="00311E7D">
        <w:rPr>
          <w:noProof/>
          <w:lang w:val="en-IN" w:eastAsia="en-IN"/>
        </w:rPr>
        <w:drawing>
          <wp:inline distT="0" distB="0" distL="0" distR="0" wp14:anchorId="16E13823" wp14:editId="086DA270">
            <wp:extent cx="5760720" cy="7722235"/>
            <wp:effectExtent l="0" t="0" r="0" b="0"/>
            <wp:docPr id="318003932" name="Picture 2" descr="Afbeelding met tekst, schermopname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003932" name="Picture 2" descr="Afbeelding met tekst, schermopname, grafische vormgeving&#10;&#10;Door AI gegenereerde inhoud is mogelijk onjuis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2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CA8FC" w14:textId="77777777" w:rsidR="00394636" w:rsidRPr="00311E7D" w:rsidRDefault="00394636" w:rsidP="00394636"/>
    <w:p w14:paraId="4637C14C" w14:textId="70FD50B1" w:rsidR="00660CD5" w:rsidRPr="00311E7D" w:rsidRDefault="00394636" w:rsidP="0039463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S1 | Flow cytometry gating strategy for blood, splenocytes and spinal cord.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Gating on representative sample.</w:t>
      </w:r>
    </w:p>
    <w:p w14:paraId="3E9C03E8" w14:textId="77777777" w:rsidR="00394636" w:rsidRPr="00311E7D" w:rsidRDefault="00394636" w:rsidP="0039463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3FF5FB1" w14:textId="77777777" w:rsidR="00660CD5" w:rsidRPr="00311E7D" w:rsidRDefault="001B353E">
      <w:pPr>
        <w:spacing w:line="48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noProof/>
          <w:color w:val="666666"/>
          <w:sz w:val="20"/>
          <w:szCs w:val="20"/>
          <w:lang w:val="en-IN" w:eastAsia="en-IN"/>
        </w:rPr>
        <w:drawing>
          <wp:inline distT="0" distB="0" distL="0" distR="0" wp14:anchorId="45DAC54F" wp14:editId="323625DB">
            <wp:extent cx="2061214" cy="1761239"/>
            <wp:effectExtent l="0" t="0" r="0" b="0"/>
            <wp:docPr id="4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214" cy="17612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06F665" w14:textId="217B8CF1" w:rsidR="00660CD5" w:rsidRPr="00311E7D" w:rsidRDefault="001B353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Figure S</w:t>
      </w:r>
      <w:r w:rsidR="0039463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| Increased </w:t>
      </w:r>
      <w:r w:rsidRPr="00311E7D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>ALOX5AP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expression in MS tissue homogenates. (a-b)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mRNA expression of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ALOX5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(a) and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ALOX5AP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(b) in NNC (n=4) and MS tissue (n=7). Data is shown as box plots with median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quartiles; whiskers extend to the minimum and maximum. For two groups, an unpaired t-test with Welch’s correction was used. Exact p-values are reported and statistical significance is set at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p &lt;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0.05 (red).</w:t>
      </w:r>
    </w:p>
    <w:p w14:paraId="41276C83" w14:textId="77777777" w:rsidR="00660CD5" w:rsidRPr="00311E7D" w:rsidRDefault="00660CD5">
      <w:pPr>
        <w:rPr>
          <w:rFonts w:ascii="Verdana" w:eastAsia="Verdana" w:hAnsi="Verdana" w:cs="Verdana"/>
          <w:sz w:val="18"/>
          <w:szCs w:val="18"/>
        </w:rPr>
      </w:pPr>
    </w:p>
    <w:p w14:paraId="207AC60B" w14:textId="77777777" w:rsidR="00660CD5" w:rsidRPr="00311E7D" w:rsidRDefault="00660CD5">
      <w:pPr>
        <w:rPr>
          <w:rFonts w:ascii="Verdana" w:eastAsia="Verdana" w:hAnsi="Verdana" w:cs="Verdana"/>
          <w:sz w:val="18"/>
          <w:szCs w:val="18"/>
        </w:rPr>
      </w:pPr>
    </w:p>
    <w:p w14:paraId="210C4F6B" w14:textId="77777777" w:rsidR="00660CD5" w:rsidRPr="00311E7D" w:rsidRDefault="001B3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666666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b/>
          <w:bCs/>
          <w:noProof/>
          <w:color w:val="666666"/>
          <w:sz w:val="20"/>
          <w:szCs w:val="20"/>
          <w:lang w:val="en-IN" w:eastAsia="en-IN"/>
        </w:rPr>
        <w:drawing>
          <wp:inline distT="0" distB="0" distL="0" distR="0" wp14:anchorId="75B3EE30" wp14:editId="0CD71465">
            <wp:extent cx="4911677" cy="1998730"/>
            <wp:effectExtent l="0" t="0" r="3810" b="1905"/>
            <wp:docPr id="4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4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1677" cy="19987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4F70EB" w14:textId="341AB572" w:rsidR="00660CD5" w:rsidRPr="00311E7D" w:rsidRDefault="001B353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Figure S</w:t>
      </w:r>
      <w:r w:rsidR="0039463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| FLAP antagonism does not affect pro-inflammatory or pro-resolution gene expression profiles. (</w:t>
      </w:r>
      <w:proofErr w:type="gramStart"/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a-b</w:t>
      </w:r>
      <w:proofErr w:type="gramEnd"/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Volcano plot visualizing differentially expressed genes in pro-inflammatory (LPS: 100 ng/ml,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IFN</w:t>
      </w:r>
      <w:r w:rsidRPr="00311E7D">
        <w:rPr>
          <w:rFonts w:ascii="Noto Sans Symbols" w:eastAsia="Noto Sans Symbols" w:hAnsi="Noto Sans Symbols" w:cs="Noto Sans Symbols"/>
          <w:color w:val="000000"/>
          <w:sz w:val="20"/>
          <w:szCs w:val="20"/>
        </w:rPr>
        <w:t>γ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20 ng/ml) (a) and pro-resolution (IL-4: 20 ng/ml, IL-13: 20 ng/ml) (b)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hiPSC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-derived microglia upon FLAP antagonism </w:t>
      </w:r>
      <w:r w:rsidRPr="00311E7D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311E7D">
        <w:rPr>
          <w:rFonts w:ascii="Times New Roman" w:eastAsia="Times New Roman" w:hAnsi="Times New Roman" w:cs="Times New Roman"/>
          <w:sz w:val="20"/>
          <w:szCs w:val="20"/>
        </w:rPr>
        <w:t>fiboflapon</w:t>
      </w:r>
      <w:proofErr w:type="spellEnd"/>
      <w:r w:rsidRPr="00311E7D">
        <w:rPr>
          <w:rFonts w:ascii="Times New Roman" w:eastAsia="Times New Roman" w:hAnsi="Times New Roman" w:cs="Times New Roman"/>
          <w:sz w:val="20"/>
          <w:szCs w:val="20"/>
        </w:rPr>
        <w:t>, 0.5 µM)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Data processing and normalization and subsequent differential expression (DE) analysis were executed using the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edgeR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(v4.0.16) and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limma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(v3.58.1) packages (27, 28). Differentially expressed genes (DEGs) were based on an adjusted p value of less than 0.05 and an absolute log2FC greater than 1, which were depicted in volcano plots produced using the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ggven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(v0.1.10) and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EnhancedVolcano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(v1.20.0) packages (30, 31).</w:t>
      </w:r>
    </w:p>
    <w:p w14:paraId="78FC6E95" w14:textId="77777777" w:rsidR="00394636" w:rsidRPr="00311E7D" w:rsidRDefault="0039463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2ABD84A" w14:textId="77777777" w:rsidR="00660CD5" w:rsidRPr="00311E7D" w:rsidRDefault="001B353E">
      <w:pPr>
        <w:spacing w:line="48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noProof/>
          <w:color w:val="666666"/>
          <w:sz w:val="20"/>
          <w:szCs w:val="20"/>
          <w:lang w:val="en-IN" w:eastAsia="en-IN"/>
        </w:rPr>
        <w:drawing>
          <wp:inline distT="0" distB="0" distL="0" distR="0" wp14:anchorId="42E29A27" wp14:editId="0E6D2953">
            <wp:extent cx="1804420" cy="2813721"/>
            <wp:effectExtent l="0" t="0" r="5715" b="5715"/>
            <wp:docPr id="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420" cy="28137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955E89" w14:textId="0FB39A30" w:rsidR="00660CD5" w:rsidRPr="00311E7D" w:rsidRDefault="001B353E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b/>
          <w:bCs/>
          <w:sz w:val="20"/>
          <w:szCs w:val="20"/>
        </w:rPr>
        <w:t>Figure S</w:t>
      </w:r>
      <w:r w:rsidR="00394636" w:rsidRPr="00311E7D">
        <w:rPr>
          <w:rFonts w:ascii="Times New Roman" w:eastAsia="Times New Roman" w:hAnsi="Times New Roman" w:cs="Times New Roman"/>
          <w:b/>
          <w:bCs/>
          <w:sz w:val="20"/>
          <w:szCs w:val="20"/>
        </w:rPr>
        <w:t>4</w:t>
      </w:r>
      <w:r w:rsidRPr="00311E7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| FLAP antagonism does not affect COX-mediated LM production in </w:t>
      </w:r>
      <w:proofErr w:type="spellStart"/>
      <w:r w:rsidRPr="00311E7D">
        <w:rPr>
          <w:rFonts w:ascii="Times New Roman" w:eastAsia="Times New Roman" w:hAnsi="Times New Roman" w:cs="Times New Roman"/>
          <w:b/>
          <w:bCs/>
          <w:sz w:val="20"/>
          <w:szCs w:val="20"/>
        </w:rPr>
        <w:t>hiPSC</w:t>
      </w:r>
      <w:proofErr w:type="spellEnd"/>
      <w:r w:rsidRPr="00311E7D">
        <w:rPr>
          <w:rFonts w:ascii="Times New Roman" w:eastAsia="Times New Roman" w:hAnsi="Times New Roman" w:cs="Times New Roman"/>
          <w:b/>
          <w:bCs/>
          <w:sz w:val="20"/>
          <w:szCs w:val="20"/>
        </w:rPr>
        <w:t>-derived microglia.</w:t>
      </w:r>
      <w:r w:rsidRPr="00311E7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11E7D">
        <w:rPr>
          <w:rFonts w:ascii="Times New Roman" w:eastAsia="Times New Roman" w:hAnsi="Times New Roman" w:cs="Times New Roman"/>
          <w:b/>
          <w:bCs/>
          <w:sz w:val="20"/>
          <w:szCs w:val="20"/>
        </w:rPr>
        <w:t>(a)</w:t>
      </w:r>
      <w:r w:rsidRPr="00311E7D">
        <w:rPr>
          <w:rFonts w:ascii="Times New Roman" w:eastAsia="Times New Roman" w:hAnsi="Times New Roman" w:cs="Times New Roman"/>
          <w:sz w:val="20"/>
          <w:szCs w:val="20"/>
        </w:rPr>
        <w:t xml:space="preserve"> COX product formation remains unaltered upon </w:t>
      </w:r>
      <w:proofErr w:type="spellStart"/>
      <w:r w:rsidRPr="00311E7D">
        <w:rPr>
          <w:rFonts w:ascii="Times New Roman" w:eastAsia="Times New Roman" w:hAnsi="Times New Roman" w:cs="Times New Roman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spellStart"/>
      <w:r w:rsidRPr="00311E7D">
        <w:rPr>
          <w:rFonts w:ascii="Times New Roman" w:eastAsia="Times New Roman" w:hAnsi="Times New Roman" w:cs="Times New Roman"/>
          <w:sz w:val="20"/>
          <w:szCs w:val="20"/>
        </w:rPr>
        <w:t>fiboflapon</w:t>
      </w:r>
      <w:proofErr w:type="spellEnd"/>
      <w:r w:rsidRPr="00311E7D">
        <w:rPr>
          <w:rFonts w:ascii="Times New Roman" w:eastAsia="Times New Roman" w:hAnsi="Times New Roman" w:cs="Times New Roman"/>
          <w:sz w:val="20"/>
          <w:szCs w:val="20"/>
        </w:rPr>
        <w:t xml:space="preserve">, 0.5 µM) treatment in resting, pro-inflammatory, and pro-resolution </w:t>
      </w:r>
      <w:proofErr w:type="spellStart"/>
      <w:r w:rsidRPr="00311E7D">
        <w:rPr>
          <w:rFonts w:ascii="Times New Roman" w:eastAsia="Times New Roman" w:hAnsi="Times New Roman" w:cs="Times New Roman"/>
          <w:sz w:val="20"/>
          <w:szCs w:val="20"/>
        </w:rPr>
        <w:t>hiPSC</w:t>
      </w:r>
      <w:proofErr w:type="spellEnd"/>
      <w:r w:rsidRPr="00311E7D">
        <w:rPr>
          <w:rFonts w:ascii="Times New Roman" w:eastAsia="Times New Roman" w:hAnsi="Times New Roman" w:cs="Times New Roman"/>
          <w:sz w:val="20"/>
          <w:szCs w:val="20"/>
        </w:rPr>
        <w:t xml:space="preserve">-derived microglia. Data is shown as box plots with median </w:t>
      </w:r>
      <w:r w:rsidRPr="00311E7D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+ </w:t>
      </w:r>
      <w:r w:rsidRPr="00311E7D">
        <w:rPr>
          <w:rFonts w:ascii="Times New Roman" w:eastAsia="Times New Roman" w:hAnsi="Times New Roman" w:cs="Times New Roman"/>
          <w:sz w:val="20"/>
          <w:szCs w:val="20"/>
        </w:rPr>
        <w:t>quartiles; whiskers extend to the minimum and maximum. Data have been statistically tested for six groups by ordinary one-way ANOVA with Sidak’s correction.</w:t>
      </w:r>
    </w:p>
    <w:p w14:paraId="4E586477" w14:textId="77777777" w:rsidR="00660CD5" w:rsidRPr="00311E7D" w:rsidRDefault="00660CD5">
      <w:pPr>
        <w:rPr>
          <w:rFonts w:ascii="Times New Roman" w:eastAsia="Times New Roman" w:hAnsi="Times New Roman" w:cs="Times New Roman"/>
          <w:color w:val="666666"/>
          <w:sz w:val="20"/>
          <w:szCs w:val="20"/>
        </w:rPr>
      </w:pPr>
    </w:p>
    <w:p w14:paraId="30131A00" w14:textId="77777777" w:rsidR="00660CD5" w:rsidRPr="00311E7D" w:rsidRDefault="001B353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  <w:lang w:val="en-IN" w:eastAsia="en-IN"/>
        </w:rPr>
        <w:drawing>
          <wp:inline distT="0" distB="0" distL="0" distR="0" wp14:anchorId="6ECC3C48" wp14:editId="1FBB2CB2">
            <wp:extent cx="2278243" cy="1892050"/>
            <wp:effectExtent l="0" t="0" r="8255" b="0"/>
            <wp:docPr id="4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6.p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243" cy="1892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D933A3" w14:textId="39E60A70" w:rsidR="00660CD5" w:rsidRPr="00311E7D" w:rsidRDefault="001B353E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Figure S</w:t>
      </w:r>
      <w:r w:rsidR="0039463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| Increased </w:t>
      </w:r>
      <w:r w:rsidRPr="00311E7D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>ALOX5AP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expression in EAE spinal cord homogenates. (a-b)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mRNA expression of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Alox5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(a) and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Alox5AP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(b) in spinal cord tissue of experimental autoimmune encephalomyelitis (EAE) mice sacrificed at the chronic stage of the disease (29 days after EAE induction) (n=5) compared to healthy control mice (n=3). Data is shown as box plots with median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quartiles; whiskers extend to the minimum and maximum. For two groups, an unpaired t-test with Welch’s correction was used. Exact p-values are reported and statistical significance is set at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p &lt;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0.05 (red).</w:t>
      </w:r>
    </w:p>
    <w:p w14:paraId="23B2867C" w14:textId="77777777" w:rsidR="00394636" w:rsidRPr="00311E7D" w:rsidRDefault="0039463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F14567E" w14:textId="48497A53" w:rsidR="008C1A0F" w:rsidRPr="00311E7D" w:rsidRDefault="0092111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n-IN" w:eastAsia="en-IN"/>
        </w:rPr>
        <w:drawing>
          <wp:inline distT="0" distB="0" distL="0" distR="0" wp14:anchorId="45E6933A" wp14:editId="10A75600">
            <wp:extent cx="5760720" cy="5398135"/>
            <wp:effectExtent l="0" t="0" r="0" b="0"/>
            <wp:docPr id="449418910" name="Afbeelding 1" descr="Afbeelding met tekst, diagram, lijn, Parall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418910" name="Afbeelding 1" descr="Afbeelding met tekst, diagram, lijn, Parallel&#10;&#10;Door AI gegenereerde inhoud is mogelijk onjuis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2EFCE" w14:textId="2741F895" w:rsidR="00921116" w:rsidRPr="00311E7D" w:rsidRDefault="00480301" w:rsidP="0092111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Figure S6 | </w:t>
      </w:r>
      <w:r w:rsidR="0092111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/>
        </w:rPr>
        <w:t>Compound identification by High-Performance Liquid Chromatography</w:t>
      </w:r>
      <w:r w:rsidR="0092111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-M</w:t>
      </w:r>
      <w:r w:rsidR="0092111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/>
        </w:rPr>
        <w:t xml:space="preserve">ass </w:t>
      </w:r>
      <w:r w:rsidR="0092111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S</w:t>
      </w:r>
      <w:r w:rsidR="0092111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/>
        </w:rPr>
        <w:t>pectrometry.</w:t>
      </w:r>
      <w:r w:rsidR="0092111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(a) 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Mass spectra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(recorded from HPLC eluents at 2 minutes)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of brain samples from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EAE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mice treated 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with</w:t>
      </w:r>
      <w:r w:rsidR="00921116"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921116" w:rsidRPr="00311E7D">
        <w:rPr>
          <w:rFonts w:ascii="Times New Roman" w:hAnsi="Times New Roman" w:cs="Times New Roman"/>
          <w:sz w:val="20"/>
          <w:szCs w:val="20"/>
          <w:lang w:val="en-US"/>
        </w:rPr>
        <w:t>fiboflapon</w:t>
      </w:r>
      <w:proofErr w:type="spellEnd"/>
      <w:r w:rsidR="00921116"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(2 mg/kg, </w:t>
      </w:r>
      <w:proofErr w:type="spellStart"/>
      <w:r w:rsidR="00921116" w:rsidRPr="00311E7D">
        <w:rPr>
          <w:rFonts w:ascii="Times New Roman" w:hAnsi="Times New Roman" w:cs="Times New Roman"/>
          <w:sz w:val="20"/>
          <w:szCs w:val="20"/>
          <w:lang w:val="en-US"/>
        </w:rPr>
        <w:t>i.p</w:t>
      </w:r>
      <w:proofErr w:type="spellEnd"/>
      <w:r w:rsidR="00921116"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.), 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untreated and fiboflapon standard.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Fiboflapon</w:t>
      </w:r>
      <w:proofErr w:type="spellEnd"/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was identified as [C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38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H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43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N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3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O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4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S + H</w:t>
      </w:r>
      <w:proofErr w:type="gramStart"/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]</w:t>
      </w:r>
      <w:r w:rsidR="00C8312B"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proofErr w:type="gramEnd"/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peak (predicted m/z = 638.30527) that eluted at 2 minutes. M+1 and M+2 </w:t>
      </w:r>
      <w:proofErr w:type="spellStart"/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isotopologues</w:t>
      </w:r>
      <w:proofErr w:type="spellEnd"/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are marked. </w:t>
      </w:r>
      <w:r w:rsidR="0092111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/>
        </w:rPr>
        <w:t>(</w:t>
      </w:r>
      <w:r w:rsidR="0092111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b</w:t>
      </w:r>
      <w:r w:rsidR="0092111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/>
        </w:rPr>
        <w:t xml:space="preserve">) 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Retention time of the Fiboflapon was between 1.9 and 2.1 minutes, as w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</w:t>
      </w:r>
      <w:r w:rsidR="00921116" w:rsidRPr="00311E7D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s defined using a standard.</w:t>
      </w:r>
    </w:p>
    <w:p w14:paraId="22A37449" w14:textId="2806713A" w:rsidR="00921116" w:rsidRPr="00311E7D" w:rsidRDefault="00921116" w:rsidP="0092111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A9A5BC0" w14:textId="73B0E49D" w:rsidR="00480301" w:rsidRPr="00311E7D" w:rsidRDefault="00480301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</w:pPr>
    </w:p>
    <w:p w14:paraId="3EFFCA46" w14:textId="77777777" w:rsidR="008C1A0F" w:rsidRPr="00311E7D" w:rsidRDefault="008C1A0F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29ED28D" w14:textId="77777777" w:rsidR="00660CD5" w:rsidRPr="00311E7D" w:rsidRDefault="001B3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noProof/>
          <w:color w:val="666666"/>
          <w:sz w:val="20"/>
          <w:szCs w:val="20"/>
          <w:lang w:val="en-IN" w:eastAsia="en-IN"/>
        </w:rPr>
        <w:drawing>
          <wp:inline distT="0" distB="0" distL="0" distR="0" wp14:anchorId="03319251" wp14:editId="58DC8A86">
            <wp:extent cx="5758864" cy="5919470"/>
            <wp:effectExtent l="0" t="0" r="0" b="5080"/>
            <wp:docPr id="4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png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64" cy="5919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3034C7" w14:textId="3E10D6C4" w:rsidR="00394636" w:rsidRPr="00311E7D" w:rsidRDefault="001B353E" w:rsidP="000B4C5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Figure S</w:t>
      </w:r>
      <w:r w:rsidR="00480301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| Prophylactic FLAP antagonism does not affect body weight loss or 5-LOX product formation in EAE. (</w:t>
      </w:r>
      <w:proofErr w:type="gramStart"/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a-b</w:t>
      </w:r>
      <w:proofErr w:type="gramEnd"/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)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Body weight of EAE mice treated 9 days post-immunization with vehicle or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fiboflapon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 mg/kg,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i.p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daily, prophylactic) and sacrificed at the chronic stage (n=13 per group) (a) or peak of the disease (n=6 per group) (b). 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(c-d)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5-LOX product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 xml:space="preserve">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ratios to arachidonic acid (AA) (c) and their absolute concentrations (d) in the spinal cord (SC) of vehicle- and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-treated EAE mice treated 9 days post-immunization with vehicle or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fiboflapon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 mg/kg,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i.p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daily, prophylactic) and sacrificed at the chronic stage (n=13 per group). 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(e-f)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5-LOX product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 xml:space="preserve">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ratios to AA (e) and absolute 5-LOX product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 xml:space="preserve">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concentration (f) in the spinal cord (SC) of vehicle- and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-treated EAE mice treated 9 days post-immunization with vehicle or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fiboflapon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 mg/kg,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i.p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daily, prophylactic) and sacrificed at the peak of the disease (n=6 per group). Data is shown as box plots with median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quartiles; whiskers extend to the minimum and maximum. For two groups, a two-way ANOVA with Sidak’s correction was used. Exact p-values are reported and statistical significance is set at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p &lt;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0.05 (red).</w:t>
      </w:r>
    </w:p>
    <w:p w14:paraId="10B536CF" w14:textId="77777777" w:rsidR="000B4C50" w:rsidRPr="00311E7D" w:rsidRDefault="000B4C50" w:rsidP="000B4C5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D977D4F" w14:textId="77777777" w:rsidR="00660CD5" w:rsidRPr="00311E7D" w:rsidRDefault="001B3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noProof/>
          <w:color w:val="666666"/>
          <w:sz w:val="20"/>
          <w:szCs w:val="20"/>
          <w:lang w:val="en-IN" w:eastAsia="en-IN"/>
        </w:rPr>
        <w:drawing>
          <wp:inline distT="0" distB="0" distL="0" distR="0" wp14:anchorId="2B4FF3DD" wp14:editId="0718154D">
            <wp:extent cx="5720783" cy="3829050"/>
            <wp:effectExtent l="0" t="0" r="0" b="0"/>
            <wp:docPr id="4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7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783" cy="3829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AEFE1E" w14:textId="32DFD4E1" w:rsidR="00660CD5" w:rsidRPr="00311E7D" w:rsidRDefault="001B353E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Figure </w:t>
      </w:r>
      <w:r w:rsidR="000B4C50" w:rsidRPr="00311E7D">
        <w:rPr>
          <w:rFonts w:ascii="Times New Roman" w:eastAsia="Times New Roman" w:hAnsi="Times New Roman" w:cs="Times New Roman"/>
          <w:b/>
          <w:bCs/>
          <w:sz w:val="20"/>
          <w:szCs w:val="20"/>
        </w:rPr>
        <w:t>S8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|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Prophylactic FLAP antagonism does not alter immune cell infiltration or phenotype in chronic EAE. (a)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Representative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immunohistochemical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stainings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Ly6G/CD11b, CD3/CD45, </w:t>
      </w:r>
      <w:r w:rsidR="006B56DD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MHCII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/CD45 and F4/80/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iNOS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on SC tissue obtained from EAE animals treated with vehicle or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the prophylactic setting and sacrificed at the chronic phase of the disease (n=13 per group); scale bar 200 µm.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(b-e)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Quantification of Ly6G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/CD11b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cells (b, neutrophils), total CD45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cells (c, immune cells), CD3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CD45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cells (d, T cells), </w:t>
      </w:r>
      <w:r w:rsidR="006B56DD"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MHCII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CD45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cells (e, activated macrophages/microglia), comparing vehicle-treated and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-treated EAE mice sacrificed in the chronic phase of the disease (n=6 per group). 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(</w:t>
      </w:r>
      <w:proofErr w:type="gramStart"/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f-g</w:t>
      </w:r>
      <w:proofErr w:type="gramEnd"/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Quantification of total F4/80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cells (f) and percentage of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iNOS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cells within the F4/80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population (g) comparing vehicle-treated and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-treated EAE mice at the chronic stage of the disease. 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(h)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Quantitative PCR was used to determine mRNA levels of the pro-inflammatory genes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Ccl2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Ccl4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Ccl5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Il1b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Il6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Nos2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and </w:t>
      </w:r>
      <w:proofErr w:type="spellStart"/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Tnfa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to compare inflammation between treatment groups at the chronic stage of the disease. Data is shown as box plots with median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+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quartiles; whiskers extend to the minimum and maximum. For two groups, an unpaired t-test with Welch’s correction was used (b-g) or the row factor was calculated using a two-way ANOVA with Sidak’s correction (h). Exact p-values are reported and statistical significance is set at </w:t>
      </w:r>
      <w:r w:rsidRPr="00311E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p &lt;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0.05 (red).</w:t>
      </w:r>
    </w:p>
    <w:p w14:paraId="6ED61386" w14:textId="36D5A348" w:rsidR="000B4C50" w:rsidRPr="00311E7D" w:rsidRDefault="000B4C50" w:rsidP="000B4C5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11E7D">
        <w:rPr>
          <w:rFonts w:ascii="Times New Roman" w:hAnsi="Times New Roman" w:cs="Times New Roman"/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2BC5D801" wp14:editId="5FFC57FB">
            <wp:extent cx="5760720" cy="3890645"/>
            <wp:effectExtent l="0" t="0" r="0" b="0"/>
            <wp:docPr id="127494093" name="Picture 1" descr="Afbeelding met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4093" name="Picture 1" descr="Afbeelding met schermopname&#10;&#10;Door AI gegenereerde inhoud is mogelijk onjuis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Figure S9 | Pharmacological FLAP antagonism has limited effects on immune cell infiltration.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(a)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Disease scores of EAE mice treated 9 days post-immunization with vehicle or </w:t>
      </w:r>
      <w:proofErr w:type="spellStart"/>
      <w:r w:rsidRPr="00311E7D">
        <w:rPr>
          <w:rFonts w:ascii="Times New Roman" w:hAnsi="Times New Roman" w:cs="Times New Roman"/>
          <w:sz w:val="20"/>
          <w:szCs w:val="20"/>
          <w:lang w:val="en-US"/>
        </w:rPr>
        <w:t>FLAPa</w:t>
      </w:r>
      <w:proofErr w:type="spellEnd"/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311E7D">
        <w:rPr>
          <w:rFonts w:ascii="Times New Roman" w:hAnsi="Times New Roman" w:cs="Times New Roman"/>
          <w:sz w:val="20"/>
          <w:szCs w:val="20"/>
          <w:lang w:val="en-US"/>
        </w:rPr>
        <w:t>fiboflapon</w:t>
      </w:r>
      <w:proofErr w:type="spellEnd"/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2 mg/kg, </w:t>
      </w:r>
      <w:proofErr w:type="spellStart"/>
      <w:r w:rsidRPr="00311E7D">
        <w:rPr>
          <w:rFonts w:ascii="Times New Roman" w:hAnsi="Times New Roman" w:cs="Times New Roman"/>
          <w:sz w:val="20"/>
          <w:szCs w:val="20"/>
          <w:lang w:val="en-US"/>
        </w:rPr>
        <w:t>i.p</w:t>
      </w:r>
      <w:proofErr w:type="spellEnd"/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., daily, </w:t>
      </w:r>
      <w:r w:rsidRPr="00311E7D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= 10 per group) and sacrificed at the peak of disease (d17) for flow cytometric analysis of immune cell profiling. </w:t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(b)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bookmarkStart w:id="0" w:name="OLE_LINK1"/>
      <w:r w:rsidRPr="00311E7D">
        <w:rPr>
          <w:rFonts w:ascii="Times New Roman" w:hAnsi="Times New Roman" w:cs="Times New Roman"/>
          <w:sz w:val="20"/>
          <w:szCs w:val="20"/>
          <w:lang w:val="en-US"/>
        </w:rPr>
        <w:t>Flow cytometric determination of leukocytes (CD45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) immune cell composition in blood, spleen, and spinal cord within the viable cell population. </w:t>
      </w:r>
      <w:bookmarkEnd w:id="0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(</w:t>
      </w:r>
      <w:proofErr w:type="gramStart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c-e</w:t>
      </w:r>
      <w:proofErr w:type="gramEnd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)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Flow cytometric determination of immune cell composition in blood (c), spleen (d), and spinal cord (e) within the leukocyte population (CD45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). Data is shown as box plots with median + quartiles; whiskers extend to minimum and maximum. Data were statistically tested by two-way ANOVA with Sidak’s correction. Exact p-values are reported and statistical significance is set at p &lt; 0.05 (red).</w:t>
      </w:r>
    </w:p>
    <w:p w14:paraId="25B7F896" w14:textId="77777777" w:rsidR="000B4C50" w:rsidRPr="00311E7D" w:rsidRDefault="000B4C50" w:rsidP="000B4C5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48D612E" w14:textId="5412FB34" w:rsidR="000B4C50" w:rsidRPr="00311E7D" w:rsidRDefault="000B4C5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11E7D">
        <w:rPr>
          <w:rFonts w:ascii="Times New Roman" w:hAnsi="Times New Roman" w:cs="Times New Roman"/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6EC82C2C" wp14:editId="6CB17D80">
            <wp:extent cx="5760720" cy="6991985"/>
            <wp:effectExtent l="0" t="0" r="0" b="0"/>
            <wp:docPr id="531075949" name="Picture 1" descr="Afbeelding met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075949" name="Picture 1" descr="Afbeelding met schermopname&#10;&#10;Door AI gegenereerde inhoud is mogelijk onjuis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9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Figure S10 | Pharmacological FLAP antagonism skews immune cell subsets towards a subtle reduction in inflammatory phenotype.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(a)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Inflammatory monocytes (Ly6C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high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) as percentage of total monocytes (F480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low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CD11b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) in the blood and spleen (</w:t>
      </w:r>
      <w:r w:rsidRPr="00311E7D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= 10 per group). </w:t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(b) 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Percentage of natural killer T cells (NKT cells, NK1.1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CD3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) within the viable cell population of blood cells and splenocytes (</w:t>
      </w:r>
      <w:r w:rsidRPr="00311E7D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= 10 per group). </w:t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(</w:t>
      </w:r>
      <w:proofErr w:type="gramStart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c-d</w:t>
      </w:r>
      <w:proofErr w:type="gramEnd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) 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CD8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and CD4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T cell subsets in blood (c) and spleen (d) (</w:t>
      </w:r>
      <w:r w:rsidRPr="00311E7D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= 10 per group). </w:t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(</w:t>
      </w:r>
      <w:proofErr w:type="gramStart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e-h</w:t>
      </w:r>
      <w:proofErr w:type="gramEnd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) 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CD8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(e) and CD4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(f) T cell subsets and their respective naïve (CD44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low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CD62L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high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), effector (CD44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high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CD62L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low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), and memory (CD44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hi 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CD62L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hi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) subpopulations, B cell (CD19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) subpopulations (g), and dendritic cell (DC, CD11c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MHCII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) subpopulations (h) in the blood (</w:t>
      </w:r>
      <w:r w:rsidRPr="00311E7D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= 10 per group). </w:t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(</w:t>
      </w:r>
      <w:proofErr w:type="spellStart"/>
      <w:proofErr w:type="gramStart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proofErr w:type="spellEnd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-l</w:t>
      </w:r>
      <w:proofErr w:type="gramEnd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) 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>CD8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311E7D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311E7D">
        <w:rPr>
          <w:rFonts w:ascii="Times New Roman" w:hAnsi="Times New Roman" w:cs="Times New Roman"/>
          <w:sz w:val="20"/>
          <w:szCs w:val="20"/>
          <w:lang w:val="en-US"/>
        </w:rPr>
        <w:t>) and CD4</w:t>
      </w:r>
      <w:r w:rsidRPr="00311E7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(j) T cell subsets and their respective naïve, effector, and memory subpopulations, B cell subpopulations (k), and dendritic cell (DC) subpopulations (l) in the spleen (</w:t>
      </w:r>
      <w:r w:rsidRPr="00311E7D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= 10 per group). </w:t>
      </w:r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(</w:t>
      </w:r>
      <w:proofErr w:type="gramStart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m-n</w:t>
      </w:r>
      <w:proofErr w:type="gramEnd"/>
      <w:r w:rsidRPr="00311E7D">
        <w:rPr>
          <w:rFonts w:ascii="Times New Roman" w:hAnsi="Times New Roman" w:cs="Times New Roman"/>
          <w:b/>
          <w:bCs/>
          <w:sz w:val="20"/>
          <w:szCs w:val="20"/>
          <w:lang w:val="en-US"/>
        </w:rPr>
        <w:t>)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B cell subpopulations (m), and dendritic cell (DC) subpopulations (n) in the spinal cord (</w:t>
      </w:r>
      <w:r w:rsidRPr="00311E7D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Pr="00311E7D">
        <w:rPr>
          <w:rFonts w:ascii="Times New Roman" w:hAnsi="Times New Roman" w:cs="Times New Roman"/>
          <w:sz w:val="20"/>
          <w:szCs w:val="20"/>
          <w:lang w:val="en-US"/>
        </w:rPr>
        <w:t xml:space="preserve"> = 10 per group). Data is shown as box plots with median + quartiles; whiskers extend to minimum and maximum. Data were statistically tested by two-way ANOVA with Sidak’s correction. Exact p-values are reported and statistical significance is set at p &lt; 0.05 (red).</w:t>
      </w:r>
    </w:p>
    <w:p w14:paraId="56A052ED" w14:textId="77777777" w:rsidR="000B4C50" w:rsidRPr="00311E7D" w:rsidRDefault="000B4C5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F578423" w14:textId="77777777" w:rsidR="00660CD5" w:rsidRPr="00311E7D" w:rsidRDefault="001B3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noProof/>
          <w:color w:val="666666"/>
          <w:sz w:val="20"/>
          <w:szCs w:val="20"/>
          <w:lang w:val="en-IN" w:eastAsia="en-IN"/>
        </w:rPr>
        <w:drawing>
          <wp:inline distT="0" distB="0" distL="0" distR="0" wp14:anchorId="1DC539B8" wp14:editId="2E855724">
            <wp:extent cx="4943866" cy="4197509"/>
            <wp:effectExtent l="0" t="0" r="9525" b="0"/>
            <wp:docPr id="4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5.png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866" cy="41975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2FE116" w14:textId="384B3EF3" w:rsidR="00660CD5" w:rsidRPr="00BC45F6" w:rsidRDefault="001B353E" w:rsidP="00BC45F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Figure S</w:t>
      </w:r>
      <w:r w:rsidR="00394636" w:rsidRPr="00311E7D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="00BC45F6" w:rsidRPr="00311E7D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| Therapeutic FLAP antagonism does not affect body weight or downstream 5-LOX product formation in the EAE model. (a)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Body weight of EAE mice treated from the peak of the disease (17 days post-immunization) with vehicle or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fiboflapon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 mg/kg,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i.p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daily, therapeutic) and sacrificed at the chronic stage (n=13 per group) </w:t>
      </w:r>
      <w:r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(b-c)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5-LOX product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 xml:space="preserve"> </w:t>
      </w:r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ratio to arachidonic acid (AA) (b) or their absolute concentration (c) in the SC of vehicle- and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-treated EAE mice treated from the peak of the disease (17 days post-immunization) with vehicle or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FLAPa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fiboflapon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 mg/kg, </w:t>
      </w:r>
      <w:proofErr w:type="spellStart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i.p</w:t>
      </w:r>
      <w:proofErr w:type="spellEnd"/>
      <w:r w:rsidRPr="00311E7D">
        <w:rPr>
          <w:rFonts w:ascii="Times New Roman" w:eastAsia="Times New Roman" w:hAnsi="Times New Roman" w:cs="Times New Roman"/>
          <w:color w:val="000000"/>
          <w:sz w:val="20"/>
          <w:szCs w:val="20"/>
        </w:rPr>
        <w:t>. daily, therapeutic) and sacrificed at the chronic stage (n=13 per group). Data have been statistically tested for two groups by a two-way ANOVA with Sidak’s correction</w:t>
      </w:r>
      <w:r w:rsidR="00BC45F6" w:rsidRPr="00311E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bookmarkStart w:id="1" w:name="_GoBack"/>
      <w:bookmarkEnd w:id="1"/>
    </w:p>
    <w:sectPr w:rsidR="00660CD5" w:rsidRPr="00BC45F6" w:rsidSect="00311E7D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4EB846" w14:textId="77777777" w:rsidR="00F0157E" w:rsidRDefault="00F0157E">
      <w:pPr>
        <w:spacing w:after="0" w:line="240" w:lineRule="auto"/>
      </w:pPr>
      <w:r>
        <w:separator/>
      </w:r>
    </w:p>
  </w:endnote>
  <w:endnote w:type="continuationSeparator" w:id="0">
    <w:p w14:paraId="35E5B2F2" w14:textId="77777777" w:rsidR="00F0157E" w:rsidRDefault="00F0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C30A0B-F5CF-498E-9230-5916E92BEB47}"/>
    <w:embedBold r:id="rId2" w:fontKey="{72F45526-4189-4050-9BB1-335F5F7AE663}"/>
    <w:embedItalic r:id="rId3" w:fontKey="{24542A48-C3AA-4D3E-8733-E0716CCDFB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6640DD1F-3C31-4EE0-8950-316FD535997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3D476AE-D671-412F-9B53-1394810E71B5}"/>
    <w:embedBold r:id="rId6" w:fontKey="{8D21FA14-A3C8-44D1-BDC0-963959184E2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A2E3F96E-CD88-4A3A-9520-78F4D8B387C4}"/>
  </w:font>
  <w:font w:name="Noto Sans Symbols">
    <w:altName w:val="Calibri"/>
    <w:charset w:val="00"/>
    <w:family w:val="auto"/>
    <w:pitch w:val="default"/>
    <w:embedRegular r:id="rId8" w:fontKey="{187137E4-FF99-4944-9A1A-FBDFBB55C0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A076CC" w14:textId="77777777" w:rsidR="00660CD5" w:rsidRDefault="00660CD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B21855" w14:textId="77777777" w:rsidR="00F0157E" w:rsidRDefault="00F0157E">
      <w:pPr>
        <w:spacing w:after="0" w:line="240" w:lineRule="auto"/>
      </w:pPr>
      <w:r>
        <w:separator/>
      </w:r>
    </w:p>
  </w:footnote>
  <w:footnote w:type="continuationSeparator" w:id="0">
    <w:p w14:paraId="6E1D55E0" w14:textId="77777777" w:rsidR="00F0157E" w:rsidRDefault="00F01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4185B" w14:textId="77777777" w:rsidR="00660CD5" w:rsidRDefault="00660CD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CD5"/>
    <w:rsid w:val="000154D3"/>
    <w:rsid w:val="00091E10"/>
    <w:rsid w:val="000B4C50"/>
    <w:rsid w:val="001322B6"/>
    <w:rsid w:val="001B353E"/>
    <w:rsid w:val="001D1CE5"/>
    <w:rsid w:val="00210C74"/>
    <w:rsid w:val="002152E4"/>
    <w:rsid w:val="002765A2"/>
    <w:rsid w:val="002B013D"/>
    <w:rsid w:val="00307B6D"/>
    <w:rsid w:val="00311E7D"/>
    <w:rsid w:val="00393264"/>
    <w:rsid w:val="00394636"/>
    <w:rsid w:val="003B4932"/>
    <w:rsid w:val="00445003"/>
    <w:rsid w:val="00480301"/>
    <w:rsid w:val="004E38DC"/>
    <w:rsid w:val="00526C91"/>
    <w:rsid w:val="005434C3"/>
    <w:rsid w:val="00562065"/>
    <w:rsid w:val="005A068F"/>
    <w:rsid w:val="005F7458"/>
    <w:rsid w:val="00617A7B"/>
    <w:rsid w:val="00660CD5"/>
    <w:rsid w:val="00664168"/>
    <w:rsid w:val="00670480"/>
    <w:rsid w:val="0068274C"/>
    <w:rsid w:val="006B56DD"/>
    <w:rsid w:val="00727899"/>
    <w:rsid w:val="00746B0B"/>
    <w:rsid w:val="0080720C"/>
    <w:rsid w:val="008C1A0F"/>
    <w:rsid w:val="008C35A1"/>
    <w:rsid w:val="008E7FA6"/>
    <w:rsid w:val="00921116"/>
    <w:rsid w:val="009B5E3B"/>
    <w:rsid w:val="00B03382"/>
    <w:rsid w:val="00BC45F6"/>
    <w:rsid w:val="00C800E5"/>
    <w:rsid w:val="00C8312B"/>
    <w:rsid w:val="00CD48E1"/>
    <w:rsid w:val="00D11159"/>
    <w:rsid w:val="00D33F9B"/>
    <w:rsid w:val="00D34B10"/>
    <w:rsid w:val="00D6145F"/>
    <w:rsid w:val="00DC4204"/>
    <w:rsid w:val="00DE1951"/>
    <w:rsid w:val="00E724E9"/>
    <w:rsid w:val="00E83439"/>
    <w:rsid w:val="00F0157E"/>
    <w:rsid w:val="00F52EF0"/>
    <w:rsid w:val="00FE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B3E9A"/>
  <w15:docId w15:val="{AA35779B-29DC-42A7-AD56-47780A4D6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line="360" w:lineRule="auto"/>
      <w:ind w:left="360" w:hanging="360"/>
      <w:jc w:val="both"/>
      <w:outlineLvl w:val="0"/>
    </w:pPr>
    <w:rPr>
      <w:b/>
      <w:bCs/>
      <w:smallCap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 w:line="480" w:lineRule="auto"/>
      <w:ind w:left="360" w:hanging="360"/>
      <w:jc w:val="both"/>
      <w:outlineLvl w:val="1"/>
    </w:pPr>
    <w:rPr>
      <w:b/>
      <w:bCs/>
      <w:sz w:val="18"/>
      <w:szCs w:val="1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hDThesis">
    <w:name w:val="PhD_Thesis"/>
    <w:basedOn w:val="Normal"/>
    <w:link w:val="PhDThesisChar"/>
    <w:qFormat/>
    <w:rsid w:val="00076141"/>
    <w:pPr>
      <w:spacing w:line="360" w:lineRule="auto"/>
    </w:pPr>
    <w:rPr>
      <w:rFonts w:ascii="Verdana" w:hAnsi="Verdana"/>
      <w:sz w:val="18"/>
    </w:rPr>
  </w:style>
  <w:style w:type="character" w:customStyle="1" w:styleId="PhDThesisChar">
    <w:name w:val="PhD_Thesis Char"/>
    <w:basedOn w:val="DefaultParagraphFont"/>
    <w:link w:val="PhDThesis"/>
    <w:rsid w:val="00076141"/>
    <w:rPr>
      <w:rFonts w:ascii="Verdana" w:hAnsi="Verdana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9121E"/>
    <w:rPr>
      <w:rFonts w:asciiTheme="majorHAnsi" w:eastAsiaTheme="majorEastAsia" w:hAnsiTheme="majorHAnsi" w:cstheme="majorBidi"/>
      <w:b/>
      <w:bCs/>
      <w:caps/>
      <w:spacing w:val="4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76141"/>
    <w:rPr>
      <w:rFonts w:asciiTheme="majorHAnsi" w:eastAsiaTheme="majorEastAsia" w:hAnsiTheme="majorHAnsi" w:cstheme="majorBidi"/>
      <w:b/>
      <w:bCs/>
      <w:sz w:val="1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7C4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4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7FA"/>
    <w:rPr>
      <w:rFonts w:ascii="Calibri" w:eastAsia="Calibri" w:hAnsi="Calibri" w:cs="Calibri"/>
      <w:sz w:val="20"/>
      <w:szCs w:val="20"/>
      <w:lang w:val="en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2D3"/>
    <w:rPr>
      <w:rFonts w:asciiTheme="minorHAnsi" w:eastAsiaTheme="minorHAnsi" w:hAnsiTheme="minorHAnsi" w:cstheme="minorBidi"/>
      <w:b/>
      <w:bCs/>
      <w:lang w:val="nl-BE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2D3"/>
    <w:rPr>
      <w:rFonts w:ascii="Calibri" w:eastAsia="Calibri" w:hAnsi="Calibri" w:cs="Calibri"/>
      <w:b/>
      <w:bCs/>
      <w:sz w:val="20"/>
      <w:szCs w:val="20"/>
      <w:lang w:val="en" w:eastAsia="nl-NL"/>
    </w:rPr>
  </w:style>
  <w:style w:type="paragraph" w:styleId="Footer">
    <w:name w:val="footer"/>
    <w:basedOn w:val="Normal"/>
    <w:link w:val="FooterChar"/>
    <w:uiPriority w:val="99"/>
    <w:unhideWhenUsed/>
    <w:rsid w:val="00F82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C6"/>
  </w:style>
  <w:style w:type="paragraph" w:styleId="Revision">
    <w:name w:val="Revision"/>
    <w:hidden/>
    <w:uiPriority w:val="99"/>
    <w:semiHidden/>
    <w:rsid w:val="00F82BC6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tif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/IT+IZYTky0WZ3pB0pkW2DKP3w==">CgMxLjA4AHIhMS1tcDZINks3Sjlqd25aWUE1WV9fY2FLN3FSV1JBLWM1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Konings, J</dc:creator>
  <cp:lastModifiedBy>Aruna Sethu</cp:lastModifiedBy>
  <cp:revision>3</cp:revision>
  <dcterms:created xsi:type="dcterms:W3CDTF">2026-06-06T20:18:00Z</dcterms:created>
  <dcterms:modified xsi:type="dcterms:W3CDTF">2026-07-02T00:20:00Z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31d90bc2-c452-4806-aecd-426f8f3dfce0</vt:lpwstr>
  </property>
</Properties>
</file>