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ABC" w:rsidRPr="009B57ED" w:rsidRDefault="000C3ABC" w:rsidP="000C3ABC">
      <w:pPr>
        <w:pStyle w:val="Heading1"/>
        <w:pageBreakBefore/>
        <w:rPr>
          <w:rFonts w:ascii="Times New Roman" w:hAnsi="Times New Roman" w:cs="Times New Roman"/>
        </w:rPr>
      </w:pPr>
      <w:r w:rsidRPr="009B57ED">
        <w:rPr>
          <w:rFonts w:ascii="Times New Roman" w:hAnsi="Times New Roman" w:cs="Times New Roman"/>
        </w:rPr>
        <w:t>Supplementary Tables and Figures</w:t>
      </w:r>
    </w:p>
    <w:p w:rsidR="000C3ABC" w:rsidRPr="009B57ED" w:rsidRDefault="000C3ABC" w:rsidP="000C3ABC">
      <w:r w:rsidRPr="009B57ED">
        <w:rPr>
          <w:b/>
          <w:bCs/>
        </w:rPr>
        <w:t>Supplementary Table 1. Biomarkers cohort characteristics.</w:t>
      </w:r>
      <w:r w:rsidRPr="009B57ED">
        <w:t xml:space="preserve"> Abbreviations: SD, standard deviation; IQR, interquartile range; PDGF-BB, platelet derived growth factor-BB; VCAM-1, vascular cell adhesion molecule-1.</w:t>
      </w:r>
    </w:p>
    <w:p w:rsidR="000C3ABC" w:rsidRPr="009B57ED" w:rsidRDefault="000C3ABC" w:rsidP="000C3ABC">
      <w:pPr>
        <w:jc w:val="center"/>
      </w:pPr>
      <w:r w:rsidRPr="009B57ED">
        <w:rPr>
          <w:noProof/>
          <w:lang w:eastAsia="en-IN"/>
        </w:rPr>
        <w:drawing>
          <wp:inline distT="0" distB="0" distL="0" distR="0" wp14:anchorId="243714EB" wp14:editId="702A3789">
            <wp:extent cx="2867558" cy="196272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558" cy="196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ABC" w:rsidRPr="009B57ED" w:rsidRDefault="000C3ABC" w:rsidP="000C3ABC">
      <w:pPr>
        <w:rPr>
          <w:rFonts w:eastAsiaTheme="minorEastAsia"/>
          <w:kern w:val="24"/>
        </w:rPr>
      </w:pPr>
      <w:bookmarkStart w:id="0" w:name="_GoBack"/>
      <w:bookmarkEnd w:id="0"/>
    </w:p>
    <w:p w:rsidR="000C3ABC" w:rsidRPr="009B57ED" w:rsidRDefault="000C3ABC" w:rsidP="000C3ABC">
      <w:pPr>
        <w:jc w:val="center"/>
        <w:rPr>
          <w:b/>
          <w:bCs/>
        </w:rPr>
      </w:pPr>
      <w:r w:rsidRPr="009B57ED">
        <w:rPr>
          <w:b/>
          <w:bCs/>
          <w:noProof/>
          <w:lang w:eastAsia="en-IN"/>
        </w:rPr>
        <w:drawing>
          <wp:inline distT="0" distB="0" distL="0" distR="0" wp14:anchorId="1EA17D81" wp14:editId="345885B8">
            <wp:extent cx="5716150" cy="2448537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364" cy="244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ABC" w:rsidRPr="009B57ED" w:rsidRDefault="000C3ABC" w:rsidP="000C3ABC">
      <w:pPr>
        <w:rPr>
          <w:szCs w:val="20"/>
        </w:rPr>
      </w:pPr>
      <w:r w:rsidRPr="009B57ED">
        <w:rPr>
          <w:b/>
          <w:bCs/>
          <w:szCs w:val="20"/>
        </w:rPr>
        <w:t xml:space="preserve">Supplementary Figure 1. Multispectral imaging and spectral </w:t>
      </w:r>
      <w:proofErr w:type="spellStart"/>
      <w:r w:rsidRPr="009B57ED">
        <w:rPr>
          <w:b/>
          <w:bCs/>
          <w:szCs w:val="20"/>
        </w:rPr>
        <w:t>unmixing</w:t>
      </w:r>
      <w:proofErr w:type="spellEnd"/>
      <w:r w:rsidRPr="009B57ED">
        <w:rPr>
          <w:b/>
          <w:bCs/>
          <w:szCs w:val="20"/>
        </w:rPr>
        <w:t xml:space="preserve"> workflow</w:t>
      </w:r>
      <w:r w:rsidRPr="009B57ED">
        <w:rPr>
          <w:rFonts w:eastAsiaTheme="minorEastAsia" w:cs="Times New Roman"/>
          <w:b/>
          <w:bCs/>
          <w:kern w:val="24"/>
          <w:szCs w:val="20"/>
        </w:rPr>
        <w:t xml:space="preserve">. </w:t>
      </w:r>
      <w:proofErr w:type="spellStart"/>
      <w:r w:rsidRPr="009B57ED">
        <w:rPr>
          <w:szCs w:val="20"/>
        </w:rPr>
        <w:t>Brightfield</w:t>
      </w:r>
      <w:proofErr w:type="spellEnd"/>
      <w:r w:rsidRPr="009B57ED">
        <w:rPr>
          <w:szCs w:val="20"/>
        </w:rPr>
        <w:t xml:space="preserve"> images were decomposed into marker-specific channels using acquisitions across 20 wavelengths. Reference spectra were obtained from single-stained tissues from the same cohort, allowing separation of individual chromogenic signals, including signals that are difficult to distinguish visually. This approach also avoids limitations associated with </w:t>
      </w:r>
      <w:proofErr w:type="spellStart"/>
      <w:r w:rsidRPr="009B57ED">
        <w:rPr>
          <w:szCs w:val="20"/>
        </w:rPr>
        <w:t>autofluorescence</w:t>
      </w:r>
      <w:proofErr w:type="spellEnd"/>
      <w:r w:rsidRPr="009B57ED">
        <w:rPr>
          <w:szCs w:val="20"/>
        </w:rPr>
        <w:t xml:space="preserve"> in aged post-mortem human tissue.</w:t>
      </w:r>
    </w:p>
    <w:p w:rsidR="000C3ABC" w:rsidRPr="009B57ED" w:rsidRDefault="000C3ABC" w:rsidP="000C3ABC">
      <w:pPr>
        <w:rPr>
          <w:rFonts w:eastAsiaTheme="minorEastAsia" w:cs="Times New Roman"/>
          <w:kern w:val="24"/>
          <w:sz w:val="21"/>
          <w:szCs w:val="21"/>
        </w:rPr>
      </w:pPr>
    </w:p>
    <w:p w:rsidR="000C3ABC" w:rsidRPr="009B57ED" w:rsidRDefault="000C3ABC" w:rsidP="000C3ABC">
      <w:pPr>
        <w:rPr>
          <w:rFonts w:eastAsiaTheme="minorEastAsia" w:cs="Times New Roman"/>
          <w:kern w:val="24"/>
          <w:sz w:val="21"/>
          <w:szCs w:val="21"/>
        </w:rPr>
      </w:pPr>
      <w:r w:rsidRPr="009B57ED">
        <w:rPr>
          <w:rFonts w:eastAsiaTheme="minorEastAsia" w:cs="Times New Roman"/>
          <w:kern w:val="24"/>
          <w:sz w:val="21"/>
          <w:szCs w:val="21"/>
        </w:rPr>
        <w:br w:type="page"/>
      </w:r>
    </w:p>
    <w:p w:rsidR="000C3ABC" w:rsidRPr="009B57ED" w:rsidRDefault="000C3ABC" w:rsidP="000C3ABC">
      <w:pPr>
        <w:jc w:val="center"/>
        <w:rPr>
          <w:rFonts w:eastAsiaTheme="minorEastAsia" w:cs="Times New Roman"/>
          <w:kern w:val="24"/>
          <w:sz w:val="21"/>
          <w:szCs w:val="21"/>
        </w:rPr>
      </w:pPr>
      <w:r w:rsidRPr="009B57ED">
        <w:rPr>
          <w:rFonts w:eastAsiaTheme="minorEastAsia" w:cs="Times New Roman"/>
          <w:noProof/>
          <w:kern w:val="24"/>
          <w:sz w:val="21"/>
          <w:szCs w:val="21"/>
          <w:lang w:eastAsia="en-IN"/>
        </w:rPr>
        <w:lastRenderedPageBreak/>
        <w:drawing>
          <wp:inline distT="0" distB="0" distL="0" distR="0" wp14:anchorId="430EC51A" wp14:editId="28AC4772">
            <wp:extent cx="4841271" cy="431472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650" cy="4321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ABC" w:rsidRPr="009B57ED" w:rsidRDefault="000C3ABC" w:rsidP="000C3ABC">
      <w:pPr>
        <w:rPr>
          <w:rFonts w:eastAsiaTheme="minorEastAsia" w:cs="Times New Roman"/>
          <w:iCs/>
          <w:kern w:val="24"/>
          <w:sz w:val="21"/>
          <w:szCs w:val="21"/>
        </w:rPr>
      </w:pPr>
      <w:r w:rsidRPr="009B57ED">
        <w:rPr>
          <w:b/>
          <w:bCs/>
          <w:iCs/>
          <w:szCs w:val="20"/>
        </w:rPr>
        <w:t xml:space="preserve">Supplementary Figure 2. Microglial morphology across </w:t>
      </w:r>
      <w:proofErr w:type="spellStart"/>
      <w:r w:rsidRPr="009B57ED">
        <w:rPr>
          <w:b/>
          <w:bCs/>
          <w:iCs/>
          <w:szCs w:val="20"/>
        </w:rPr>
        <w:t>cSVD</w:t>
      </w:r>
      <w:proofErr w:type="spellEnd"/>
      <w:r w:rsidRPr="009B57ED">
        <w:rPr>
          <w:b/>
          <w:bCs/>
          <w:iCs/>
          <w:szCs w:val="20"/>
        </w:rPr>
        <w:t xml:space="preserve"> severity groups. </w:t>
      </w:r>
      <w:r w:rsidRPr="009B57ED">
        <w:rPr>
          <w:iCs/>
          <w:szCs w:val="20"/>
        </w:rPr>
        <w:t>(</w:t>
      </w:r>
      <w:r w:rsidRPr="009B57ED">
        <w:rPr>
          <w:b/>
          <w:bCs/>
          <w:iCs/>
          <w:szCs w:val="20"/>
        </w:rPr>
        <w:t>a</w:t>
      </w:r>
      <w:r w:rsidRPr="009B57ED">
        <w:rPr>
          <w:iCs/>
          <w:szCs w:val="20"/>
        </w:rPr>
        <w:t xml:space="preserve">) Representative Iba1-positive microglia from no </w:t>
      </w:r>
      <w:proofErr w:type="spellStart"/>
      <w:r w:rsidRPr="009B57ED">
        <w:rPr>
          <w:iCs/>
          <w:szCs w:val="20"/>
        </w:rPr>
        <w:t>cSVD</w:t>
      </w:r>
      <w:proofErr w:type="spellEnd"/>
      <w:r w:rsidRPr="009B57ED">
        <w:rPr>
          <w:iCs/>
          <w:szCs w:val="20"/>
        </w:rPr>
        <w:t xml:space="preserve"> control, mild, moderate, and severe </w:t>
      </w:r>
      <w:proofErr w:type="spellStart"/>
      <w:r w:rsidRPr="009B57ED">
        <w:rPr>
          <w:iCs/>
          <w:szCs w:val="20"/>
        </w:rPr>
        <w:t>cSVD</w:t>
      </w:r>
      <w:proofErr w:type="spellEnd"/>
      <w:r w:rsidRPr="009B57ED">
        <w:rPr>
          <w:iCs/>
          <w:szCs w:val="20"/>
        </w:rPr>
        <w:t xml:space="preserve"> cases. (</w:t>
      </w:r>
      <w:r w:rsidRPr="009B57ED">
        <w:rPr>
          <w:b/>
          <w:bCs/>
          <w:iCs/>
          <w:szCs w:val="20"/>
        </w:rPr>
        <w:t>b</w:t>
      </w:r>
      <w:r w:rsidRPr="009B57ED">
        <w:rPr>
          <w:iCs/>
          <w:szCs w:val="20"/>
        </w:rPr>
        <w:t>) Illustrative Iba1 segmentation presenting the image-analysis approach used to quantify microglial features in 4-µm tissue sections. (</w:t>
      </w:r>
      <w:r w:rsidRPr="009B57ED">
        <w:rPr>
          <w:b/>
          <w:bCs/>
          <w:iCs/>
          <w:szCs w:val="20"/>
        </w:rPr>
        <w:t>c</w:t>
      </w:r>
      <w:r w:rsidRPr="009B57ED">
        <w:rPr>
          <w:iCs/>
          <w:szCs w:val="20"/>
        </w:rPr>
        <w:t xml:space="preserve">) Iba1-positive area in grey and white matter across </w:t>
      </w:r>
      <w:proofErr w:type="spellStart"/>
      <w:r w:rsidRPr="009B57ED">
        <w:rPr>
          <w:iCs/>
          <w:szCs w:val="20"/>
        </w:rPr>
        <w:t>cSVD</w:t>
      </w:r>
      <w:proofErr w:type="spellEnd"/>
      <w:r w:rsidRPr="009B57ED">
        <w:rPr>
          <w:iCs/>
          <w:szCs w:val="20"/>
        </w:rPr>
        <w:t xml:space="preserve"> severity groups. (</w:t>
      </w:r>
      <w:r w:rsidRPr="009B57ED">
        <w:rPr>
          <w:b/>
          <w:bCs/>
          <w:iCs/>
          <w:szCs w:val="20"/>
        </w:rPr>
        <w:t>d</w:t>
      </w:r>
      <w:r w:rsidRPr="009B57ED">
        <w:rPr>
          <w:iCs/>
          <w:szCs w:val="20"/>
        </w:rPr>
        <w:t xml:space="preserve">) Number of segmented Iba1-positive particles in grey and white matter across </w:t>
      </w:r>
      <w:proofErr w:type="spellStart"/>
      <w:r w:rsidRPr="009B57ED">
        <w:rPr>
          <w:iCs/>
          <w:szCs w:val="20"/>
        </w:rPr>
        <w:t>cSVD</w:t>
      </w:r>
      <w:proofErr w:type="spellEnd"/>
      <w:r w:rsidRPr="009B57ED">
        <w:rPr>
          <w:iCs/>
          <w:szCs w:val="20"/>
        </w:rPr>
        <w:t xml:space="preserve"> severity groups. (</w:t>
      </w:r>
      <w:r w:rsidRPr="009B57ED">
        <w:rPr>
          <w:b/>
          <w:bCs/>
          <w:iCs/>
          <w:szCs w:val="20"/>
        </w:rPr>
        <w:t>e</w:t>
      </w:r>
      <w:r w:rsidRPr="009B57ED">
        <w:rPr>
          <w:iCs/>
          <w:szCs w:val="20"/>
        </w:rPr>
        <w:t xml:space="preserve">) Median area of segmented Iba1-positive particles in grey and white matter across </w:t>
      </w:r>
      <w:proofErr w:type="spellStart"/>
      <w:r w:rsidRPr="009B57ED">
        <w:rPr>
          <w:iCs/>
          <w:szCs w:val="20"/>
        </w:rPr>
        <w:t>cSVD</w:t>
      </w:r>
      <w:proofErr w:type="spellEnd"/>
      <w:r w:rsidRPr="009B57ED">
        <w:rPr>
          <w:iCs/>
          <w:szCs w:val="20"/>
        </w:rPr>
        <w:t xml:space="preserve"> severity groups. Post-hoc comparisons were performed using estimated marginal means (</w:t>
      </w:r>
      <w:proofErr w:type="spellStart"/>
      <w:r w:rsidRPr="009B57ED">
        <w:rPr>
          <w:iCs/>
          <w:szCs w:val="20"/>
        </w:rPr>
        <w:t>emmeans</w:t>
      </w:r>
      <w:proofErr w:type="spellEnd"/>
      <w:r w:rsidRPr="009B57ED">
        <w:rPr>
          <w:iCs/>
          <w:szCs w:val="20"/>
        </w:rPr>
        <w:t xml:space="preserve">) to test differences between </w:t>
      </w:r>
      <w:proofErr w:type="spellStart"/>
      <w:r w:rsidRPr="009B57ED">
        <w:rPr>
          <w:iCs/>
          <w:szCs w:val="20"/>
        </w:rPr>
        <w:t>cSVD</w:t>
      </w:r>
      <w:proofErr w:type="spellEnd"/>
      <w:r w:rsidRPr="009B57ED">
        <w:rPr>
          <w:iCs/>
          <w:szCs w:val="20"/>
        </w:rPr>
        <w:t xml:space="preserve"> severity groups (p &lt; 0.05). Abbreviations: </w:t>
      </w:r>
      <w:proofErr w:type="spellStart"/>
      <w:r w:rsidRPr="009B57ED">
        <w:rPr>
          <w:iCs/>
          <w:szCs w:val="20"/>
        </w:rPr>
        <w:t>cSVD</w:t>
      </w:r>
      <w:proofErr w:type="spellEnd"/>
      <w:r w:rsidRPr="009B57ED">
        <w:rPr>
          <w:iCs/>
          <w:szCs w:val="20"/>
        </w:rPr>
        <w:t xml:space="preserve">, cerebral small vessel disease; Ctrl, no </w:t>
      </w:r>
      <w:proofErr w:type="spellStart"/>
      <w:r w:rsidRPr="009B57ED">
        <w:rPr>
          <w:iCs/>
          <w:szCs w:val="20"/>
        </w:rPr>
        <w:t>cSVD</w:t>
      </w:r>
      <w:proofErr w:type="spellEnd"/>
      <w:r w:rsidRPr="009B57ED">
        <w:rPr>
          <w:iCs/>
          <w:szCs w:val="20"/>
        </w:rPr>
        <w:t xml:space="preserve"> control; Mild, mild </w:t>
      </w:r>
      <w:proofErr w:type="spellStart"/>
      <w:r w:rsidRPr="009B57ED">
        <w:rPr>
          <w:iCs/>
          <w:szCs w:val="20"/>
        </w:rPr>
        <w:t>cSVD</w:t>
      </w:r>
      <w:proofErr w:type="spellEnd"/>
      <w:r w:rsidRPr="009B57ED">
        <w:rPr>
          <w:iCs/>
          <w:szCs w:val="20"/>
        </w:rPr>
        <w:t xml:space="preserve">; Mod, moderate </w:t>
      </w:r>
      <w:proofErr w:type="spellStart"/>
      <w:r w:rsidRPr="009B57ED">
        <w:rPr>
          <w:iCs/>
          <w:szCs w:val="20"/>
        </w:rPr>
        <w:t>cSVD</w:t>
      </w:r>
      <w:proofErr w:type="spellEnd"/>
      <w:r w:rsidRPr="009B57ED">
        <w:rPr>
          <w:iCs/>
          <w:szCs w:val="20"/>
        </w:rPr>
        <w:t xml:space="preserve">; </w:t>
      </w:r>
      <w:proofErr w:type="spellStart"/>
      <w:r w:rsidRPr="009B57ED">
        <w:rPr>
          <w:iCs/>
          <w:szCs w:val="20"/>
        </w:rPr>
        <w:t>Sev</w:t>
      </w:r>
      <w:proofErr w:type="spellEnd"/>
      <w:r w:rsidRPr="009B57ED">
        <w:rPr>
          <w:iCs/>
          <w:szCs w:val="20"/>
        </w:rPr>
        <w:t xml:space="preserve">, severe </w:t>
      </w:r>
      <w:proofErr w:type="spellStart"/>
      <w:r w:rsidRPr="009B57ED">
        <w:rPr>
          <w:iCs/>
          <w:szCs w:val="20"/>
        </w:rPr>
        <w:t>cSVD</w:t>
      </w:r>
      <w:proofErr w:type="spellEnd"/>
      <w:r w:rsidRPr="009B57ED">
        <w:rPr>
          <w:iCs/>
          <w:szCs w:val="20"/>
        </w:rPr>
        <w:t>; Iba1, ionized calcium-binding adaptor molecule 1.</w:t>
      </w:r>
    </w:p>
    <w:p w:rsidR="000C3ABC" w:rsidRPr="009B57ED" w:rsidRDefault="000C3ABC" w:rsidP="000C3ABC">
      <w:pPr>
        <w:rPr>
          <w:rFonts w:eastAsiaTheme="minorEastAsia" w:cs="Times New Roman"/>
          <w:kern w:val="24"/>
          <w:sz w:val="21"/>
          <w:szCs w:val="21"/>
        </w:rPr>
      </w:pPr>
    </w:p>
    <w:p w:rsidR="000C3ABC" w:rsidRPr="009B57ED" w:rsidRDefault="000C3ABC" w:rsidP="000C3ABC">
      <w:pPr>
        <w:rPr>
          <w:rFonts w:eastAsiaTheme="minorEastAsia" w:cs="Times New Roman"/>
          <w:kern w:val="24"/>
          <w:sz w:val="21"/>
          <w:szCs w:val="21"/>
        </w:rPr>
      </w:pPr>
    </w:p>
    <w:p w:rsidR="000C3ABC" w:rsidRPr="009B57ED" w:rsidRDefault="000C3ABC" w:rsidP="000C3ABC">
      <w:pPr>
        <w:rPr>
          <w:rFonts w:cs="Times New Roman"/>
        </w:rPr>
      </w:pPr>
    </w:p>
    <w:p w:rsidR="000C3ABC" w:rsidRPr="009B57ED" w:rsidRDefault="000C3ABC" w:rsidP="000C3ABC">
      <w:pPr>
        <w:pageBreakBefore/>
        <w:jc w:val="center"/>
        <w:rPr>
          <w:rFonts w:cs="Times New Roman"/>
        </w:rPr>
      </w:pPr>
      <w:r w:rsidRPr="009B57ED">
        <w:rPr>
          <w:noProof/>
          <w:lang w:eastAsia="en-IN"/>
        </w:rPr>
        <w:lastRenderedPageBreak/>
        <w:drawing>
          <wp:inline distT="0" distB="0" distL="0" distR="0" wp14:anchorId="743DA173" wp14:editId="7B67AC17">
            <wp:extent cx="5744451" cy="335461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017" cy="3358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ABC" w:rsidRPr="009B57ED" w:rsidRDefault="000C3ABC" w:rsidP="000C3ABC">
      <w:pPr>
        <w:rPr>
          <w:rFonts w:eastAsiaTheme="minorEastAsia" w:cs="Times New Roman"/>
          <w:kern w:val="24"/>
          <w:sz w:val="21"/>
          <w:szCs w:val="21"/>
        </w:rPr>
      </w:pPr>
      <w:r w:rsidRPr="009B57ED">
        <w:rPr>
          <w:rFonts w:cs="Times New Roman"/>
          <w:b/>
          <w:bCs/>
          <w:sz w:val="21"/>
          <w:szCs w:val="21"/>
        </w:rPr>
        <w:t>Supplementary Figure 3. Vascular density, vascular diameter, PECAM-1, PDGFRβ, and VCAM-1 signals across marker-based clusters.</w:t>
      </w:r>
      <w:r w:rsidRPr="009B57ED">
        <w:rPr>
          <w:rFonts w:cs="Times New Roman"/>
          <w:sz w:val="21"/>
          <w:szCs w:val="21"/>
        </w:rPr>
        <w:t xml:space="preserve"> </w:t>
      </w:r>
      <w:r w:rsidRPr="009B57ED">
        <w:rPr>
          <w:rFonts w:eastAsiaTheme="minorEastAsia" w:cs="Times New Roman"/>
          <w:kern w:val="24"/>
          <w:sz w:val="21"/>
          <w:szCs w:val="21"/>
        </w:rPr>
        <w:t>Linear mixed-effects modelling was used to account for case-level variability, with tissue compartment (grey/white matter) and images included as hierarchical factors. (</w:t>
      </w:r>
      <w:r w:rsidRPr="009B57ED">
        <w:rPr>
          <w:rFonts w:eastAsiaTheme="minorEastAsia" w:cs="Times New Roman"/>
          <w:b/>
          <w:bCs/>
          <w:kern w:val="24"/>
          <w:sz w:val="21"/>
          <w:szCs w:val="21"/>
        </w:rPr>
        <w:t>a</w:t>
      </w:r>
      <w:r w:rsidRPr="009B57ED">
        <w:rPr>
          <w:rFonts w:eastAsiaTheme="minorEastAsia" w:cs="Times New Roman"/>
          <w:kern w:val="24"/>
          <w:sz w:val="21"/>
          <w:szCs w:val="21"/>
        </w:rPr>
        <w:t>) Vascular density, (</w:t>
      </w:r>
      <w:r w:rsidRPr="009B57ED">
        <w:rPr>
          <w:rFonts w:eastAsiaTheme="minorEastAsia" w:cs="Times New Roman"/>
          <w:b/>
          <w:bCs/>
          <w:kern w:val="24"/>
          <w:sz w:val="21"/>
          <w:szCs w:val="21"/>
        </w:rPr>
        <w:t>b</w:t>
      </w:r>
      <w:r w:rsidRPr="009B57ED">
        <w:rPr>
          <w:rFonts w:eastAsiaTheme="minorEastAsia" w:cs="Times New Roman"/>
          <w:kern w:val="24"/>
          <w:sz w:val="21"/>
          <w:szCs w:val="21"/>
        </w:rPr>
        <w:t>) vascular diameter, (</w:t>
      </w:r>
      <w:r w:rsidRPr="009B57ED">
        <w:rPr>
          <w:rFonts w:eastAsiaTheme="minorEastAsia" w:cs="Times New Roman"/>
          <w:b/>
          <w:bCs/>
          <w:kern w:val="24"/>
          <w:sz w:val="21"/>
          <w:szCs w:val="21"/>
        </w:rPr>
        <w:t>c</w:t>
      </w:r>
      <w:r w:rsidRPr="009B57ED">
        <w:rPr>
          <w:rFonts w:eastAsiaTheme="minorEastAsia" w:cs="Times New Roman"/>
          <w:kern w:val="24"/>
          <w:sz w:val="21"/>
          <w:szCs w:val="21"/>
        </w:rPr>
        <w:t>) PECAM-1 signal, (</w:t>
      </w:r>
      <w:r w:rsidRPr="009B57ED">
        <w:rPr>
          <w:rFonts w:eastAsiaTheme="minorEastAsia" w:cs="Times New Roman"/>
          <w:b/>
          <w:bCs/>
          <w:kern w:val="24"/>
          <w:sz w:val="21"/>
          <w:szCs w:val="21"/>
        </w:rPr>
        <w:t>d</w:t>
      </w:r>
      <w:r w:rsidRPr="009B57ED">
        <w:rPr>
          <w:rFonts w:eastAsiaTheme="minorEastAsia" w:cs="Times New Roman"/>
          <w:kern w:val="24"/>
          <w:sz w:val="21"/>
          <w:szCs w:val="21"/>
        </w:rPr>
        <w:t>) PDGFRβ signal, and (</w:t>
      </w:r>
      <w:r w:rsidRPr="009B57ED">
        <w:rPr>
          <w:rFonts w:eastAsiaTheme="minorEastAsia" w:cs="Times New Roman"/>
          <w:b/>
          <w:bCs/>
          <w:kern w:val="24"/>
          <w:sz w:val="21"/>
          <w:szCs w:val="21"/>
        </w:rPr>
        <w:t>e</w:t>
      </w:r>
      <w:r w:rsidRPr="009B57ED">
        <w:rPr>
          <w:rFonts w:eastAsiaTheme="minorEastAsia" w:cs="Times New Roman"/>
          <w:kern w:val="24"/>
          <w:sz w:val="21"/>
          <w:szCs w:val="21"/>
        </w:rPr>
        <w:t>) VCAM-1 signal. Post-hoc comparisons were performed using estimated marginal means (</w:t>
      </w:r>
      <w:proofErr w:type="spellStart"/>
      <w:r w:rsidRPr="009B57ED">
        <w:rPr>
          <w:rFonts w:eastAsiaTheme="minorEastAsia" w:cs="Times New Roman"/>
          <w:kern w:val="24"/>
          <w:sz w:val="21"/>
          <w:szCs w:val="21"/>
        </w:rPr>
        <w:t>emmeans</w:t>
      </w:r>
      <w:proofErr w:type="spellEnd"/>
      <w:r w:rsidRPr="009B57ED">
        <w:rPr>
          <w:rFonts w:eastAsiaTheme="minorEastAsia" w:cs="Times New Roman"/>
          <w:kern w:val="24"/>
          <w:sz w:val="21"/>
          <w:szCs w:val="21"/>
        </w:rPr>
        <w:t xml:space="preserve">) and detected significant changes between clusters (*, p-value &lt; 0.05; **, p-value &lt; 0.01; ***, p-value &lt; 0.001). Abbreviations: </w:t>
      </w:r>
      <w:r w:rsidRPr="009B57ED">
        <w:rPr>
          <w:rFonts w:cs="Times New Roman"/>
          <w:sz w:val="21"/>
          <w:szCs w:val="21"/>
        </w:rPr>
        <w:t>AU, arbitrary units;</w:t>
      </w:r>
      <w:r w:rsidRPr="009B57ED">
        <w:rPr>
          <w:rFonts w:eastAsiaTheme="minorEastAsia" w:cs="Times New Roman"/>
          <w:kern w:val="24"/>
          <w:sz w:val="21"/>
          <w:szCs w:val="21"/>
        </w:rPr>
        <w:t xml:space="preserve"> C1, cluster 1; C2, cluster 2; C3, cluster 3; PECAM-1, platelet endothelial cell adhesion molecule-1; PDGFRβ, platelet-derived growth factor receptor-β; VCAM-1, vascular cell adhesion molecule-1.</w:t>
      </w:r>
    </w:p>
    <w:p w:rsidR="000C3ABC" w:rsidRPr="009B57ED" w:rsidRDefault="000C3ABC" w:rsidP="000C3ABC">
      <w:pPr>
        <w:rPr>
          <w:rFonts w:eastAsiaTheme="minorEastAsia" w:cs="Times New Roman"/>
          <w:kern w:val="24"/>
          <w:sz w:val="21"/>
          <w:szCs w:val="21"/>
        </w:rPr>
      </w:pPr>
    </w:p>
    <w:p w:rsidR="000C3ABC" w:rsidRPr="009B57ED" w:rsidRDefault="000C3ABC" w:rsidP="000C3ABC">
      <w:pPr>
        <w:rPr>
          <w:rFonts w:eastAsiaTheme="minorEastAsia" w:cs="Times New Roman"/>
          <w:kern w:val="24"/>
          <w:sz w:val="21"/>
          <w:szCs w:val="21"/>
        </w:rPr>
      </w:pPr>
    </w:p>
    <w:p w:rsidR="000C3ABC" w:rsidRPr="009B57ED" w:rsidRDefault="000C3ABC" w:rsidP="000C3ABC">
      <w:pPr>
        <w:rPr>
          <w:rFonts w:eastAsiaTheme="minorEastAsia" w:cs="Times New Roman"/>
          <w:kern w:val="24"/>
          <w:sz w:val="21"/>
          <w:szCs w:val="21"/>
        </w:rPr>
      </w:pPr>
    </w:p>
    <w:p w:rsidR="000C3ABC" w:rsidRPr="009B57ED" w:rsidRDefault="000C3ABC" w:rsidP="000C3ABC">
      <w:pPr>
        <w:rPr>
          <w:rFonts w:eastAsiaTheme="minorEastAsia" w:cs="Times New Roman"/>
          <w:kern w:val="24"/>
          <w:sz w:val="21"/>
          <w:szCs w:val="21"/>
        </w:rPr>
      </w:pPr>
      <w:r w:rsidRPr="009B57ED">
        <w:rPr>
          <w:rFonts w:eastAsiaTheme="minorEastAsia" w:cs="Times New Roman"/>
          <w:kern w:val="24"/>
          <w:sz w:val="21"/>
          <w:szCs w:val="21"/>
        </w:rPr>
        <w:br w:type="page"/>
      </w:r>
    </w:p>
    <w:p w:rsidR="000C3ABC" w:rsidRPr="009B57ED" w:rsidRDefault="000C3ABC" w:rsidP="000C3ABC">
      <w:pPr>
        <w:jc w:val="center"/>
        <w:rPr>
          <w:rFonts w:eastAsiaTheme="minorEastAsia" w:cs="Times New Roman"/>
          <w:b/>
          <w:bCs/>
          <w:kern w:val="24"/>
          <w:szCs w:val="20"/>
        </w:rPr>
      </w:pPr>
      <w:r w:rsidRPr="009B57ED">
        <w:rPr>
          <w:rFonts w:eastAsiaTheme="minorEastAsia" w:cs="Times New Roman"/>
          <w:b/>
          <w:bCs/>
          <w:noProof/>
          <w:kern w:val="24"/>
          <w:sz w:val="21"/>
          <w:szCs w:val="21"/>
          <w:lang w:eastAsia="en-IN"/>
        </w:rPr>
        <w:lastRenderedPageBreak/>
        <w:drawing>
          <wp:inline distT="0" distB="0" distL="0" distR="0" wp14:anchorId="5341DD2C" wp14:editId="20CED3B4">
            <wp:extent cx="5722012" cy="2607060"/>
            <wp:effectExtent l="0" t="0" r="0" b="317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993" cy="260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ABC" w:rsidRPr="009B57ED" w:rsidRDefault="000C3ABC" w:rsidP="000C3ABC">
      <w:pPr>
        <w:rPr>
          <w:rFonts w:eastAsiaTheme="minorEastAsia" w:cs="Times New Roman"/>
          <w:kern w:val="24"/>
          <w:sz w:val="21"/>
          <w:szCs w:val="21"/>
        </w:rPr>
      </w:pPr>
      <w:r w:rsidRPr="009B57ED">
        <w:rPr>
          <w:rFonts w:eastAsiaTheme="minorEastAsia" w:cs="Times New Roman"/>
          <w:b/>
          <w:bCs/>
          <w:kern w:val="24"/>
          <w:szCs w:val="20"/>
        </w:rPr>
        <w:t xml:space="preserve">Supplementary Figure 4. </w:t>
      </w:r>
      <w:r w:rsidRPr="009B57ED">
        <w:rPr>
          <w:b/>
          <w:bCs/>
          <w:szCs w:val="20"/>
        </w:rPr>
        <w:t>Blood biomarkers analysis reveals associations of circulating PDGF-BB and VCAM-1 with age.</w:t>
      </w:r>
      <w:r w:rsidRPr="009B57ED">
        <w:rPr>
          <w:rFonts w:eastAsiaTheme="minorEastAsia" w:cs="Times New Roman"/>
          <w:b/>
          <w:bCs/>
          <w:kern w:val="24"/>
          <w:szCs w:val="20"/>
        </w:rPr>
        <w:t xml:space="preserve"> </w:t>
      </w:r>
      <w:r w:rsidRPr="009B57ED">
        <w:rPr>
          <w:rFonts w:eastAsiaTheme="minorEastAsia" w:cs="Times New Roman"/>
          <w:kern w:val="24"/>
          <w:szCs w:val="20"/>
        </w:rPr>
        <w:t>(</w:t>
      </w:r>
      <w:r w:rsidRPr="009B57ED">
        <w:rPr>
          <w:rFonts w:eastAsiaTheme="minorEastAsia" w:cs="Times New Roman"/>
          <w:b/>
          <w:bCs/>
          <w:kern w:val="24"/>
          <w:szCs w:val="20"/>
        </w:rPr>
        <w:t>a</w:t>
      </w:r>
      <w:r w:rsidRPr="009B57ED">
        <w:rPr>
          <w:rFonts w:eastAsiaTheme="minorEastAsia" w:cs="Times New Roman"/>
          <w:kern w:val="24"/>
          <w:szCs w:val="20"/>
        </w:rPr>
        <w:t xml:space="preserve">) Individual patient readouts of blood PDGF-BB and VCAM-1. </w:t>
      </w:r>
      <w:r w:rsidRPr="009B57ED">
        <w:rPr>
          <w:szCs w:val="20"/>
        </w:rPr>
        <w:t>Half-maximal PDGF-BB and VCAM-1 values were used to define four exploratory quadrants:</w:t>
      </w:r>
      <w:r w:rsidRPr="009B57ED">
        <w:rPr>
          <w:rFonts w:eastAsiaTheme="minorEastAsia" w:cs="Times New Roman"/>
          <w:kern w:val="24"/>
          <w:szCs w:val="20"/>
        </w:rPr>
        <w:t xml:space="preserve"> low VCAM-1 / high PDGF-BB (V-/P+, n=41), low VCAM-1 / low PDGF-BB (V-/P-, n=99), high VCAM-1 / low PDGF-BB (V+/P-, n=34) and </w:t>
      </w:r>
      <w:r w:rsidRPr="009B57ED">
        <w:rPr>
          <w:szCs w:val="20"/>
        </w:rPr>
        <w:t>high VCAM-1 / high PDGF-BB (V+/P+, n=5). The V+/P+ group was excluded from subsequent group comparisons because of its small size. (</w:t>
      </w:r>
      <w:r w:rsidRPr="009B57ED">
        <w:rPr>
          <w:b/>
          <w:bCs/>
          <w:szCs w:val="20"/>
        </w:rPr>
        <w:t>b</w:t>
      </w:r>
      <w:r w:rsidRPr="009B57ED">
        <w:rPr>
          <w:szCs w:val="20"/>
        </w:rPr>
        <w:t>) Age was significantly higher in the V+/P- quadrant. (</w:t>
      </w:r>
      <w:r w:rsidRPr="009B57ED">
        <w:rPr>
          <w:b/>
          <w:bCs/>
          <w:szCs w:val="20"/>
        </w:rPr>
        <w:t>c</w:t>
      </w:r>
      <w:r w:rsidRPr="009B57ED">
        <w:rPr>
          <w:szCs w:val="20"/>
        </w:rPr>
        <w:t xml:space="preserve">) </w:t>
      </w:r>
      <w:proofErr w:type="spellStart"/>
      <w:r w:rsidRPr="009B57ED">
        <w:rPr>
          <w:szCs w:val="20"/>
        </w:rPr>
        <w:t>Fazekas</w:t>
      </w:r>
      <w:proofErr w:type="spellEnd"/>
      <w:r w:rsidRPr="009B57ED">
        <w:rPr>
          <w:szCs w:val="20"/>
        </w:rPr>
        <w:t xml:space="preserve"> score was not significantly different between the three main quadrants after adjustment. </w:t>
      </w:r>
      <w:r w:rsidRPr="009B57ED">
        <w:rPr>
          <w:iCs/>
          <w:szCs w:val="20"/>
        </w:rPr>
        <w:t>Post-hoc comparisons were performed using estimated marginal means (</w:t>
      </w:r>
      <w:proofErr w:type="spellStart"/>
      <w:r w:rsidRPr="009B57ED">
        <w:rPr>
          <w:iCs/>
          <w:szCs w:val="20"/>
        </w:rPr>
        <w:t>emmeans</w:t>
      </w:r>
      <w:proofErr w:type="spellEnd"/>
      <w:r w:rsidRPr="009B57ED">
        <w:rPr>
          <w:iCs/>
          <w:szCs w:val="20"/>
        </w:rPr>
        <w:t xml:space="preserve">) from regression models. Age comparisons were adjusted for hypertension, diabetes, and </w:t>
      </w:r>
      <w:proofErr w:type="spellStart"/>
      <w:r w:rsidRPr="009B57ED">
        <w:rPr>
          <w:iCs/>
          <w:szCs w:val="20"/>
        </w:rPr>
        <w:t>hypercholesterolaemia</w:t>
      </w:r>
      <w:proofErr w:type="spellEnd"/>
      <w:r w:rsidRPr="009B57ED">
        <w:rPr>
          <w:iCs/>
          <w:szCs w:val="20"/>
        </w:rPr>
        <w:t xml:space="preserve">, while </w:t>
      </w:r>
      <w:proofErr w:type="spellStart"/>
      <w:r w:rsidRPr="009B57ED">
        <w:rPr>
          <w:iCs/>
          <w:szCs w:val="20"/>
        </w:rPr>
        <w:t>Fazekas</w:t>
      </w:r>
      <w:proofErr w:type="spellEnd"/>
      <w:r w:rsidRPr="009B57ED">
        <w:rPr>
          <w:iCs/>
          <w:szCs w:val="20"/>
        </w:rPr>
        <w:t xml:space="preserve"> score comparisons were additionally adjusted for age </w:t>
      </w:r>
      <w:r w:rsidRPr="009B57ED">
        <w:rPr>
          <w:szCs w:val="20"/>
        </w:rPr>
        <w:t>(</w:t>
      </w:r>
      <w:proofErr w:type="spellStart"/>
      <w:r w:rsidRPr="009B57ED">
        <w:rPr>
          <w:szCs w:val="20"/>
        </w:rPr>
        <w:t>n.s</w:t>
      </w:r>
      <w:proofErr w:type="spellEnd"/>
      <w:r w:rsidRPr="009B57ED">
        <w:rPr>
          <w:szCs w:val="20"/>
        </w:rPr>
        <w:t>., not significant; **, p-value &lt; 0.01; ***, p-value &lt; 0.001). Abbreviations: PDGF-BB: platelet-derived growth factor BB, VCAM-1, vascular cell adhesion molecule-1.</w:t>
      </w:r>
    </w:p>
    <w:p w:rsidR="00E75276" w:rsidRDefault="00E75276"/>
    <w:sectPr w:rsidR="00E75276" w:rsidSect="00214E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ABC"/>
    <w:rsid w:val="0000465C"/>
    <w:rsid w:val="00006797"/>
    <w:rsid w:val="00007978"/>
    <w:rsid w:val="0002534E"/>
    <w:rsid w:val="00027E22"/>
    <w:rsid w:val="00033A75"/>
    <w:rsid w:val="000355A5"/>
    <w:rsid w:val="00035FA8"/>
    <w:rsid w:val="000438F0"/>
    <w:rsid w:val="000477CA"/>
    <w:rsid w:val="000565AD"/>
    <w:rsid w:val="00082801"/>
    <w:rsid w:val="000A45BD"/>
    <w:rsid w:val="000A7F7C"/>
    <w:rsid w:val="000B363A"/>
    <w:rsid w:val="000B53A0"/>
    <w:rsid w:val="000B6F1A"/>
    <w:rsid w:val="000C290A"/>
    <w:rsid w:val="000C3ABC"/>
    <w:rsid w:val="000C69C0"/>
    <w:rsid w:val="000C7606"/>
    <w:rsid w:val="000D43F9"/>
    <w:rsid w:val="000E4EC8"/>
    <w:rsid w:val="000F07C0"/>
    <w:rsid w:val="000F47A2"/>
    <w:rsid w:val="000F62A0"/>
    <w:rsid w:val="00106A70"/>
    <w:rsid w:val="00110FC8"/>
    <w:rsid w:val="00113131"/>
    <w:rsid w:val="00117542"/>
    <w:rsid w:val="0012058E"/>
    <w:rsid w:val="00121CEF"/>
    <w:rsid w:val="00122E86"/>
    <w:rsid w:val="00124AE2"/>
    <w:rsid w:val="00130665"/>
    <w:rsid w:val="00130A91"/>
    <w:rsid w:val="001365D9"/>
    <w:rsid w:val="001377E4"/>
    <w:rsid w:val="001414F6"/>
    <w:rsid w:val="00150CEA"/>
    <w:rsid w:val="001556C7"/>
    <w:rsid w:val="00162CAA"/>
    <w:rsid w:val="00194607"/>
    <w:rsid w:val="00196BD6"/>
    <w:rsid w:val="001B238C"/>
    <w:rsid w:val="001B306A"/>
    <w:rsid w:val="001E0D3B"/>
    <w:rsid w:val="001E7E59"/>
    <w:rsid w:val="001F1947"/>
    <w:rsid w:val="001F1BE0"/>
    <w:rsid w:val="001F33DE"/>
    <w:rsid w:val="001F3D5A"/>
    <w:rsid w:val="001F5327"/>
    <w:rsid w:val="001F5396"/>
    <w:rsid w:val="00203E8A"/>
    <w:rsid w:val="00206AE6"/>
    <w:rsid w:val="00214EF5"/>
    <w:rsid w:val="0021525A"/>
    <w:rsid w:val="00230A9F"/>
    <w:rsid w:val="00233F4B"/>
    <w:rsid w:val="00242B28"/>
    <w:rsid w:val="00270BA7"/>
    <w:rsid w:val="00270FD3"/>
    <w:rsid w:val="00296E16"/>
    <w:rsid w:val="002A26ED"/>
    <w:rsid w:val="002A5C66"/>
    <w:rsid w:val="002B10EC"/>
    <w:rsid w:val="002B5D3F"/>
    <w:rsid w:val="002C13FB"/>
    <w:rsid w:val="002C29F8"/>
    <w:rsid w:val="002C682C"/>
    <w:rsid w:val="002D1B53"/>
    <w:rsid w:val="00320B49"/>
    <w:rsid w:val="00333B3D"/>
    <w:rsid w:val="003404A9"/>
    <w:rsid w:val="00346ABC"/>
    <w:rsid w:val="003538C9"/>
    <w:rsid w:val="00355B32"/>
    <w:rsid w:val="0035686B"/>
    <w:rsid w:val="00361260"/>
    <w:rsid w:val="00366853"/>
    <w:rsid w:val="00370136"/>
    <w:rsid w:val="00376E7E"/>
    <w:rsid w:val="0038339A"/>
    <w:rsid w:val="00383DD8"/>
    <w:rsid w:val="00383FEA"/>
    <w:rsid w:val="0039067C"/>
    <w:rsid w:val="003B04C4"/>
    <w:rsid w:val="003B6489"/>
    <w:rsid w:val="003D07F7"/>
    <w:rsid w:val="003E01B7"/>
    <w:rsid w:val="003E2493"/>
    <w:rsid w:val="003E3C2D"/>
    <w:rsid w:val="003E5814"/>
    <w:rsid w:val="003F00FD"/>
    <w:rsid w:val="00403B31"/>
    <w:rsid w:val="004070FB"/>
    <w:rsid w:val="00411E6A"/>
    <w:rsid w:val="00413945"/>
    <w:rsid w:val="004139A9"/>
    <w:rsid w:val="00417C15"/>
    <w:rsid w:val="00425474"/>
    <w:rsid w:val="00452934"/>
    <w:rsid w:val="00473389"/>
    <w:rsid w:val="00481E88"/>
    <w:rsid w:val="00482D57"/>
    <w:rsid w:val="00487716"/>
    <w:rsid w:val="00492009"/>
    <w:rsid w:val="004939E5"/>
    <w:rsid w:val="00496630"/>
    <w:rsid w:val="004A484F"/>
    <w:rsid w:val="004B1074"/>
    <w:rsid w:val="004C34BF"/>
    <w:rsid w:val="004D7D36"/>
    <w:rsid w:val="004E2894"/>
    <w:rsid w:val="004E2DDD"/>
    <w:rsid w:val="004E7833"/>
    <w:rsid w:val="004F29E3"/>
    <w:rsid w:val="004F738B"/>
    <w:rsid w:val="0051087F"/>
    <w:rsid w:val="00532156"/>
    <w:rsid w:val="005456E5"/>
    <w:rsid w:val="00547C1C"/>
    <w:rsid w:val="00560305"/>
    <w:rsid w:val="00560866"/>
    <w:rsid w:val="00561289"/>
    <w:rsid w:val="005676E3"/>
    <w:rsid w:val="0057379E"/>
    <w:rsid w:val="00575072"/>
    <w:rsid w:val="00577C83"/>
    <w:rsid w:val="005932BF"/>
    <w:rsid w:val="005973E2"/>
    <w:rsid w:val="005978F1"/>
    <w:rsid w:val="005A21A1"/>
    <w:rsid w:val="005A2770"/>
    <w:rsid w:val="005B2611"/>
    <w:rsid w:val="005C1A90"/>
    <w:rsid w:val="005D0840"/>
    <w:rsid w:val="005D4F20"/>
    <w:rsid w:val="005E0C9E"/>
    <w:rsid w:val="005F6D5C"/>
    <w:rsid w:val="00611125"/>
    <w:rsid w:val="0061440D"/>
    <w:rsid w:val="006204D9"/>
    <w:rsid w:val="00630A67"/>
    <w:rsid w:val="00632D1D"/>
    <w:rsid w:val="00633523"/>
    <w:rsid w:val="006379FA"/>
    <w:rsid w:val="00651940"/>
    <w:rsid w:val="00653202"/>
    <w:rsid w:val="00661F07"/>
    <w:rsid w:val="0066391D"/>
    <w:rsid w:val="00692794"/>
    <w:rsid w:val="00692D72"/>
    <w:rsid w:val="006A0D8A"/>
    <w:rsid w:val="006A57E8"/>
    <w:rsid w:val="006B4F86"/>
    <w:rsid w:val="006C03B6"/>
    <w:rsid w:val="006C1868"/>
    <w:rsid w:val="006C69A6"/>
    <w:rsid w:val="006D6462"/>
    <w:rsid w:val="006E3BB1"/>
    <w:rsid w:val="006E4982"/>
    <w:rsid w:val="006F2968"/>
    <w:rsid w:val="006F4456"/>
    <w:rsid w:val="00704D69"/>
    <w:rsid w:val="00721EFC"/>
    <w:rsid w:val="00723351"/>
    <w:rsid w:val="00726733"/>
    <w:rsid w:val="00730352"/>
    <w:rsid w:val="007444CC"/>
    <w:rsid w:val="00776F1A"/>
    <w:rsid w:val="0077773D"/>
    <w:rsid w:val="0078190D"/>
    <w:rsid w:val="00786D63"/>
    <w:rsid w:val="007A3C83"/>
    <w:rsid w:val="007B2E74"/>
    <w:rsid w:val="007C450C"/>
    <w:rsid w:val="007C4BE1"/>
    <w:rsid w:val="007C6FB4"/>
    <w:rsid w:val="007D0CBC"/>
    <w:rsid w:val="007D2F72"/>
    <w:rsid w:val="007D35DC"/>
    <w:rsid w:val="007D40A0"/>
    <w:rsid w:val="007E5D5C"/>
    <w:rsid w:val="008109DB"/>
    <w:rsid w:val="008130ED"/>
    <w:rsid w:val="00817520"/>
    <w:rsid w:val="00821952"/>
    <w:rsid w:val="00825EF3"/>
    <w:rsid w:val="00841EA9"/>
    <w:rsid w:val="00842D52"/>
    <w:rsid w:val="00883F7D"/>
    <w:rsid w:val="00887235"/>
    <w:rsid w:val="008A24AB"/>
    <w:rsid w:val="008B007C"/>
    <w:rsid w:val="008B0ECC"/>
    <w:rsid w:val="008B3508"/>
    <w:rsid w:val="008B6EC8"/>
    <w:rsid w:val="008C335B"/>
    <w:rsid w:val="008D0B58"/>
    <w:rsid w:val="008D2BB3"/>
    <w:rsid w:val="008D3C90"/>
    <w:rsid w:val="008D6903"/>
    <w:rsid w:val="008D6FFD"/>
    <w:rsid w:val="008E101B"/>
    <w:rsid w:val="008F38CC"/>
    <w:rsid w:val="00905A95"/>
    <w:rsid w:val="009120B7"/>
    <w:rsid w:val="00920BBC"/>
    <w:rsid w:val="009367A1"/>
    <w:rsid w:val="00941FA2"/>
    <w:rsid w:val="00943384"/>
    <w:rsid w:val="00947F01"/>
    <w:rsid w:val="009545BB"/>
    <w:rsid w:val="0095470D"/>
    <w:rsid w:val="0095626B"/>
    <w:rsid w:val="0096563F"/>
    <w:rsid w:val="00967474"/>
    <w:rsid w:val="009728B7"/>
    <w:rsid w:val="0097297A"/>
    <w:rsid w:val="00984102"/>
    <w:rsid w:val="00984FAF"/>
    <w:rsid w:val="0098598A"/>
    <w:rsid w:val="00992F17"/>
    <w:rsid w:val="009B175D"/>
    <w:rsid w:val="009B19E8"/>
    <w:rsid w:val="009B41E2"/>
    <w:rsid w:val="009E4FDB"/>
    <w:rsid w:val="009E621B"/>
    <w:rsid w:val="009F102E"/>
    <w:rsid w:val="00A00834"/>
    <w:rsid w:val="00A04A0D"/>
    <w:rsid w:val="00A071FE"/>
    <w:rsid w:val="00A10EB1"/>
    <w:rsid w:val="00A13617"/>
    <w:rsid w:val="00A15AD2"/>
    <w:rsid w:val="00A17C62"/>
    <w:rsid w:val="00A30125"/>
    <w:rsid w:val="00A3418B"/>
    <w:rsid w:val="00A3618E"/>
    <w:rsid w:val="00A43B55"/>
    <w:rsid w:val="00A53EC0"/>
    <w:rsid w:val="00A77368"/>
    <w:rsid w:val="00A77AE3"/>
    <w:rsid w:val="00A85A56"/>
    <w:rsid w:val="00A870D1"/>
    <w:rsid w:val="00A904EA"/>
    <w:rsid w:val="00A91C15"/>
    <w:rsid w:val="00A93750"/>
    <w:rsid w:val="00AA1092"/>
    <w:rsid w:val="00AA5C2A"/>
    <w:rsid w:val="00AB02EC"/>
    <w:rsid w:val="00AB0FA9"/>
    <w:rsid w:val="00AB20D8"/>
    <w:rsid w:val="00AC01FA"/>
    <w:rsid w:val="00AC1433"/>
    <w:rsid w:val="00AC385D"/>
    <w:rsid w:val="00AD25A0"/>
    <w:rsid w:val="00AF0E6E"/>
    <w:rsid w:val="00AF12E0"/>
    <w:rsid w:val="00AF4BC7"/>
    <w:rsid w:val="00B06E3C"/>
    <w:rsid w:val="00B267C8"/>
    <w:rsid w:val="00B26D39"/>
    <w:rsid w:val="00B34A01"/>
    <w:rsid w:val="00B377C8"/>
    <w:rsid w:val="00B4561E"/>
    <w:rsid w:val="00B457DE"/>
    <w:rsid w:val="00B53472"/>
    <w:rsid w:val="00B65B8E"/>
    <w:rsid w:val="00B6720A"/>
    <w:rsid w:val="00B67E0E"/>
    <w:rsid w:val="00B708E3"/>
    <w:rsid w:val="00B75656"/>
    <w:rsid w:val="00B81D40"/>
    <w:rsid w:val="00B8268E"/>
    <w:rsid w:val="00B9275D"/>
    <w:rsid w:val="00B957DA"/>
    <w:rsid w:val="00BA7A97"/>
    <w:rsid w:val="00BC6B08"/>
    <w:rsid w:val="00BD7AF4"/>
    <w:rsid w:val="00BE4404"/>
    <w:rsid w:val="00C03DF1"/>
    <w:rsid w:val="00C06EB3"/>
    <w:rsid w:val="00C132DC"/>
    <w:rsid w:val="00C1782C"/>
    <w:rsid w:val="00C23853"/>
    <w:rsid w:val="00C458F6"/>
    <w:rsid w:val="00C46204"/>
    <w:rsid w:val="00C571E8"/>
    <w:rsid w:val="00C76D55"/>
    <w:rsid w:val="00C95CF3"/>
    <w:rsid w:val="00CA65E7"/>
    <w:rsid w:val="00CB01F2"/>
    <w:rsid w:val="00CB321B"/>
    <w:rsid w:val="00CB629A"/>
    <w:rsid w:val="00CB6C0F"/>
    <w:rsid w:val="00CB6DB0"/>
    <w:rsid w:val="00CC1C5C"/>
    <w:rsid w:val="00CC41F4"/>
    <w:rsid w:val="00CD00C4"/>
    <w:rsid w:val="00CD491B"/>
    <w:rsid w:val="00CF5870"/>
    <w:rsid w:val="00D17393"/>
    <w:rsid w:val="00D2275C"/>
    <w:rsid w:val="00D37051"/>
    <w:rsid w:val="00D414D6"/>
    <w:rsid w:val="00D4588A"/>
    <w:rsid w:val="00D572E7"/>
    <w:rsid w:val="00D73BF6"/>
    <w:rsid w:val="00DB7317"/>
    <w:rsid w:val="00DC585C"/>
    <w:rsid w:val="00DD728C"/>
    <w:rsid w:val="00DF0FAB"/>
    <w:rsid w:val="00DF1F31"/>
    <w:rsid w:val="00E04B72"/>
    <w:rsid w:val="00E17436"/>
    <w:rsid w:val="00E319D0"/>
    <w:rsid w:val="00E33DBB"/>
    <w:rsid w:val="00E36D6E"/>
    <w:rsid w:val="00E423EA"/>
    <w:rsid w:val="00E42475"/>
    <w:rsid w:val="00E53D62"/>
    <w:rsid w:val="00E575BF"/>
    <w:rsid w:val="00E62C7D"/>
    <w:rsid w:val="00E75276"/>
    <w:rsid w:val="00E8012D"/>
    <w:rsid w:val="00E80DBD"/>
    <w:rsid w:val="00E82203"/>
    <w:rsid w:val="00E82463"/>
    <w:rsid w:val="00E93439"/>
    <w:rsid w:val="00E96362"/>
    <w:rsid w:val="00EB1B4C"/>
    <w:rsid w:val="00EB1E4E"/>
    <w:rsid w:val="00EB1FE8"/>
    <w:rsid w:val="00EB2827"/>
    <w:rsid w:val="00ED5A31"/>
    <w:rsid w:val="00EE662B"/>
    <w:rsid w:val="00F17C4C"/>
    <w:rsid w:val="00F24CFB"/>
    <w:rsid w:val="00F27B69"/>
    <w:rsid w:val="00F445F6"/>
    <w:rsid w:val="00F44D15"/>
    <w:rsid w:val="00F458FB"/>
    <w:rsid w:val="00F47770"/>
    <w:rsid w:val="00F548B3"/>
    <w:rsid w:val="00F54A05"/>
    <w:rsid w:val="00F62BB4"/>
    <w:rsid w:val="00F66205"/>
    <w:rsid w:val="00F67FD6"/>
    <w:rsid w:val="00F75C15"/>
    <w:rsid w:val="00F75E50"/>
    <w:rsid w:val="00F83145"/>
    <w:rsid w:val="00F84EE8"/>
    <w:rsid w:val="00F97572"/>
    <w:rsid w:val="00FB622C"/>
    <w:rsid w:val="00FC42D8"/>
    <w:rsid w:val="00FD6610"/>
    <w:rsid w:val="00FE3AC9"/>
    <w:rsid w:val="00FF3DE6"/>
    <w:rsid w:val="00FF5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AA60AA-D860-44F4-BDAB-4E300995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3ABC"/>
    <w:pPr>
      <w:keepNext/>
      <w:keepLines/>
      <w:spacing w:before="240" w:after="120"/>
      <w:jc w:val="both"/>
      <w:outlineLvl w:val="0"/>
    </w:pPr>
    <w:rPr>
      <w:rFonts w:ascii="Arial" w:eastAsiaTheme="majorEastAsia" w:hAnsi="Arial" w:cstheme="majorBidi"/>
      <w:b/>
      <w:sz w:val="24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3ABC"/>
    <w:rPr>
      <w:rFonts w:ascii="Arial" w:eastAsiaTheme="majorEastAsia" w:hAnsi="Arial" w:cstheme="majorBidi"/>
      <w:b/>
      <w:sz w:val="24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Indhumathi S Sukumar K</dc:creator>
  <cp:keywords/>
  <dc:description/>
  <cp:lastModifiedBy>Indhumathi S Sukumar K</cp:lastModifiedBy>
  <cp:revision>4</cp:revision>
  <dcterms:created xsi:type="dcterms:W3CDTF">2026-10-07T14:30:00Z</dcterms:created>
  <dcterms:modified xsi:type="dcterms:W3CDTF">2026-10-08T05:54:00Z</dcterms:modified>
</cp:coreProperties>
</file>