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47186" w14:textId="77777777" w:rsidR="00DC5A34" w:rsidRDefault="00D775C2" w:rsidP="00DC5A34">
      <w:pPr>
        <w:spacing w:after="0" w:line="240" w:lineRule="auto"/>
        <w:rPr>
          <w:rFonts w:ascii="Arial" w:eastAsia="Calibri" w:hAnsi="Arial" w:cs="Arial"/>
          <w:lang w:eastAsia="en-GB"/>
        </w:rPr>
      </w:pPr>
      <w:bookmarkStart w:id="0" w:name="_GoBack"/>
      <w:r w:rsidRPr="00D775C2">
        <w:rPr>
          <w:rFonts w:ascii="Arial" w:eastAsia="Calibri" w:hAnsi="Arial" w:cs="Arial"/>
          <w:b/>
          <w:lang w:eastAsia="en-GB"/>
        </w:rPr>
        <w:t xml:space="preserve">Supplementary table </w:t>
      </w:r>
      <w:r w:rsidR="00477612">
        <w:rPr>
          <w:rFonts w:ascii="Arial" w:eastAsia="Calibri" w:hAnsi="Arial" w:cs="Arial"/>
          <w:b/>
          <w:lang w:eastAsia="en-GB"/>
        </w:rPr>
        <w:t>1</w:t>
      </w:r>
      <w:r w:rsidR="00DC5A34" w:rsidRPr="00D523B7">
        <w:rPr>
          <w:rFonts w:ascii="Arial" w:eastAsia="Calibri" w:hAnsi="Arial" w:cs="Arial"/>
          <w:b/>
          <w:lang w:eastAsia="en-GB"/>
        </w:rPr>
        <w:t>.</w:t>
      </w:r>
      <w:r w:rsidR="00DC5A34" w:rsidRPr="00D523B7">
        <w:rPr>
          <w:rFonts w:ascii="Arial" w:eastAsia="Calibri" w:hAnsi="Arial" w:cs="Arial"/>
          <w:lang w:eastAsia="en-GB"/>
        </w:rPr>
        <w:t xml:space="preserve"> </w:t>
      </w:r>
      <w:r w:rsidR="008D2DF4" w:rsidRPr="008D2DF4">
        <w:rPr>
          <w:rFonts w:ascii="Arial" w:eastAsia="Calibri" w:hAnsi="Arial" w:cs="Arial"/>
          <w:lang w:eastAsia="en-GB"/>
        </w:rPr>
        <w:t>Risk of bias assessment for individual studies</w:t>
      </w:r>
    </w:p>
    <w:p w14:paraId="1EC3DDA0" w14:textId="77777777" w:rsidR="008D2DF4" w:rsidRPr="00D523B7" w:rsidRDefault="008D2DF4" w:rsidP="00DC5A34">
      <w:pPr>
        <w:spacing w:after="0" w:line="240" w:lineRule="auto"/>
        <w:rPr>
          <w:rFonts w:ascii="Arial" w:eastAsia="Calibri" w:hAnsi="Arial" w:cs="Arial"/>
          <w:lang w:eastAsia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1499"/>
        <w:gridCol w:w="1619"/>
        <w:gridCol w:w="1555"/>
        <w:gridCol w:w="1561"/>
        <w:gridCol w:w="1418"/>
        <w:gridCol w:w="1561"/>
        <w:gridCol w:w="1574"/>
        <w:gridCol w:w="128"/>
        <w:gridCol w:w="1480"/>
      </w:tblGrid>
      <w:tr w:rsidR="0084486D" w:rsidRPr="00D523B7" w14:paraId="664C0D95" w14:textId="77777777" w:rsidTr="0084486D">
        <w:trPr>
          <w:trHeight w:val="196"/>
        </w:trPr>
        <w:tc>
          <w:tcPr>
            <w:tcW w:w="560" w:type="pct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5B1A0297" w14:textId="77777777" w:rsidR="00477612" w:rsidRPr="008D2DF4" w:rsidRDefault="00477612" w:rsidP="004B309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i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i/>
                <w:sz w:val="20"/>
                <w:lang w:eastAsia="en-GB"/>
              </w:rPr>
              <w:t>Observational studies</w:t>
            </w:r>
          </w:p>
        </w:tc>
        <w:tc>
          <w:tcPr>
            <w:tcW w:w="537" w:type="pct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FE22EEE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b/>
                <w:sz w:val="20"/>
                <w:lang w:eastAsia="en-GB"/>
              </w:rPr>
              <w:t>Bias due to confounding</w:t>
            </w:r>
          </w:p>
        </w:tc>
        <w:tc>
          <w:tcPr>
            <w:tcW w:w="580" w:type="pct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732F0C4B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 xml:space="preserve">Bias </w:t>
            </w:r>
            <w:r>
              <w:rPr>
                <w:rFonts w:ascii="Arial" w:eastAsia="Calibri" w:hAnsi="Arial" w:cs="Arial"/>
                <w:b/>
                <w:sz w:val="20"/>
                <w:lang w:eastAsia="en-GB"/>
              </w:rPr>
              <w:t>in</w:t>
            </w:r>
          </w:p>
          <w:p w14:paraId="6EF77D0C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participant</w:t>
            </w:r>
            <w:r>
              <w:rPr>
                <w:rFonts w:ascii="Arial" w:eastAsia="Calibri" w:hAnsi="Arial" w:cs="Arial"/>
                <w:b/>
                <w:sz w:val="20"/>
                <w:lang w:eastAsia="en-GB"/>
              </w:rPr>
              <w:t xml:space="preserve"> selection</w:t>
            </w:r>
          </w:p>
        </w:tc>
        <w:tc>
          <w:tcPr>
            <w:tcW w:w="557" w:type="pct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27853377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Bias in</w:t>
            </w:r>
          </w:p>
          <w:p w14:paraId="3C142AAE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classification</w:t>
            </w:r>
          </w:p>
          <w:p w14:paraId="6CB635DE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of</w:t>
            </w:r>
          </w:p>
          <w:p w14:paraId="253D6BA1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interventions</w:t>
            </w:r>
          </w:p>
        </w:tc>
        <w:tc>
          <w:tcPr>
            <w:tcW w:w="559" w:type="pct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4056BB35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Bias due to</w:t>
            </w:r>
          </w:p>
          <w:p w14:paraId="5A58B12D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departures</w:t>
            </w:r>
          </w:p>
          <w:p w14:paraId="1791EBC8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from intended</w:t>
            </w:r>
          </w:p>
          <w:p w14:paraId="540F28BA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interventions</w:t>
            </w:r>
          </w:p>
        </w:tc>
        <w:tc>
          <w:tcPr>
            <w:tcW w:w="508" w:type="pct"/>
            <w:tcBorders>
              <w:left w:val="nil"/>
              <w:bottom w:val="double" w:sz="4" w:space="0" w:color="auto"/>
              <w:right w:val="nil"/>
            </w:tcBorders>
          </w:tcPr>
          <w:p w14:paraId="649A55F0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Bias due to</w:t>
            </w:r>
          </w:p>
          <w:p w14:paraId="0FDFC762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missing data</w:t>
            </w:r>
          </w:p>
        </w:tc>
        <w:tc>
          <w:tcPr>
            <w:tcW w:w="559" w:type="pct"/>
            <w:tcBorders>
              <w:left w:val="nil"/>
              <w:bottom w:val="double" w:sz="4" w:space="0" w:color="auto"/>
              <w:right w:val="nil"/>
            </w:tcBorders>
          </w:tcPr>
          <w:p w14:paraId="16F0C35C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Bias in</w:t>
            </w:r>
          </w:p>
          <w:p w14:paraId="2D836236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measurement</w:t>
            </w:r>
          </w:p>
          <w:p w14:paraId="245B7787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of outcomes</w:t>
            </w:r>
          </w:p>
        </w:tc>
        <w:tc>
          <w:tcPr>
            <w:tcW w:w="610" w:type="pct"/>
            <w:gridSpan w:val="2"/>
            <w:tcBorders>
              <w:left w:val="nil"/>
              <w:bottom w:val="double" w:sz="4" w:space="0" w:color="auto"/>
              <w:right w:val="nil"/>
            </w:tcBorders>
          </w:tcPr>
          <w:p w14:paraId="64053B93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Bias in</w:t>
            </w:r>
          </w:p>
          <w:p w14:paraId="37CB65D2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selection of</w:t>
            </w:r>
          </w:p>
          <w:p w14:paraId="110E06F4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the reported</w:t>
            </w:r>
          </w:p>
          <w:p w14:paraId="622D7410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result</w:t>
            </w:r>
          </w:p>
        </w:tc>
        <w:tc>
          <w:tcPr>
            <w:tcW w:w="530" w:type="pct"/>
            <w:tcBorders>
              <w:left w:val="nil"/>
              <w:bottom w:val="double" w:sz="4" w:space="0" w:color="auto"/>
              <w:right w:val="nil"/>
            </w:tcBorders>
          </w:tcPr>
          <w:p w14:paraId="04CA7736" w14:textId="77777777" w:rsidR="00477612" w:rsidRPr="008D2DF4" w:rsidRDefault="00477612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lang w:eastAsia="en-GB"/>
              </w:rPr>
            </w:pPr>
            <w:r w:rsidRPr="008D2DF4">
              <w:rPr>
                <w:rFonts w:ascii="Arial" w:eastAsia="Calibri" w:hAnsi="Arial" w:cs="Arial"/>
                <w:b/>
                <w:sz w:val="20"/>
                <w:lang w:eastAsia="en-GB"/>
              </w:rPr>
              <w:t>Overall bias</w:t>
            </w:r>
          </w:p>
        </w:tc>
      </w:tr>
      <w:tr w:rsidR="0084486D" w:rsidRPr="00D523B7" w14:paraId="11E95773" w14:textId="77777777" w:rsidTr="0084486D">
        <w:trPr>
          <w:trHeight w:val="176"/>
        </w:trPr>
        <w:tc>
          <w:tcPr>
            <w:tcW w:w="560" w:type="pct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0EB20B76" w14:textId="77777777" w:rsidR="00477612" w:rsidRPr="003808AF" w:rsidRDefault="001F6828" w:rsidP="004B309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Bhattacharyya et al., 2007</w:t>
            </w:r>
          </w:p>
        </w:tc>
        <w:tc>
          <w:tcPr>
            <w:tcW w:w="537" w:type="pct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5F6E6AC8" w14:textId="4B3B0ECA" w:rsidR="00477612" w:rsidRPr="003808AF" w:rsidRDefault="00075185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2A036E59" w14:textId="084BA92C" w:rsidR="00477612" w:rsidRPr="003808AF" w:rsidRDefault="00075185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Serious risk </w:t>
            </w:r>
          </w:p>
        </w:tc>
        <w:tc>
          <w:tcPr>
            <w:tcW w:w="557" w:type="pct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60AD1131" w14:textId="64985182" w:rsidR="00477612" w:rsidRPr="003808AF" w:rsidRDefault="002954BF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</w:t>
            </w:r>
            <w:r w:rsidR="000C7EAF">
              <w:rPr>
                <w:rFonts w:ascii="Arial" w:eastAsia="Calibri" w:hAnsi="Arial" w:cs="Arial"/>
                <w:sz w:val="20"/>
                <w:lang w:eastAsia="en-GB"/>
              </w:rPr>
              <w:t xml:space="preserve"> risk </w:t>
            </w:r>
          </w:p>
        </w:tc>
        <w:tc>
          <w:tcPr>
            <w:tcW w:w="559" w:type="pct"/>
            <w:tcBorders>
              <w:top w:val="double" w:sz="4" w:space="0" w:color="auto"/>
              <w:left w:val="nil"/>
              <w:right w:val="nil"/>
            </w:tcBorders>
            <w:shd w:val="clear" w:color="auto" w:fill="auto"/>
          </w:tcPr>
          <w:p w14:paraId="6A795BDD" w14:textId="4C2228A5" w:rsidR="00477612" w:rsidRPr="003808AF" w:rsidRDefault="002211B7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</w:t>
            </w:r>
            <w:r w:rsidR="00C45F47">
              <w:rPr>
                <w:rFonts w:ascii="Arial" w:eastAsia="Calibri" w:hAnsi="Arial" w:cs="Arial"/>
                <w:sz w:val="20"/>
                <w:lang w:eastAsia="en-GB"/>
              </w:rPr>
              <w:t xml:space="preserve"> risk</w:t>
            </w:r>
          </w:p>
        </w:tc>
        <w:tc>
          <w:tcPr>
            <w:tcW w:w="508" w:type="pct"/>
            <w:tcBorders>
              <w:top w:val="double" w:sz="4" w:space="0" w:color="auto"/>
              <w:left w:val="nil"/>
              <w:right w:val="nil"/>
            </w:tcBorders>
          </w:tcPr>
          <w:p w14:paraId="4CC63009" w14:textId="751B7BCE" w:rsidR="00477612" w:rsidRPr="003808AF" w:rsidRDefault="009F3623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top w:val="double" w:sz="4" w:space="0" w:color="auto"/>
              <w:left w:val="nil"/>
              <w:right w:val="nil"/>
            </w:tcBorders>
          </w:tcPr>
          <w:p w14:paraId="6A2DA1AF" w14:textId="440C1282" w:rsidR="00477612" w:rsidRPr="003808AF" w:rsidRDefault="002211B7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top w:val="double" w:sz="4" w:space="0" w:color="auto"/>
              <w:left w:val="nil"/>
              <w:right w:val="nil"/>
            </w:tcBorders>
          </w:tcPr>
          <w:p w14:paraId="73A09D4C" w14:textId="61ADA350" w:rsidR="00477612" w:rsidRPr="003808AF" w:rsidRDefault="002954BF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top w:val="double" w:sz="4" w:space="0" w:color="auto"/>
              <w:left w:val="nil"/>
              <w:right w:val="nil"/>
            </w:tcBorders>
          </w:tcPr>
          <w:p w14:paraId="73BF6DEF" w14:textId="305C0FD7" w:rsidR="00477612" w:rsidRPr="003808AF" w:rsidRDefault="002954BF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Serious risk </w:t>
            </w:r>
          </w:p>
        </w:tc>
      </w:tr>
      <w:tr w:rsidR="0084486D" w:rsidRPr="00D523B7" w14:paraId="6449FFA8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3FCC805D" w14:textId="77777777" w:rsidR="008D2DF4" w:rsidRPr="00D523B7" w:rsidRDefault="001F6828" w:rsidP="004B309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eastAsia="en-GB"/>
              </w:rPr>
              <w:t>Boddapati</w:t>
            </w:r>
            <w:proofErr w:type="spellEnd"/>
            <w:r>
              <w:rPr>
                <w:rFonts w:ascii="Arial" w:eastAsia="Calibri" w:hAnsi="Arial" w:cs="Arial"/>
                <w:sz w:val="20"/>
                <w:lang w:eastAsia="en-GB"/>
              </w:rPr>
              <w:t xml:space="preserve"> et al., 2019</w:t>
            </w:r>
            <w:r w:rsidR="002326EE">
              <w:rPr>
                <w:rFonts w:ascii="Arial" w:eastAsia="Calibri" w:hAnsi="Arial" w:cs="Arial"/>
                <w:sz w:val="20"/>
                <w:lang w:eastAsia="en-GB"/>
              </w:rPr>
              <w:t xml:space="preserve"> (1)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2365425C" w14:textId="1CD17265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7EAF7D57" w14:textId="2DE3F241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2D685C1B" w14:textId="2740AFBB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17A2480F" w14:textId="09DBAAFA" w:rsidR="008D2DF4" w:rsidRPr="00D523B7" w:rsidRDefault="002211B7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47B32F88" w14:textId="5BA7B39B" w:rsidR="008D2DF4" w:rsidRPr="00D523B7" w:rsidRDefault="009F3623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40334435" w14:textId="5DBF41C1" w:rsidR="008D2DF4" w:rsidRPr="00D523B7" w:rsidRDefault="003D02ED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09CC69E4" w14:textId="117AD3E9" w:rsidR="008D2DF4" w:rsidRPr="00D523B7" w:rsidRDefault="00A144A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020711FE" w14:textId="22846C15" w:rsidR="008D2DF4" w:rsidRPr="00D523B7" w:rsidRDefault="003D02ED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Serious risk </w:t>
            </w:r>
          </w:p>
        </w:tc>
      </w:tr>
      <w:tr w:rsidR="0084486D" w:rsidRPr="00D523B7" w14:paraId="10CF0DBF" w14:textId="77777777" w:rsidTr="0084486D">
        <w:trPr>
          <w:trHeight w:val="176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05E1CDB1" w14:textId="77777777" w:rsidR="008D2DF4" w:rsidRPr="00D523B7" w:rsidRDefault="001F6828" w:rsidP="001F682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eastAsia="en-GB"/>
              </w:rPr>
              <w:t>Boddapati</w:t>
            </w:r>
            <w:proofErr w:type="spellEnd"/>
            <w:r w:rsidR="005866B1">
              <w:rPr>
                <w:rFonts w:ascii="Arial" w:eastAsia="Calibri" w:hAnsi="Arial" w:cs="Arial"/>
                <w:sz w:val="20"/>
                <w:lang w:eastAsia="en-GB"/>
              </w:rPr>
              <w:t xml:space="preserve"> et al., 201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>9</w:t>
            </w:r>
            <w:r w:rsidR="002326EE">
              <w:rPr>
                <w:rFonts w:ascii="Arial" w:eastAsia="Calibri" w:hAnsi="Arial" w:cs="Arial"/>
                <w:sz w:val="20"/>
                <w:lang w:eastAsia="en-GB"/>
              </w:rPr>
              <w:t xml:space="preserve"> (2)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429CBADE" w14:textId="2A1E4ACF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11B9C000" w14:textId="0E019D2F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1E078250" w14:textId="77A26D13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211F0763" w14:textId="4779D388" w:rsidR="008D2DF4" w:rsidRPr="00D523B7" w:rsidRDefault="00451CE0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3E6B3004" w14:textId="0AD3976D" w:rsidR="008D2DF4" w:rsidRPr="00D523B7" w:rsidRDefault="00451CE0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311DD522" w14:textId="36E89B3E" w:rsidR="008D2DF4" w:rsidRPr="00D523B7" w:rsidRDefault="00451CE0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60863E5C" w14:textId="49B3286B" w:rsidR="008D2DF4" w:rsidRPr="00D523B7" w:rsidRDefault="00451CE0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 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1913346E" w14:textId="04A57E54" w:rsidR="008D2DF4" w:rsidRPr="00D523B7" w:rsidRDefault="00451CE0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Serious risk </w:t>
            </w:r>
          </w:p>
        </w:tc>
      </w:tr>
      <w:tr w:rsidR="0084486D" w:rsidRPr="00D523B7" w14:paraId="1356D43C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724F0B2F" w14:textId="77777777" w:rsidR="008D2DF4" w:rsidRPr="00D523B7" w:rsidRDefault="001F6828" w:rsidP="001F682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eastAsia="en-GB"/>
              </w:rPr>
              <w:t>Bovonratwet</w:t>
            </w:r>
            <w:proofErr w:type="spellEnd"/>
            <w:r w:rsidR="005866B1">
              <w:rPr>
                <w:rFonts w:ascii="Arial" w:eastAsia="Calibri" w:hAnsi="Arial" w:cs="Arial"/>
                <w:sz w:val="20"/>
                <w:lang w:eastAsia="en-GB"/>
              </w:rPr>
              <w:t xml:space="preserve"> et al.,</w:t>
            </w:r>
            <w:r w:rsidR="00802366">
              <w:rPr>
                <w:rFonts w:ascii="Arial" w:eastAsia="Calibri" w:hAnsi="Arial" w:cs="Arial"/>
                <w:sz w:val="20"/>
                <w:lang w:eastAsia="en-GB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>2019</w:t>
            </w:r>
            <w:r w:rsidR="005866B1">
              <w:rPr>
                <w:rFonts w:ascii="Arial" w:eastAsia="Calibri" w:hAnsi="Arial" w:cs="Arial"/>
                <w:sz w:val="20"/>
                <w:lang w:eastAsia="en-GB"/>
              </w:rPr>
              <w:t xml:space="preserve"> 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5D6D101F" w14:textId="6728B0ED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3C104D74" w14:textId="6EF7CC58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58782CF6" w14:textId="2D3F716F" w:rsidR="008D2DF4" w:rsidRPr="00D523B7" w:rsidRDefault="00680E1C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1561C0B2" w14:textId="5F0ECC30" w:rsidR="008D2DF4" w:rsidRPr="00D523B7" w:rsidRDefault="00B03F03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Low risk 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622A32A5" w14:textId="0F824C20" w:rsidR="008D2DF4" w:rsidRPr="00D523B7" w:rsidRDefault="007553FD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07E5D6CF" w14:textId="53784BFD" w:rsidR="008D2DF4" w:rsidRPr="00D523B7" w:rsidRDefault="00A53435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176E8823" w14:textId="7726E990" w:rsidR="008D2DF4" w:rsidRPr="00D523B7" w:rsidRDefault="006448C4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06695E64" w14:textId="21B0BBDC" w:rsidR="008D2DF4" w:rsidRPr="00E816B8" w:rsidRDefault="006448C4" w:rsidP="00BF5E8F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  <w:tr w:rsidR="00623021" w:rsidRPr="00D523B7" w14:paraId="3552F8F1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0518B43A" w14:textId="77777777" w:rsidR="00623021" w:rsidRPr="00D523B7" w:rsidRDefault="001F6828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eastAsia="en-GB"/>
              </w:rPr>
              <w:t>Fuchtmeier</w:t>
            </w:r>
            <w:proofErr w:type="spellEnd"/>
            <w:r w:rsidR="00623021">
              <w:rPr>
                <w:rFonts w:ascii="Arial" w:eastAsia="Calibri" w:hAnsi="Arial" w:cs="Arial"/>
                <w:sz w:val="20"/>
                <w:lang w:eastAsia="en-GB"/>
              </w:rPr>
              <w:t xml:space="preserve"> et al., 2015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1FC6D1EA" w14:textId="1F186A1D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296FC45E" w14:textId="3367359E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3FCD1321" w14:textId="75EF68CB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3963AFAE" w14:textId="284BD3A9" w:rsidR="00623021" w:rsidRPr="00D523B7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4057861F" w14:textId="3511C50C" w:rsidR="00623021" w:rsidRPr="00D523B7" w:rsidRDefault="00443A8D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78C119EA" w14:textId="1493BB3F" w:rsidR="00623021" w:rsidRPr="00D523B7" w:rsidRDefault="00AC1DC6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230C313A" w14:textId="7A3E66A4" w:rsidR="00623021" w:rsidRPr="00D523B7" w:rsidRDefault="002417E6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25C9446E" w14:textId="6D28FF0E" w:rsidR="00623021" w:rsidRPr="00D523B7" w:rsidRDefault="002417E6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Serious risk </w:t>
            </w:r>
          </w:p>
        </w:tc>
      </w:tr>
      <w:tr w:rsidR="00623021" w:rsidRPr="00D523B7" w14:paraId="7696AC89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4B250C3E" w14:textId="77777777" w:rsidR="00623021" w:rsidRPr="00D523B7" w:rsidRDefault="001F6828" w:rsidP="001F682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Griffiths</w:t>
            </w:r>
            <w:r w:rsidR="00623021">
              <w:rPr>
                <w:rFonts w:ascii="Arial" w:eastAsia="Calibri" w:hAnsi="Arial" w:cs="Arial"/>
                <w:sz w:val="20"/>
                <w:lang w:eastAsia="en-GB"/>
              </w:rPr>
              <w:t xml:space="preserve"> et al., 201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>3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6753866E" w14:textId="06AB913D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0A5916FC" w14:textId="1980CCBC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16D3800A" w14:textId="7C9419CC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4AE3C5D7" w14:textId="467223D0" w:rsidR="00623021" w:rsidRPr="00D523B7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1F29AA84" w14:textId="75F07B65" w:rsidR="00623021" w:rsidRPr="00D523B7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1C7F4287" w14:textId="23367A54" w:rsidR="00623021" w:rsidRPr="00D523B7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5927EDD6" w14:textId="5D69954F" w:rsidR="00623021" w:rsidRPr="00D523B7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6BDC1ECE" w14:textId="673691C5" w:rsidR="00623021" w:rsidRPr="00BC0856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  <w:tr w:rsidR="00623021" w:rsidRPr="00D523B7" w14:paraId="4738CEBA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0D65EC99" w14:textId="77777777" w:rsidR="00623021" w:rsidRPr="00802366" w:rsidRDefault="001F6828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eastAsia="en-GB"/>
              </w:rPr>
              <w:t>Hoellwarth</w:t>
            </w:r>
            <w:proofErr w:type="spellEnd"/>
            <w:r>
              <w:rPr>
                <w:rFonts w:ascii="Arial" w:eastAsia="Calibri" w:hAnsi="Arial" w:cs="Arial"/>
                <w:sz w:val="20"/>
                <w:lang w:eastAsia="en-GB"/>
              </w:rPr>
              <w:t xml:space="preserve"> et al., 2018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1A32618E" w14:textId="7EEF7532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19D5525D" w14:textId="7D3B1612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27C58218" w14:textId="58AE903C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5F1C910F" w14:textId="66C75B4F" w:rsidR="00623021" w:rsidRPr="004E434D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65F5CB15" w14:textId="100122CA" w:rsidR="00623021" w:rsidRPr="004E434D" w:rsidRDefault="00D96E96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217CCE48" w14:textId="4C1E9A2B" w:rsidR="00623021" w:rsidRPr="004E434D" w:rsidRDefault="00D96E96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4C0257FA" w14:textId="4325D8A4" w:rsidR="00623021" w:rsidRPr="004E434D" w:rsidRDefault="00D96E96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Not interpretable 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10F5F807" w14:textId="33831DF1" w:rsidR="00623021" w:rsidRPr="004E434D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  <w:tr w:rsidR="00623021" w:rsidRPr="00D523B7" w14:paraId="61198720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695F9986" w14:textId="77777777" w:rsidR="00623021" w:rsidRPr="00802366" w:rsidRDefault="001F6828" w:rsidP="001F682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Jennison</w:t>
            </w:r>
            <w:r w:rsidR="00623021">
              <w:rPr>
                <w:rFonts w:ascii="Arial" w:eastAsia="Calibri" w:hAnsi="Arial" w:cs="Arial"/>
                <w:sz w:val="20"/>
                <w:lang w:eastAsia="en-GB"/>
              </w:rPr>
              <w:t xml:space="preserve"> et al., 201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>8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13918F5C" w14:textId="43700D87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5235828E" w14:textId="5ECA9F35" w:rsidR="00623021" w:rsidRPr="00D523B7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69DE5C06" w14:textId="3BE021A4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127D353D" w14:textId="4786C4FE" w:rsidR="00623021" w:rsidRPr="004E434D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68701D94" w14:textId="196256C2" w:rsidR="00623021" w:rsidRPr="004E434D" w:rsidRDefault="00256C1F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Not interpretable 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302BAE5A" w14:textId="72BD5790" w:rsidR="00623021" w:rsidRPr="004E434D" w:rsidRDefault="00D62D02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16CC88A4" w14:textId="25CED4E8" w:rsidR="00623021" w:rsidRPr="004E434D" w:rsidRDefault="00D62D02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3FA2BC2B" w14:textId="48206531" w:rsidR="00623021" w:rsidRPr="004E434D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  <w:tr w:rsidR="00623021" w:rsidRPr="00D523B7" w14:paraId="614080C4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2B61B7BC" w14:textId="77777777" w:rsidR="00623021" w:rsidRPr="00802366" w:rsidRDefault="001F6828" w:rsidP="001F6828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Johnson-Lynn</w:t>
            </w:r>
            <w:r w:rsidR="00623021">
              <w:rPr>
                <w:rFonts w:ascii="Arial" w:eastAsia="Calibri" w:hAnsi="Arial" w:cs="Arial"/>
                <w:sz w:val="20"/>
                <w:lang w:eastAsia="en-GB"/>
              </w:rPr>
              <w:t xml:space="preserve"> et al., 201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>5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5ED26A5B" w14:textId="3CC3D261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494714B4" w14:textId="1E4A9909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46F20998" w14:textId="2077743C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4E66DBA4" w14:textId="0110B45A" w:rsidR="00623021" w:rsidRPr="004E434D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5B051119" w14:textId="2C72A9B5" w:rsidR="00623021" w:rsidRPr="004E434D" w:rsidRDefault="00352DDD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6C6DC2D9" w14:textId="50FBD245" w:rsidR="00623021" w:rsidRPr="004E434D" w:rsidRDefault="00352DDD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49D8E5B5" w14:textId="4BE936C8" w:rsidR="00623021" w:rsidRPr="004E434D" w:rsidRDefault="00D62D02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20F139BB" w14:textId="1DD6DCF3" w:rsidR="00623021" w:rsidRPr="004E434D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  <w:tr w:rsidR="00623021" w:rsidRPr="00D523B7" w14:paraId="243CDCD4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0298C423" w14:textId="77777777" w:rsidR="00623021" w:rsidRPr="00802366" w:rsidRDefault="001F6828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Ro Lee et al., 2018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39A91987" w14:textId="3F6AA104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27452D55" w14:textId="2EDDAD83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23E8E5D4" w14:textId="21B2EB9A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38C5C896" w14:textId="09EDAC8C" w:rsidR="00623021" w:rsidRPr="004E434D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Low risk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16AD02C7" w14:textId="7493C8F4" w:rsidR="00623021" w:rsidRPr="004E434D" w:rsidRDefault="002700EB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06504F6F" w14:textId="45C04BD3" w:rsidR="00623021" w:rsidRPr="004E434D" w:rsidRDefault="002700EB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5203FF35" w14:textId="4CE77CEF" w:rsidR="00623021" w:rsidRPr="004E434D" w:rsidRDefault="00D62D02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7E6282B2" w14:textId="4EF3F964" w:rsidR="00623021" w:rsidRPr="004E434D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  <w:tr w:rsidR="00623021" w:rsidRPr="00D523B7" w14:paraId="6D8DEB8B" w14:textId="77777777" w:rsidTr="0084486D">
        <w:trPr>
          <w:trHeight w:val="70"/>
        </w:trPr>
        <w:tc>
          <w:tcPr>
            <w:tcW w:w="560" w:type="pct"/>
            <w:tcBorders>
              <w:left w:val="nil"/>
              <w:right w:val="nil"/>
            </w:tcBorders>
            <w:shd w:val="clear" w:color="auto" w:fill="auto"/>
          </w:tcPr>
          <w:p w14:paraId="4DF075B9" w14:textId="77777777" w:rsidR="00623021" w:rsidRPr="00802366" w:rsidRDefault="001F6828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proofErr w:type="spellStart"/>
            <w:r>
              <w:rPr>
                <w:rFonts w:ascii="Arial" w:eastAsia="Calibri" w:hAnsi="Arial" w:cs="Arial"/>
                <w:sz w:val="20"/>
                <w:lang w:eastAsia="en-GB"/>
              </w:rPr>
              <w:t>Sellan</w:t>
            </w:r>
            <w:proofErr w:type="spellEnd"/>
            <w:r>
              <w:rPr>
                <w:rFonts w:ascii="Arial" w:eastAsia="Calibri" w:hAnsi="Arial" w:cs="Arial"/>
                <w:sz w:val="20"/>
                <w:lang w:eastAsia="en-GB"/>
              </w:rPr>
              <w:t xml:space="preserve"> et al., 2017</w:t>
            </w:r>
          </w:p>
        </w:tc>
        <w:tc>
          <w:tcPr>
            <w:tcW w:w="537" w:type="pct"/>
            <w:tcBorders>
              <w:left w:val="nil"/>
              <w:right w:val="nil"/>
            </w:tcBorders>
            <w:shd w:val="clear" w:color="auto" w:fill="auto"/>
          </w:tcPr>
          <w:p w14:paraId="1CE129B4" w14:textId="78AFDEC1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80" w:type="pct"/>
            <w:tcBorders>
              <w:left w:val="nil"/>
              <w:right w:val="nil"/>
            </w:tcBorders>
            <w:shd w:val="clear" w:color="auto" w:fill="auto"/>
          </w:tcPr>
          <w:p w14:paraId="05099CA9" w14:textId="095639C2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</w:tcPr>
          <w:p w14:paraId="5CCBB0B2" w14:textId="6805498F" w:rsidR="00623021" w:rsidRPr="004E434D" w:rsidRDefault="00680E1C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  <w:tc>
          <w:tcPr>
            <w:tcW w:w="559" w:type="pct"/>
            <w:tcBorders>
              <w:left w:val="nil"/>
              <w:right w:val="nil"/>
            </w:tcBorders>
            <w:shd w:val="clear" w:color="auto" w:fill="auto"/>
          </w:tcPr>
          <w:p w14:paraId="0D468A70" w14:textId="30EF1758" w:rsidR="00623021" w:rsidRPr="004E434D" w:rsidRDefault="00E2749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Low </w:t>
            </w:r>
            <w:r w:rsidR="00443A8D">
              <w:rPr>
                <w:rFonts w:ascii="Arial" w:eastAsia="Calibri" w:hAnsi="Arial" w:cs="Arial"/>
                <w:sz w:val="20"/>
                <w:lang w:eastAsia="en-GB"/>
              </w:rPr>
              <w:t>risk</w:t>
            </w: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 </w:t>
            </w:r>
          </w:p>
        </w:tc>
        <w:tc>
          <w:tcPr>
            <w:tcW w:w="508" w:type="pct"/>
            <w:tcBorders>
              <w:left w:val="nil"/>
              <w:right w:val="nil"/>
            </w:tcBorders>
          </w:tcPr>
          <w:p w14:paraId="6639A222" w14:textId="569EE68D" w:rsidR="00623021" w:rsidRPr="004E434D" w:rsidRDefault="007841C9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59" w:type="pct"/>
            <w:tcBorders>
              <w:left w:val="nil"/>
              <w:right w:val="nil"/>
            </w:tcBorders>
          </w:tcPr>
          <w:p w14:paraId="4C0DDC13" w14:textId="12B1D5DF" w:rsidR="00623021" w:rsidRPr="004E434D" w:rsidRDefault="007841C9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 xml:space="preserve">Not interpretable </w:t>
            </w:r>
          </w:p>
        </w:tc>
        <w:tc>
          <w:tcPr>
            <w:tcW w:w="564" w:type="pct"/>
            <w:tcBorders>
              <w:left w:val="nil"/>
              <w:right w:val="nil"/>
            </w:tcBorders>
          </w:tcPr>
          <w:p w14:paraId="4AC0AA0E" w14:textId="67B0B457" w:rsidR="00623021" w:rsidRPr="004E434D" w:rsidRDefault="00D62D02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Not interpretable</w:t>
            </w:r>
          </w:p>
        </w:tc>
        <w:tc>
          <w:tcPr>
            <w:tcW w:w="576" w:type="pct"/>
            <w:gridSpan w:val="2"/>
            <w:tcBorders>
              <w:left w:val="nil"/>
              <w:right w:val="nil"/>
            </w:tcBorders>
          </w:tcPr>
          <w:p w14:paraId="5C48BD2A" w14:textId="00B3628D" w:rsidR="00623021" w:rsidRPr="004E434D" w:rsidRDefault="00261837" w:rsidP="00623021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lang w:eastAsia="en-GB"/>
              </w:rPr>
            </w:pPr>
            <w:r>
              <w:rPr>
                <w:rFonts w:ascii="Arial" w:eastAsia="Calibri" w:hAnsi="Arial" w:cs="Arial"/>
                <w:sz w:val="20"/>
                <w:lang w:eastAsia="en-GB"/>
              </w:rPr>
              <w:t>Serious risk</w:t>
            </w:r>
          </w:p>
        </w:tc>
      </w:tr>
    </w:tbl>
    <w:p w14:paraId="789213ED" w14:textId="77777777" w:rsidR="00DC5A34" w:rsidRPr="00045158" w:rsidRDefault="00045158" w:rsidP="00DC5A34">
      <w:pPr>
        <w:rPr>
          <w:rFonts w:ascii="Arial" w:eastAsiaTheme="minorEastAsia" w:hAnsi="Arial" w:cs="Arial"/>
          <w:sz w:val="18"/>
          <w:szCs w:val="18"/>
          <w:lang w:eastAsia="en-GB"/>
        </w:rPr>
      </w:pPr>
      <w:r w:rsidRPr="00045158">
        <w:rPr>
          <w:rFonts w:ascii="Arial" w:eastAsiaTheme="minorEastAsia" w:hAnsi="Arial" w:cs="Arial"/>
          <w:sz w:val="18"/>
          <w:szCs w:val="18"/>
          <w:lang w:eastAsia="en-GB"/>
        </w:rPr>
        <w:t xml:space="preserve">Risk of Bias in non-randomised studies – of interventions (ROBINS-I) tool </w:t>
      </w:r>
      <w:r w:rsidR="00C65087">
        <w:rPr>
          <w:rFonts w:ascii="Arial" w:eastAsiaTheme="minorEastAsia" w:hAnsi="Arial" w:cs="Arial"/>
          <w:sz w:val="18"/>
          <w:szCs w:val="18"/>
          <w:lang w:eastAsia="en-GB"/>
        </w:rPr>
        <w:t xml:space="preserve">was used </w:t>
      </w:r>
      <w:r w:rsidRPr="00045158">
        <w:rPr>
          <w:rFonts w:ascii="Arial" w:eastAsiaTheme="minorEastAsia" w:hAnsi="Arial" w:cs="Arial"/>
          <w:sz w:val="18"/>
          <w:szCs w:val="18"/>
          <w:lang w:eastAsia="en-GB"/>
        </w:rPr>
        <w:t>for observational studies</w:t>
      </w:r>
      <w:r w:rsidR="00C65087">
        <w:rPr>
          <w:rFonts w:ascii="Arial" w:eastAsiaTheme="minorEastAsia" w:hAnsi="Arial" w:cs="Arial"/>
          <w:sz w:val="18"/>
          <w:szCs w:val="18"/>
          <w:lang w:eastAsia="en-GB"/>
        </w:rPr>
        <w:t>. Each domain was classified as low risk, moderate risk, serious risk, and critical risk or not interpretable. An overall bias assessment was then made using the same scale.</w:t>
      </w:r>
      <w:r w:rsidR="00477612">
        <w:rPr>
          <w:rFonts w:ascii="Arial" w:eastAsiaTheme="minorEastAsia" w:hAnsi="Arial" w:cs="Arial"/>
          <w:sz w:val="18"/>
          <w:szCs w:val="18"/>
          <w:lang w:eastAsia="en-GB"/>
        </w:rPr>
        <w:t xml:space="preserve"> There were no RCT’s identified for inclusion in the review.</w:t>
      </w:r>
    </w:p>
    <w:bookmarkEnd w:id="0"/>
    <w:p w14:paraId="1713629C" w14:textId="77777777" w:rsidR="000D338F" w:rsidRDefault="000D338F"/>
    <w:sectPr w:rsidR="000D338F" w:rsidSect="008D234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34"/>
    <w:rsid w:val="000325AE"/>
    <w:rsid w:val="00041FC4"/>
    <w:rsid w:val="000420A9"/>
    <w:rsid w:val="00045158"/>
    <w:rsid w:val="00075185"/>
    <w:rsid w:val="000B3464"/>
    <w:rsid w:val="000C7EAF"/>
    <w:rsid w:val="000D338F"/>
    <w:rsid w:val="00145DF6"/>
    <w:rsid w:val="00164EED"/>
    <w:rsid w:val="001E280C"/>
    <w:rsid w:val="001F6828"/>
    <w:rsid w:val="00217298"/>
    <w:rsid w:val="002211B7"/>
    <w:rsid w:val="002326EE"/>
    <w:rsid w:val="002417E6"/>
    <w:rsid w:val="00256C1F"/>
    <w:rsid w:val="00261837"/>
    <w:rsid w:val="002700EB"/>
    <w:rsid w:val="00280790"/>
    <w:rsid w:val="00281D1C"/>
    <w:rsid w:val="00287BC7"/>
    <w:rsid w:val="002954BF"/>
    <w:rsid w:val="002C3D22"/>
    <w:rsid w:val="002F04D4"/>
    <w:rsid w:val="00337585"/>
    <w:rsid w:val="00352DDD"/>
    <w:rsid w:val="003808AF"/>
    <w:rsid w:val="003A3C76"/>
    <w:rsid w:val="003D02ED"/>
    <w:rsid w:val="00443A8D"/>
    <w:rsid w:val="00451CE0"/>
    <w:rsid w:val="00454F38"/>
    <w:rsid w:val="00477612"/>
    <w:rsid w:val="004B0797"/>
    <w:rsid w:val="004B3092"/>
    <w:rsid w:val="004B5925"/>
    <w:rsid w:val="004E434D"/>
    <w:rsid w:val="004E61EC"/>
    <w:rsid w:val="00574C15"/>
    <w:rsid w:val="005866B1"/>
    <w:rsid w:val="005F3005"/>
    <w:rsid w:val="0061782D"/>
    <w:rsid w:val="00620CC3"/>
    <w:rsid w:val="00623021"/>
    <w:rsid w:val="006448C4"/>
    <w:rsid w:val="00680E1C"/>
    <w:rsid w:val="006B2493"/>
    <w:rsid w:val="006C1EBC"/>
    <w:rsid w:val="00735F68"/>
    <w:rsid w:val="007553FD"/>
    <w:rsid w:val="007841C9"/>
    <w:rsid w:val="007A1082"/>
    <w:rsid w:val="007B1A16"/>
    <w:rsid w:val="007D321D"/>
    <w:rsid w:val="00802366"/>
    <w:rsid w:val="00841219"/>
    <w:rsid w:val="0084486D"/>
    <w:rsid w:val="008553C0"/>
    <w:rsid w:val="00857466"/>
    <w:rsid w:val="008D234B"/>
    <w:rsid w:val="008D2DF4"/>
    <w:rsid w:val="00932D72"/>
    <w:rsid w:val="00944172"/>
    <w:rsid w:val="009F3623"/>
    <w:rsid w:val="00A144AC"/>
    <w:rsid w:val="00A418B6"/>
    <w:rsid w:val="00A52CFF"/>
    <w:rsid w:val="00A53435"/>
    <w:rsid w:val="00A8725B"/>
    <w:rsid w:val="00AC1DC6"/>
    <w:rsid w:val="00B03F03"/>
    <w:rsid w:val="00B36E67"/>
    <w:rsid w:val="00B44BC9"/>
    <w:rsid w:val="00B51832"/>
    <w:rsid w:val="00B73B94"/>
    <w:rsid w:val="00B83C30"/>
    <w:rsid w:val="00B83E47"/>
    <w:rsid w:val="00B952AD"/>
    <w:rsid w:val="00BB3227"/>
    <w:rsid w:val="00BC0856"/>
    <w:rsid w:val="00BC25D9"/>
    <w:rsid w:val="00BE7AE0"/>
    <w:rsid w:val="00BF3908"/>
    <w:rsid w:val="00BF5E8F"/>
    <w:rsid w:val="00C45F47"/>
    <w:rsid w:val="00C65087"/>
    <w:rsid w:val="00D15CE2"/>
    <w:rsid w:val="00D21019"/>
    <w:rsid w:val="00D22FC2"/>
    <w:rsid w:val="00D50F47"/>
    <w:rsid w:val="00D62D02"/>
    <w:rsid w:val="00D775C2"/>
    <w:rsid w:val="00D96E96"/>
    <w:rsid w:val="00D97849"/>
    <w:rsid w:val="00DC5A34"/>
    <w:rsid w:val="00DE45EF"/>
    <w:rsid w:val="00E14AF4"/>
    <w:rsid w:val="00E21C90"/>
    <w:rsid w:val="00E239D6"/>
    <w:rsid w:val="00E25619"/>
    <w:rsid w:val="00E27497"/>
    <w:rsid w:val="00E45C3D"/>
    <w:rsid w:val="00E5478A"/>
    <w:rsid w:val="00E816B8"/>
    <w:rsid w:val="00E844A9"/>
    <w:rsid w:val="00E92644"/>
    <w:rsid w:val="00EC0714"/>
    <w:rsid w:val="00F431B5"/>
    <w:rsid w:val="00F63FC6"/>
    <w:rsid w:val="00F67689"/>
    <w:rsid w:val="00FB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989E2"/>
  <w15:docId w15:val="{E540387D-4D80-43C4-BC1E-AF0F8701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A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54B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4B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5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</dc:creator>
  <cp:lastModifiedBy>Aswini RV.</cp:lastModifiedBy>
  <cp:revision>25</cp:revision>
  <dcterms:created xsi:type="dcterms:W3CDTF">2019-11-27T14:10:00Z</dcterms:created>
  <dcterms:modified xsi:type="dcterms:W3CDTF">2021-01-05T02:39:00Z</dcterms:modified>
</cp:coreProperties>
</file>