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84040D" w14:textId="721B3EC0" w:rsidR="00BC4D97" w:rsidRPr="00BC4D97" w:rsidRDefault="00BC4D97" w:rsidP="00B603EC">
      <w:pPr>
        <w:rPr>
          <w:rFonts w:cstheme="minorHAnsi"/>
          <w:b/>
          <w:bCs/>
        </w:rPr>
      </w:pPr>
      <w:r w:rsidRPr="00BC4D97">
        <w:rPr>
          <w:rFonts w:cstheme="minorHAnsi"/>
          <w:b/>
          <w:bCs/>
        </w:rPr>
        <w:t>Appendix 1</w:t>
      </w:r>
    </w:p>
    <w:p w14:paraId="3E181A93" w14:textId="50ABF287" w:rsidR="00B603EC" w:rsidRPr="002C626A" w:rsidRDefault="00B603EC" w:rsidP="00B603EC">
      <w:pPr>
        <w:rPr>
          <w:rFonts w:cstheme="minorHAnsi"/>
        </w:rPr>
      </w:pPr>
      <w:r w:rsidRPr="002C626A">
        <w:rPr>
          <w:rFonts w:cstheme="minorHAnsi"/>
          <w:u w:val="single"/>
        </w:rPr>
        <w:t>1</w:t>
      </w:r>
      <w:r w:rsidR="00BC4D97">
        <w:rPr>
          <w:rFonts w:cstheme="minorHAnsi"/>
          <w:u w:val="single"/>
        </w:rPr>
        <w:t>a</w:t>
      </w:r>
      <w:r>
        <w:rPr>
          <w:rFonts w:cstheme="minorHAnsi"/>
          <w:u w:val="single"/>
        </w:rPr>
        <w:t>:</w:t>
      </w:r>
      <w:r w:rsidRPr="00CE5AC3">
        <w:rPr>
          <w:rFonts w:cstheme="minorHAnsi"/>
        </w:rPr>
        <w:t xml:space="preserve"> Patellofemoral </w:t>
      </w:r>
      <w:r>
        <w:rPr>
          <w:rFonts w:cstheme="minorHAnsi"/>
        </w:rPr>
        <w:t>and tibiofemoral joint regions</w:t>
      </w:r>
    </w:p>
    <w:p w14:paraId="3DC0575D" w14:textId="77777777" w:rsidR="00B603EC" w:rsidRDefault="00B603EC" w:rsidP="00B603EC">
      <w:r w:rsidRPr="002C626A">
        <w:rPr>
          <w:rFonts w:cstheme="minorHAnsi"/>
          <w:noProof/>
        </w:rPr>
        <w:drawing>
          <wp:inline distT="0" distB="0" distL="0" distR="0" wp14:anchorId="6A672858" wp14:editId="34537EF7">
            <wp:extent cx="1252108" cy="2025144"/>
            <wp:effectExtent l="0" t="0" r="5715" b="0"/>
            <wp:docPr id="6" name="Picture 6" descr="JP USB 2013:1 Oxford Research:UKA_EndAMOA:figure1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JP USB 2013:1 Oxford Research:UKA_EndAMOA:figure1.tif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410" cy="2036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2C3356" w14:textId="0CBA6F8B" w:rsidR="00BC4D97" w:rsidRPr="00784188" w:rsidRDefault="00BC4D97" w:rsidP="00BC4D97">
      <w:pPr>
        <w:spacing w:line="276" w:lineRule="auto"/>
        <w:rPr>
          <w:rFonts w:cstheme="minorHAnsi"/>
        </w:rPr>
      </w:pPr>
      <w:r w:rsidRPr="00784188">
        <w:rPr>
          <w:rFonts w:cstheme="minorHAnsi"/>
        </w:rPr>
        <w:t xml:space="preserve">Diagram illustrating the division between the patella-femoral and tibiofemoral joint regions (line A) using the anterior margin of the meniscus in the sagittal plane as a landmark (B). </w:t>
      </w:r>
    </w:p>
    <w:p w14:paraId="16E45C16" w14:textId="0A4E0EC8" w:rsidR="00B603EC" w:rsidRDefault="00B603EC" w:rsidP="00B603EC"/>
    <w:p w14:paraId="6F99CBCC" w14:textId="77777777" w:rsidR="00BC4D97" w:rsidRDefault="00BC4D97" w:rsidP="00B603EC"/>
    <w:p w14:paraId="51AD6E8A" w14:textId="1CFB2DDF" w:rsidR="00B603EC" w:rsidRDefault="00BC4D97" w:rsidP="00B603EC">
      <w:r>
        <w:rPr>
          <w:u w:val="single"/>
        </w:rPr>
        <w:t>1b</w:t>
      </w:r>
      <w:r w:rsidR="00B603EC">
        <w:rPr>
          <w:u w:val="single"/>
        </w:rPr>
        <w:t xml:space="preserve">: </w:t>
      </w:r>
      <w:r w:rsidR="00B603EC">
        <w:t>The “mouse ear” osteophyte</w:t>
      </w:r>
    </w:p>
    <w:p w14:paraId="057686F8" w14:textId="77777777" w:rsidR="00B603EC" w:rsidRDefault="00B603EC" w:rsidP="00B603EC">
      <w:r w:rsidRPr="002C626A">
        <w:rPr>
          <w:rFonts w:cstheme="minorHAnsi"/>
          <w:noProof/>
        </w:rPr>
        <w:drawing>
          <wp:inline distT="0" distB="0" distL="0" distR="0" wp14:anchorId="5ED928B6" wp14:editId="4BFBB871">
            <wp:extent cx="2045335" cy="2255961"/>
            <wp:effectExtent l="0" t="0" r="12065" b="5080"/>
            <wp:docPr id="7" name="Picture 7" descr="JP USB 2013:1 Oxford Research:UKA_EndAMOA:figur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JP USB 2013:1 Oxford Research:UKA_EndAMOA:figure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5546" cy="2256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A75AC9" w14:textId="4FE91597" w:rsidR="00BC4D97" w:rsidRPr="00784188" w:rsidRDefault="00BC4D97" w:rsidP="00BC4D97">
      <w:pPr>
        <w:spacing w:line="276" w:lineRule="auto"/>
        <w:rPr>
          <w:rFonts w:cstheme="minorHAnsi"/>
        </w:rPr>
      </w:pPr>
      <w:r w:rsidRPr="00784188">
        <w:rPr>
          <w:rFonts w:cstheme="minorHAnsi"/>
        </w:rPr>
        <w:t xml:space="preserve">The </w:t>
      </w:r>
      <w:proofErr w:type="gramStart"/>
      <w:r w:rsidRPr="00784188">
        <w:rPr>
          <w:rFonts w:cstheme="minorHAnsi"/>
        </w:rPr>
        <w:t>‘”mouse</w:t>
      </w:r>
      <w:proofErr w:type="gramEnd"/>
      <w:r w:rsidRPr="00784188">
        <w:rPr>
          <w:rFonts w:cstheme="minorHAnsi"/>
        </w:rPr>
        <w:t xml:space="preserve"> ear”osteophyte is found at the medial and lateral margins of each posterior femoral condyle </w:t>
      </w:r>
    </w:p>
    <w:p w14:paraId="648D4AD1" w14:textId="3BEE30E6" w:rsidR="00BC4D97" w:rsidRDefault="00BC4D97" w:rsidP="00B603EC">
      <w:pPr>
        <w:rPr>
          <w:u w:val="single"/>
        </w:rPr>
      </w:pPr>
      <w:r>
        <w:rPr>
          <w:u w:val="single"/>
        </w:rPr>
        <w:t xml:space="preserve"> </w:t>
      </w:r>
    </w:p>
    <w:p w14:paraId="65FB4C0E" w14:textId="77777777" w:rsidR="00BC4D97" w:rsidRDefault="00BC4D97" w:rsidP="00B603EC">
      <w:pPr>
        <w:rPr>
          <w:u w:val="single"/>
        </w:rPr>
      </w:pPr>
    </w:p>
    <w:p w14:paraId="79DA3361" w14:textId="77777777" w:rsidR="00BC4D97" w:rsidRDefault="00BC4D97" w:rsidP="00B603EC">
      <w:pPr>
        <w:rPr>
          <w:u w:val="single"/>
        </w:rPr>
      </w:pPr>
    </w:p>
    <w:p w14:paraId="5C538673" w14:textId="77777777" w:rsidR="00BC4D97" w:rsidRDefault="00BC4D97" w:rsidP="00B603EC">
      <w:pPr>
        <w:rPr>
          <w:u w:val="single"/>
        </w:rPr>
      </w:pPr>
    </w:p>
    <w:p w14:paraId="11024FEC" w14:textId="77777777" w:rsidR="00BC4D97" w:rsidRDefault="00BC4D97" w:rsidP="00B603EC">
      <w:pPr>
        <w:rPr>
          <w:u w:val="single"/>
        </w:rPr>
      </w:pPr>
    </w:p>
    <w:p w14:paraId="1FEBE981" w14:textId="77777777" w:rsidR="00BC4D97" w:rsidRDefault="00BC4D97" w:rsidP="00B603EC">
      <w:pPr>
        <w:rPr>
          <w:u w:val="single"/>
        </w:rPr>
      </w:pPr>
    </w:p>
    <w:p w14:paraId="2F247B9C" w14:textId="20C0CFAD" w:rsidR="00B603EC" w:rsidRDefault="00BC4D97" w:rsidP="00B603EC">
      <w:r>
        <w:rPr>
          <w:u w:val="single"/>
        </w:rPr>
        <w:lastRenderedPageBreak/>
        <w:t>1c</w:t>
      </w:r>
      <w:r w:rsidR="00B603EC">
        <w:rPr>
          <w:u w:val="single"/>
        </w:rPr>
        <w:t xml:space="preserve">: </w:t>
      </w:r>
      <w:r w:rsidR="00B603EC">
        <w:t>Osteophyte severity</w:t>
      </w:r>
    </w:p>
    <w:p w14:paraId="25A6ED42" w14:textId="77777777" w:rsidR="00B603EC" w:rsidRDefault="00B603EC" w:rsidP="00B603EC">
      <w:r w:rsidRPr="002C626A">
        <w:rPr>
          <w:rFonts w:cstheme="minorHAnsi"/>
          <w:noProof/>
        </w:rPr>
        <w:drawing>
          <wp:inline distT="0" distB="0" distL="0" distR="0" wp14:anchorId="12DF973A" wp14:editId="55D72BEE">
            <wp:extent cx="2231213" cy="1812898"/>
            <wp:effectExtent l="0" t="0" r="0" b="0"/>
            <wp:docPr id="8" name="Picture 8" descr="JP USB 2013:1 Oxford Research:UKA_EndAMOA:figur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JP USB 2013:1 Oxford Research:UKA_EndAMOA:figure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5923" cy="182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E8D1CC" w14:textId="77777777" w:rsidR="00B603EC" w:rsidRDefault="00B603EC" w:rsidP="00B603EC">
      <w:pPr>
        <w:rPr>
          <w:u w:val="single"/>
        </w:rPr>
      </w:pPr>
    </w:p>
    <w:p w14:paraId="2BED67C8" w14:textId="4DB33900" w:rsidR="00BC4D97" w:rsidRPr="00784188" w:rsidRDefault="00BC4D97" w:rsidP="00BC4D97">
      <w:pPr>
        <w:spacing w:line="276" w:lineRule="auto"/>
        <w:rPr>
          <w:rFonts w:cstheme="minorHAnsi"/>
        </w:rPr>
      </w:pPr>
      <w:r w:rsidRPr="00784188">
        <w:rPr>
          <w:rFonts w:cstheme="minorHAnsi"/>
        </w:rPr>
        <w:t xml:space="preserve">Illustration of </w:t>
      </w:r>
      <w:bookmarkStart w:id="0" w:name="_Hlk149218946"/>
      <w:r w:rsidRPr="00784188">
        <w:rPr>
          <w:rFonts w:cstheme="minorHAnsi"/>
        </w:rPr>
        <w:t>osteophyte severity scoring; 1 = a minor deviation, 2 = moderate deviation, 3= large irregularity</w:t>
      </w:r>
    </w:p>
    <w:bookmarkEnd w:id="0"/>
    <w:p w14:paraId="17BB3FAF" w14:textId="77777777" w:rsidR="00BC4D97" w:rsidRDefault="00BC4D97" w:rsidP="00B603EC">
      <w:pPr>
        <w:rPr>
          <w:u w:val="single"/>
        </w:rPr>
      </w:pPr>
    </w:p>
    <w:p w14:paraId="71C54A42" w14:textId="0586E928" w:rsidR="00B603EC" w:rsidRDefault="00BC4D97" w:rsidP="00B603EC">
      <w:r>
        <w:rPr>
          <w:u w:val="single"/>
        </w:rPr>
        <w:t>1d</w:t>
      </w:r>
      <w:r w:rsidR="00B603EC">
        <w:rPr>
          <w:u w:val="single"/>
        </w:rPr>
        <w:t xml:space="preserve">: </w:t>
      </w:r>
      <w:r w:rsidR="00B603EC">
        <w:t>Meniscal extrusion</w:t>
      </w:r>
    </w:p>
    <w:p w14:paraId="38BECD4C" w14:textId="77777777" w:rsidR="00B603EC" w:rsidRDefault="00B603EC" w:rsidP="00B603EC">
      <w:r w:rsidRPr="002C626A">
        <w:rPr>
          <w:rFonts w:cstheme="minorHAnsi"/>
          <w:noProof/>
        </w:rPr>
        <w:drawing>
          <wp:inline distT="0" distB="0" distL="0" distR="0" wp14:anchorId="2DD2D7FF" wp14:editId="0CB515E6">
            <wp:extent cx="1875842" cy="2313305"/>
            <wp:effectExtent l="0" t="0" r="3810" b="0"/>
            <wp:docPr id="9" name="Picture 9" descr="JP USB 2013:1 Oxford Research:UKA_EndAMOA:figur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JP USB 2013:1 Oxford Research:UKA_EndAMOA:figure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5842" cy="2313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36C726" w14:textId="35B580A9" w:rsidR="00BC4D97" w:rsidRDefault="00BC4D97" w:rsidP="00B603EC">
      <w:pPr>
        <w:rPr>
          <w:u w:val="single"/>
        </w:rPr>
      </w:pPr>
    </w:p>
    <w:p w14:paraId="4AB84A18" w14:textId="1AFF516A" w:rsidR="00BC4D97" w:rsidRPr="00784188" w:rsidRDefault="00BC4D97" w:rsidP="00BC4D97">
      <w:pPr>
        <w:spacing w:line="276" w:lineRule="auto"/>
        <w:rPr>
          <w:rFonts w:cstheme="minorHAnsi"/>
        </w:rPr>
      </w:pPr>
      <w:r w:rsidRPr="00784188">
        <w:rPr>
          <w:rFonts w:cstheme="minorHAnsi"/>
        </w:rPr>
        <w:t>Illustration of meniscal extrusion; extrusion was defined as more than 30% of the meniscal width lying outside a vertical line up from the tibial rim</w:t>
      </w:r>
    </w:p>
    <w:p w14:paraId="0F1599C1" w14:textId="77777777" w:rsidR="00BC4D97" w:rsidRDefault="00BC4D97" w:rsidP="00B603EC">
      <w:pPr>
        <w:rPr>
          <w:u w:val="single"/>
        </w:rPr>
      </w:pPr>
    </w:p>
    <w:p w14:paraId="7718021C" w14:textId="77777777" w:rsidR="00BC4D97" w:rsidRDefault="00BC4D97" w:rsidP="00B603EC">
      <w:pPr>
        <w:rPr>
          <w:u w:val="single"/>
        </w:rPr>
      </w:pPr>
    </w:p>
    <w:p w14:paraId="630D8A71" w14:textId="77777777" w:rsidR="00BC4D97" w:rsidRDefault="00BC4D97" w:rsidP="00B603EC">
      <w:pPr>
        <w:rPr>
          <w:u w:val="single"/>
        </w:rPr>
      </w:pPr>
    </w:p>
    <w:p w14:paraId="1C64B0CB" w14:textId="77777777" w:rsidR="00BC4D97" w:rsidRDefault="00BC4D97" w:rsidP="00B603EC">
      <w:pPr>
        <w:rPr>
          <w:u w:val="single"/>
        </w:rPr>
      </w:pPr>
    </w:p>
    <w:p w14:paraId="54CD278C" w14:textId="77777777" w:rsidR="00BC4D97" w:rsidRDefault="00BC4D97" w:rsidP="00B603EC">
      <w:pPr>
        <w:rPr>
          <w:u w:val="single"/>
        </w:rPr>
      </w:pPr>
    </w:p>
    <w:p w14:paraId="1F388E2B" w14:textId="77777777" w:rsidR="00BC4D97" w:rsidRDefault="00BC4D97" w:rsidP="00B603EC">
      <w:pPr>
        <w:rPr>
          <w:u w:val="single"/>
        </w:rPr>
      </w:pPr>
    </w:p>
    <w:p w14:paraId="00D167F6" w14:textId="77777777" w:rsidR="00BC4D97" w:rsidRDefault="00BC4D97" w:rsidP="00B603EC">
      <w:pPr>
        <w:rPr>
          <w:u w:val="single"/>
        </w:rPr>
      </w:pPr>
    </w:p>
    <w:p w14:paraId="0AD6B840" w14:textId="57B2C8E2" w:rsidR="00B603EC" w:rsidRDefault="00BC4D97" w:rsidP="00B603EC">
      <w:r>
        <w:rPr>
          <w:u w:val="single"/>
        </w:rPr>
        <w:t>1e</w:t>
      </w:r>
      <w:r w:rsidR="00B603EC">
        <w:rPr>
          <w:u w:val="single"/>
        </w:rPr>
        <w:t xml:space="preserve">: </w:t>
      </w:r>
      <w:r w:rsidR="00B603EC">
        <w:t>ACL scoring system</w:t>
      </w:r>
    </w:p>
    <w:p w14:paraId="39E7DF5E" w14:textId="1EEABF15" w:rsidR="00BC4D97" w:rsidRDefault="00B603EC">
      <w:r w:rsidRPr="002C626A">
        <w:rPr>
          <w:rFonts w:cstheme="minorHAnsi"/>
          <w:noProof/>
        </w:rPr>
        <w:drawing>
          <wp:inline distT="0" distB="0" distL="0" distR="0" wp14:anchorId="40B275B6" wp14:editId="5EB0AEF3">
            <wp:extent cx="2529501" cy="3409924"/>
            <wp:effectExtent l="0" t="0" r="4445" b="635"/>
            <wp:docPr id="10" name="Picture 10" descr="JP USB 2013:1 Oxford Research:UKA_EndAMOA:figure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JP USB 2013:1 Oxford Research:UKA_EndAMOA:figure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25" t="10019" r="7263" b="7646"/>
                    <a:stretch/>
                  </pic:blipFill>
                  <pic:spPr bwMode="auto">
                    <a:xfrm>
                      <a:off x="0" y="0"/>
                      <a:ext cx="2530676" cy="3411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A8F004" w14:textId="77777777" w:rsidR="00BC4D97" w:rsidRPr="00784188" w:rsidRDefault="00BC4D97" w:rsidP="00BC4D97">
      <w:pPr>
        <w:spacing w:line="276" w:lineRule="auto"/>
        <w:rPr>
          <w:rFonts w:cstheme="minorHAnsi"/>
        </w:rPr>
      </w:pPr>
      <w:r w:rsidRPr="00784188">
        <w:rPr>
          <w:rFonts w:cstheme="minorHAnsi"/>
        </w:rPr>
        <w:t xml:space="preserve">Illustration of </w:t>
      </w:r>
      <w:bookmarkStart w:id="1" w:name="_Hlk149219046"/>
      <w:r w:rsidRPr="00784188">
        <w:rPr>
          <w:rFonts w:cstheme="minorHAnsi"/>
        </w:rPr>
        <w:t>ACL scoring system; 0= normal, 1= minor signal changes present in an intact ligament, 2 = more significant splaying, kinking or ganglion formation but with preserved orientation of fibres, 3= rupture</w:t>
      </w:r>
      <w:bookmarkEnd w:id="1"/>
    </w:p>
    <w:p w14:paraId="740C822C" w14:textId="77777777" w:rsidR="00BC4D97" w:rsidRDefault="00BC4D97" w:rsidP="00BC4D97"/>
    <w:p w14:paraId="795ABA45" w14:textId="77777777" w:rsidR="00BC4D97" w:rsidRDefault="00BC4D97"/>
    <w:sectPr w:rsidR="00BC4D97" w:rsidSect="00203D0E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3EC"/>
    <w:rsid w:val="0006332D"/>
    <w:rsid w:val="00203D0E"/>
    <w:rsid w:val="003D59E4"/>
    <w:rsid w:val="003D77EF"/>
    <w:rsid w:val="006C7BF2"/>
    <w:rsid w:val="00973C0B"/>
    <w:rsid w:val="00B603EC"/>
    <w:rsid w:val="00BC4D97"/>
    <w:rsid w:val="00D27F3D"/>
    <w:rsid w:val="00E377F6"/>
    <w:rsid w:val="00FF4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3AAF8E"/>
  <w15:chartTrackingRefBased/>
  <w15:docId w15:val="{C261EF99-0668-44A9-95DB-4E8A52F5F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03EC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142</Words>
  <Characters>789</Characters>
  <Application>Microsoft Office Word</Application>
  <DocSecurity>0</DocSecurity>
  <Lines>39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Region Hovedstaden</Company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 Ifigenia Bunyoz</dc:creator>
  <cp:keywords/>
  <dc:description/>
  <cp:lastModifiedBy>Kristine Ifigenia Bunyoz</cp:lastModifiedBy>
  <cp:revision>6</cp:revision>
  <dcterms:created xsi:type="dcterms:W3CDTF">2023-10-26T08:03:00Z</dcterms:created>
  <dcterms:modified xsi:type="dcterms:W3CDTF">2023-10-30T12:41:00Z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38aeee91-9b30-4e78-aa7e-bd37aa9da3f4</vt:lpwstr>
  </property>
</Properties>
</file>