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2398" w14:textId="77777777" w:rsidR="00AF71E4" w:rsidRDefault="00000000">
      <w:pPr>
        <w:pStyle w:val="berschrift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A560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Supplementary Tables </w:t>
      </w:r>
    </w:p>
    <w:p w14:paraId="58804134" w14:textId="77777777" w:rsidR="00BA560E" w:rsidRPr="00BA560E" w:rsidRDefault="00BA560E" w:rsidP="00BA560E"/>
    <w:p w14:paraId="4B525091" w14:textId="77777777" w:rsidR="00AF71E4" w:rsidRDefault="00000000">
      <w:pPr>
        <w:pStyle w:val="berschrift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A560E">
        <w:rPr>
          <w:rFonts w:ascii="Times New Roman" w:hAnsi="Times New Roman" w:cs="Times New Roman"/>
          <w:color w:val="000000" w:themeColor="text1"/>
          <w:sz w:val="22"/>
          <w:szCs w:val="22"/>
        </w:rPr>
        <w:t>Supplementary Table S1. Comparison between patients with high vs. low total blood loss (≥1184 ml vs &lt;1184 ml)</w:t>
      </w:r>
    </w:p>
    <w:p w14:paraId="2FE99B00" w14:textId="77777777" w:rsidR="00BA560E" w:rsidRPr="00BA560E" w:rsidRDefault="00BA560E" w:rsidP="00BA560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BA560E" w:rsidRPr="00BA560E" w14:paraId="38770217" w14:textId="77777777" w:rsidTr="00BA560E">
        <w:tc>
          <w:tcPr>
            <w:tcW w:w="2160" w:type="dxa"/>
          </w:tcPr>
          <w:p w14:paraId="2FEC1E0D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2160" w:type="dxa"/>
          </w:tcPr>
          <w:p w14:paraId="1049A467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 Blood Loss (≥1184 ml)</w:t>
            </w:r>
          </w:p>
        </w:tc>
        <w:tc>
          <w:tcPr>
            <w:tcW w:w="2160" w:type="dxa"/>
          </w:tcPr>
          <w:p w14:paraId="7434C86D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 Blood Loss (&lt;1184 ml)</w:t>
            </w:r>
          </w:p>
        </w:tc>
        <w:tc>
          <w:tcPr>
            <w:tcW w:w="2160" w:type="dxa"/>
          </w:tcPr>
          <w:p w14:paraId="27F9E29A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BA560E" w:rsidRPr="00BA560E" w14:paraId="6287E932" w14:textId="77777777" w:rsidTr="00BA560E">
        <w:tc>
          <w:tcPr>
            <w:tcW w:w="2160" w:type="dxa"/>
          </w:tcPr>
          <w:p w14:paraId="48980585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2160" w:type="dxa"/>
          </w:tcPr>
          <w:p w14:paraId="0B189F0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79.3 ± 11.7</w:t>
            </w:r>
          </w:p>
        </w:tc>
        <w:tc>
          <w:tcPr>
            <w:tcW w:w="2160" w:type="dxa"/>
          </w:tcPr>
          <w:p w14:paraId="4A989B1E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82.7 ± 10.0</w:t>
            </w:r>
          </w:p>
        </w:tc>
        <w:tc>
          <w:tcPr>
            <w:tcW w:w="2160" w:type="dxa"/>
          </w:tcPr>
          <w:p w14:paraId="5B8398C0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0.043</w:t>
            </w:r>
          </w:p>
        </w:tc>
      </w:tr>
      <w:tr w:rsidR="00BA560E" w:rsidRPr="00BA560E" w14:paraId="2CF2DAD0" w14:textId="77777777" w:rsidTr="00BA560E">
        <w:tc>
          <w:tcPr>
            <w:tcW w:w="2160" w:type="dxa"/>
          </w:tcPr>
          <w:p w14:paraId="130A0F24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Height (cm)</w:t>
            </w:r>
          </w:p>
        </w:tc>
        <w:tc>
          <w:tcPr>
            <w:tcW w:w="2160" w:type="dxa"/>
          </w:tcPr>
          <w:p w14:paraId="03F381BE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169 ± 10</w:t>
            </w:r>
          </w:p>
        </w:tc>
        <w:tc>
          <w:tcPr>
            <w:tcW w:w="2160" w:type="dxa"/>
          </w:tcPr>
          <w:p w14:paraId="2FC50933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166 ± 9</w:t>
            </w:r>
          </w:p>
        </w:tc>
        <w:tc>
          <w:tcPr>
            <w:tcW w:w="2160" w:type="dxa"/>
          </w:tcPr>
          <w:p w14:paraId="34FEC5B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  <w:tr w:rsidR="00BA560E" w:rsidRPr="00BA560E" w14:paraId="15102B1B" w14:textId="77777777" w:rsidTr="00BA560E">
        <w:tc>
          <w:tcPr>
            <w:tcW w:w="2160" w:type="dxa"/>
          </w:tcPr>
          <w:p w14:paraId="7BC12A49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Weight (kg)</w:t>
            </w:r>
          </w:p>
        </w:tc>
        <w:tc>
          <w:tcPr>
            <w:tcW w:w="2160" w:type="dxa"/>
          </w:tcPr>
          <w:p w14:paraId="3C8032B9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73.1 ± 15.2</w:t>
            </w:r>
          </w:p>
        </w:tc>
        <w:tc>
          <w:tcPr>
            <w:tcW w:w="2160" w:type="dxa"/>
          </w:tcPr>
          <w:p w14:paraId="1D26B4F5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64.0 ± 12.6</w:t>
            </w:r>
          </w:p>
        </w:tc>
        <w:tc>
          <w:tcPr>
            <w:tcW w:w="2160" w:type="dxa"/>
          </w:tcPr>
          <w:p w14:paraId="70F8D4FF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007B26F0" w14:textId="77777777" w:rsidTr="00BA560E">
        <w:tc>
          <w:tcPr>
            <w:tcW w:w="2160" w:type="dxa"/>
          </w:tcPr>
          <w:p w14:paraId="28527703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BMI (kg/m²)</w:t>
            </w:r>
          </w:p>
        </w:tc>
        <w:tc>
          <w:tcPr>
            <w:tcW w:w="2160" w:type="dxa"/>
          </w:tcPr>
          <w:p w14:paraId="7EAC7D83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25.4 ± 4.5</w:t>
            </w:r>
          </w:p>
        </w:tc>
        <w:tc>
          <w:tcPr>
            <w:tcW w:w="2160" w:type="dxa"/>
          </w:tcPr>
          <w:p w14:paraId="3A57F91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23.3 ± 4.0</w:t>
            </w:r>
          </w:p>
        </w:tc>
        <w:tc>
          <w:tcPr>
            <w:tcW w:w="2160" w:type="dxa"/>
          </w:tcPr>
          <w:p w14:paraId="5BFC7E03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1ED8F984" w14:textId="77777777" w:rsidTr="00BA560E">
        <w:tc>
          <w:tcPr>
            <w:tcW w:w="2160" w:type="dxa"/>
          </w:tcPr>
          <w:p w14:paraId="0F91839B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Post-op Hb (g/dl)</w:t>
            </w:r>
          </w:p>
        </w:tc>
        <w:tc>
          <w:tcPr>
            <w:tcW w:w="2160" w:type="dxa"/>
          </w:tcPr>
          <w:p w14:paraId="5C72908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8.3 ± 1.2</w:t>
            </w:r>
          </w:p>
        </w:tc>
        <w:tc>
          <w:tcPr>
            <w:tcW w:w="2160" w:type="dxa"/>
          </w:tcPr>
          <w:p w14:paraId="32203BE4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10.0 ± 1.4</w:t>
            </w:r>
          </w:p>
        </w:tc>
        <w:tc>
          <w:tcPr>
            <w:tcW w:w="2160" w:type="dxa"/>
          </w:tcPr>
          <w:p w14:paraId="19A660B7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23645CDF" w14:textId="77777777" w:rsidTr="00BA560E">
        <w:tc>
          <w:tcPr>
            <w:tcW w:w="2160" w:type="dxa"/>
          </w:tcPr>
          <w:p w14:paraId="04E8F6CD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Operative time (min)</w:t>
            </w:r>
          </w:p>
        </w:tc>
        <w:tc>
          <w:tcPr>
            <w:tcW w:w="2160" w:type="dxa"/>
          </w:tcPr>
          <w:p w14:paraId="7850D2A3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106.8 ± 49.8</w:t>
            </w:r>
          </w:p>
        </w:tc>
        <w:tc>
          <w:tcPr>
            <w:tcW w:w="2160" w:type="dxa"/>
          </w:tcPr>
          <w:p w14:paraId="4FADB1F2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82.7 ± 44.1</w:t>
            </w:r>
          </w:p>
        </w:tc>
        <w:tc>
          <w:tcPr>
            <w:tcW w:w="2160" w:type="dxa"/>
          </w:tcPr>
          <w:p w14:paraId="55907EF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6FD1EECB" w14:textId="77777777" w:rsidTr="00BA560E">
        <w:tc>
          <w:tcPr>
            <w:tcW w:w="2160" w:type="dxa"/>
          </w:tcPr>
          <w:p w14:paraId="5C4B89E3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Anticoagulant use (%)</w:t>
            </w:r>
          </w:p>
        </w:tc>
        <w:tc>
          <w:tcPr>
            <w:tcW w:w="2160" w:type="dxa"/>
          </w:tcPr>
          <w:p w14:paraId="58F5B01E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37.5%</w:t>
            </w:r>
          </w:p>
        </w:tc>
        <w:tc>
          <w:tcPr>
            <w:tcW w:w="2160" w:type="dxa"/>
          </w:tcPr>
          <w:p w14:paraId="647242E4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20.4%</w:t>
            </w:r>
          </w:p>
        </w:tc>
        <w:tc>
          <w:tcPr>
            <w:tcW w:w="2160" w:type="dxa"/>
          </w:tcPr>
          <w:p w14:paraId="0E7D166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BA560E" w:rsidRPr="00BA560E" w14:paraId="207BC7E9" w14:textId="77777777" w:rsidTr="00BA560E">
        <w:tc>
          <w:tcPr>
            <w:tcW w:w="2160" w:type="dxa"/>
          </w:tcPr>
          <w:p w14:paraId="63C2DF79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Transfusion needed (%)</w:t>
            </w:r>
          </w:p>
        </w:tc>
        <w:tc>
          <w:tcPr>
            <w:tcW w:w="2160" w:type="dxa"/>
          </w:tcPr>
          <w:p w14:paraId="46041D38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44.6%</w:t>
            </w:r>
          </w:p>
        </w:tc>
        <w:tc>
          <w:tcPr>
            <w:tcW w:w="2160" w:type="dxa"/>
          </w:tcPr>
          <w:p w14:paraId="26E1B547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13.8%</w:t>
            </w:r>
          </w:p>
        </w:tc>
        <w:tc>
          <w:tcPr>
            <w:tcW w:w="2160" w:type="dxa"/>
          </w:tcPr>
          <w:p w14:paraId="3BF426A8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41CD7483" w14:textId="77777777" w:rsidTr="00BA560E">
        <w:tc>
          <w:tcPr>
            <w:tcW w:w="2160" w:type="dxa"/>
          </w:tcPr>
          <w:p w14:paraId="47B0F70F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Transfused Hb (g)</w:t>
            </w:r>
          </w:p>
        </w:tc>
        <w:tc>
          <w:tcPr>
            <w:tcW w:w="2160" w:type="dxa"/>
          </w:tcPr>
          <w:p w14:paraId="6B02C3E0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110.3 ± 97.8</w:t>
            </w:r>
          </w:p>
        </w:tc>
        <w:tc>
          <w:tcPr>
            <w:tcW w:w="2160" w:type="dxa"/>
          </w:tcPr>
          <w:p w14:paraId="642168E0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55.6 ± 20.1</w:t>
            </w:r>
          </w:p>
        </w:tc>
        <w:tc>
          <w:tcPr>
            <w:tcW w:w="2160" w:type="dxa"/>
          </w:tcPr>
          <w:p w14:paraId="70C146FE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01FB9132" w14:textId="77777777" w:rsidR="00AF71E4" w:rsidRPr="00BA560E" w:rsidRDefault="00000000">
      <w:pPr>
        <w:rPr>
          <w:rFonts w:ascii="Times New Roman" w:hAnsi="Times New Roman" w:cs="Times New Roman"/>
          <w:color w:val="000000" w:themeColor="text1"/>
        </w:rPr>
      </w:pPr>
      <w:r w:rsidRPr="00BA560E">
        <w:rPr>
          <w:rFonts w:ascii="Times New Roman" w:hAnsi="Times New Roman" w:cs="Times New Roman"/>
          <w:color w:val="000000" w:themeColor="text1"/>
        </w:rPr>
        <w:t>Continuous variables are presented as mean ± SD; categorical variables as n (%). Mann–Whitney U test or Pearson Chi² test were applied as appropriate.</w:t>
      </w:r>
    </w:p>
    <w:p w14:paraId="2AFDE935" w14:textId="77777777" w:rsidR="00AF71E4" w:rsidRPr="00BA560E" w:rsidRDefault="00000000">
      <w:pPr>
        <w:rPr>
          <w:rFonts w:ascii="Times New Roman" w:hAnsi="Times New Roman" w:cs="Times New Roman"/>
          <w:color w:val="000000" w:themeColor="text1"/>
        </w:rPr>
      </w:pPr>
      <w:r w:rsidRPr="00BA560E">
        <w:rPr>
          <w:rFonts w:ascii="Times New Roman" w:hAnsi="Times New Roman" w:cs="Times New Roman"/>
          <w:color w:val="000000" w:themeColor="text1"/>
        </w:rPr>
        <w:br w:type="page"/>
      </w:r>
    </w:p>
    <w:p w14:paraId="69E85904" w14:textId="77777777" w:rsidR="00AF71E4" w:rsidRDefault="00000000">
      <w:pPr>
        <w:pStyle w:val="berschrift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A560E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Supplementary Table S2. Comparison between patients in the highest quartile (&gt;1675 ml) and the remaining patients</w:t>
      </w:r>
    </w:p>
    <w:p w14:paraId="11ABD93B" w14:textId="77777777" w:rsidR="00BA560E" w:rsidRPr="00BA560E" w:rsidRDefault="00BA560E" w:rsidP="00BA560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BA560E" w:rsidRPr="00BA560E" w14:paraId="78BC874A" w14:textId="77777777" w:rsidTr="00BA560E">
        <w:tc>
          <w:tcPr>
            <w:tcW w:w="2160" w:type="dxa"/>
          </w:tcPr>
          <w:p w14:paraId="08B959B2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2160" w:type="dxa"/>
          </w:tcPr>
          <w:p w14:paraId="49B2AA0D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Upper Quartile (&gt;1675 ml)</w:t>
            </w:r>
          </w:p>
        </w:tc>
        <w:tc>
          <w:tcPr>
            <w:tcW w:w="2160" w:type="dxa"/>
          </w:tcPr>
          <w:p w14:paraId="66328AE3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Other Patients</w:t>
            </w:r>
          </w:p>
        </w:tc>
        <w:tc>
          <w:tcPr>
            <w:tcW w:w="2160" w:type="dxa"/>
          </w:tcPr>
          <w:p w14:paraId="3C072252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BA560E" w:rsidRPr="00BA560E" w14:paraId="41A6F014" w14:textId="77777777" w:rsidTr="00BA560E">
        <w:tc>
          <w:tcPr>
            <w:tcW w:w="2160" w:type="dxa"/>
          </w:tcPr>
          <w:p w14:paraId="739F2A79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Sex (male)</w:t>
            </w:r>
          </w:p>
        </w:tc>
        <w:tc>
          <w:tcPr>
            <w:tcW w:w="2160" w:type="dxa"/>
          </w:tcPr>
          <w:p w14:paraId="3C2D694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31 (48.4%)</w:t>
            </w:r>
          </w:p>
        </w:tc>
        <w:tc>
          <w:tcPr>
            <w:tcW w:w="2160" w:type="dxa"/>
          </w:tcPr>
          <w:p w14:paraId="352BC1D9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64 (32.7%)</w:t>
            </w:r>
          </w:p>
        </w:tc>
        <w:tc>
          <w:tcPr>
            <w:tcW w:w="2160" w:type="dxa"/>
          </w:tcPr>
          <w:p w14:paraId="6AB87680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0.023</w:t>
            </w:r>
          </w:p>
        </w:tc>
      </w:tr>
      <w:tr w:rsidR="00BA560E" w:rsidRPr="00BA560E" w14:paraId="20171163" w14:textId="77777777" w:rsidTr="00BA560E">
        <w:tc>
          <w:tcPr>
            <w:tcW w:w="2160" w:type="dxa"/>
          </w:tcPr>
          <w:p w14:paraId="3C551877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2160" w:type="dxa"/>
          </w:tcPr>
          <w:p w14:paraId="279867F8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79.4 ± 11.5</w:t>
            </w:r>
          </w:p>
        </w:tc>
        <w:tc>
          <w:tcPr>
            <w:tcW w:w="2160" w:type="dxa"/>
          </w:tcPr>
          <w:p w14:paraId="1CD96DA9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81.5 ± 10.8</w:t>
            </w:r>
          </w:p>
        </w:tc>
        <w:tc>
          <w:tcPr>
            <w:tcW w:w="2160" w:type="dxa"/>
          </w:tcPr>
          <w:p w14:paraId="5C50BAB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0.192</w:t>
            </w:r>
          </w:p>
        </w:tc>
      </w:tr>
      <w:tr w:rsidR="00BA560E" w:rsidRPr="00BA560E" w14:paraId="137A6C31" w14:textId="77777777" w:rsidTr="00BA560E">
        <w:tc>
          <w:tcPr>
            <w:tcW w:w="2160" w:type="dxa"/>
          </w:tcPr>
          <w:p w14:paraId="3002CAD3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BMI (kg/m²)</w:t>
            </w:r>
          </w:p>
        </w:tc>
        <w:tc>
          <w:tcPr>
            <w:tcW w:w="2160" w:type="dxa"/>
          </w:tcPr>
          <w:p w14:paraId="762BBB8B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25.6 ± 3.9</w:t>
            </w:r>
          </w:p>
        </w:tc>
        <w:tc>
          <w:tcPr>
            <w:tcW w:w="2160" w:type="dxa"/>
          </w:tcPr>
          <w:p w14:paraId="06C6BAD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24.0 ± 4.5</w:t>
            </w:r>
          </w:p>
        </w:tc>
        <w:tc>
          <w:tcPr>
            <w:tcW w:w="2160" w:type="dxa"/>
          </w:tcPr>
          <w:p w14:paraId="10FB4B0A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BA560E" w:rsidRPr="00BA560E" w14:paraId="24FD8352" w14:textId="77777777" w:rsidTr="00BA560E">
        <w:tc>
          <w:tcPr>
            <w:tcW w:w="2160" w:type="dxa"/>
          </w:tcPr>
          <w:p w14:paraId="5A95580F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Operative time (min)</w:t>
            </w:r>
          </w:p>
        </w:tc>
        <w:tc>
          <w:tcPr>
            <w:tcW w:w="2160" w:type="dxa"/>
          </w:tcPr>
          <w:p w14:paraId="2E60237F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106.8 ± 49.8</w:t>
            </w:r>
          </w:p>
        </w:tc>
        <w:tc>
          <w:tcPr>
            <w:tcW w:w="2160" w:type="dxa"/>
          </w:tcPr>
          <w:p w14:paraId="393E962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82.7 ± 44.1</w:t>
            </w:r>
          </w:p>
        </w:tc>
        <w:tc>
          <w:tcPr>
            <w:tcW w:w="2160" w:type="dxa"/>
          </w:tcPr>
          <w:p w14:paraId="31124568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560E" w:rsidRPr="00BA560E" w14:paraId="3FF434D6" w14:textId="77777777" w:rsidTr="00BA560E">
        <w:tc>
          <w:tcPr>
            <w:tcW w:w="2160" w:type="dxa"/>
          </w:tcPr>
          <w:p w14:paraId="2CA3A0C8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Anticoagulant use (%)</w:t>
            </w:r>
          </w:p>
        </w:tc>
        <w:tc>
          <w:tcPr>
            <w:tcW w:w="2160" w:type="dxa"/>
          </w:tcPr>
          <w:p w14:paraId="1C5BD0C8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37.5%</w:t>
            </w:r>
          </w:p>
        </w:tc>
        <w:tc>
          <w:tcPr>
            <w:tcW w:w="2160" w:type="dxa"/>
          </w:tcPr>
          <w:p w14:paraId="09653E02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20.4%</w:t>
            </w:r>
          </w:p>
        </w:tc>
        <w:tc>
          <w:tcPr>
            <w:tcW w:w="2160" w:type="dxa"/>
          </w:tcPr>
          <w:p w14:paraId="0C0892CB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</w:tr>
      <w:tr w:rsidR="00BA560E" w:rsidRPr="00BA560E" w14:paraId="34575D38" w14:textId="77777777" w:rsidTr="00BA560E">
        <w:tc>
          <w:tcPr>
            <w:tcW w:w="2160" w:type="dxa"/>
          </w:tcPr>
          <w:p w14:paraId="169BCD56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PTT (s)</w:t>
            </w:r>
          </w:p>
        </w:tc>
        <w:tc>
          <w:tcPr>
            <w:tcW w:w="2160" w:type="dxa"/>
          </w:tcPr>
          <w:p w14:paraId="72211CAE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28.6 ± 4.5</w:t>
            </w:r>
          </w:p>
        </w:tc>
        <w:tc>
          <w:tcPr>
            <w:tcW w:w="2160" w:type="dxa"/>
          </w:tcPr>
          <w:p w14:paraId="7B562124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28.4 ± 6.4</w:t>
            </w:r>
          </w:p>
        </w:tc>
        <w:tc>
          <w:tcPr>
            <w:tcW w:w="2160" w:type="dxa"/>
          </w:tcPr>
          <w:p w14:paraId="32424B81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0.114</w:t>
            </w:r>
          </w:p>
        </w:tc>
      </w:tr>
      <w:tr w:rsidR="00BA560E" w:rsidRPr="00BA560E" w14:paraId="1353353B" w14:textId="77777777" w:rsidTr="00BA560E">
        <w:tc>
          <w:tcPr>
            <w:tcW w:w="2160" w:type="dxa"/>
          </w:tcPr>
          <w:p w14:paraId="16A00084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INR</w:t>
            </w:r>
          </w:p>
        </w:tc>
        <w:tc>
          <w:tcPr>
            <w:tcW w:w="2160" w:type="dxa"/>
          </w:tcPr>
          <w:p w14:paraId="13409342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1.05 ± 0.29</w:t>
            </w:r>
          </w:p>
        </w:tc>
        <w:tc>
          <w:tcPr>
            <w:tcW w:w="2160" w:type="dxa"/>
          </w:tcPr>
          <w:p w14:paraId="2F5E1382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1.07 ± 0.43</w:t>
            </w:r>
          </w:p>
        </w:tc>
        <w:tc>
          <w:tcPr>
            <w:tcW w:w="2160" w:type="dxa"/>
          </w:tcPr>
          <w:p w14:paraId="471F3579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0.080</w:t>
            </w:r>
          </w:p>
        </w:tc>
      </w:tr>
      <w:tr w:rsidR="00BA560E" w:rsidRPr="00BA560E" w14:paraId="7060A850" w14:textId="77777777" w:rsidTr="00BA560E">
        <w:tc>
          <w:tcPr>
            <w:tcW w:w="2160" w:type="dxa"/>
          </w:tcPr>
          <w:p w14:paraId="7A2DDCD7" w14:textId="77777777" w:rsidR="00AF71E4" w:rsidRPr="00BA560E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Transfusion needed (%)</w:t>
            </w:r>
          </w:p>
        </w:tc>
        <w:tc>
          <w:tcPr>
            <w:tcW w:w="2160" w:type="dxa"/>
          </w:tcPr>
          <w:p w14:paraId="4C7E1E17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44.6%</w:t>
            </w:r>
          </w:p>
        </w:tc>
        <w:tc>
          <w:tcPr>
            <w:tcW w:w="2160" w:type="dxa"/>
          </w:tcPr>
          <w:p w14:paraId="1D55271C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13.8%</w:t>
            </w:r>
          </w:p>
        </w:tc>
        <w:tc>
          <w:tcPr>
            <w:tcW w:w="2160" w:type="dxa"/>
          </w:tcPr>
          <w:p w14:paraId="66CA0CF9" w14:textId="77777777" w:rsidR="00AF71E4" w:rsidRPr="00BA560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560E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4725E891" w14:textId="77777777" w:rsidR="00AF71E4" w:rsidRPr="00BA560E" w:rsidRDefault="00000000">
      <w:pPr>
        <w:rPr>
          <w:rFonts w:ascii="Times New Roman" w:hAnsi="Times New Roman" w:cs="Times New Roman"/>
          <w:color w:val="000000" w:themeColor="text1"/>
        </w:rPr>
      </w:pPr>
      <w:r w:rsidRPr="00BA560E">
        <w:rPr>
          <w:rFonts w:ascii="Times New Roman" w:hAnsi="Times New Roman" w:cs="Times New Roman"/>
          <w:color w:val="000000" w:themeColor="text1"/>
        </w:rPr>
        <w:t>Continuous variables are presented as mean ± SD; categorical variables as n (%). Mann–Whitney U test or Pearson Chi² test were applied as appropriate.</w:t>
      </w:r>
    </w:p>
    <w:sectPr w:rsidR="00AF71E4" w:rsidRPr="00BA56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7387938">
    <w:abstractNumId w:val="8"/>
  </w:num>
  <w:num w:numId="2" w16cid:durableId="1664551210">
    <w:abstractNumId w:val="6"/>
  </w:num>
  <w:num w:numId="3" w16cid:durableId="2002200847">
    <w:abstractNumId w:val="5"/>
  </w:num>
  <w:num w:numId="4" w16cid:durableId="1186090107">
    <w:abstractNumId w:val="4"/>
  </w:num>
  <w:num w:numId="5" w16cid:durableId="24987154">
    <w:abstractNumId w:val="7"/>
  </w:num>
  <w:num w:numId="6" w16cid:durableId="1335307156">
    <w:abstractNumId w:val="3"/>
  </w:num>
  <w:num w:numId="7" w16cid:durableId="1673993097">
    <w:abstractNumId w:val="2"/>
  </w:num>
  <w:num w:numId="8" w16cid:durableId="1230076307">
    <w:abstractNumId w:val="1"/>
  </w:num>
  <w:num w:numId="9" w16cid:durableId="182118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3F"/>
    <w:rsid w:val="00034616"/>
    <w:rsid w:val="0006063C"/>
    <w:rsid w:val="0015074B"/>
    <w:rsid w:val="0029639D"/>
    <w:rsid w:val="00326F90"/>
    <w:rsid w:val="0087318A"/>
    <w:rsid w:val="009F7D3F"/>
    <w:rsid w:val="00AA1D8D"/>
    <w:rsid w:val="00AF71E4"/>
    <w:rsid w:val="00B15DB8"/>
    <w:rsid w:val="00B47730"/>
    <w:rsid w:val="00BA560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87846"/>
  <w14:defaultImageDpi w14:val="300"/>
  <w15:docId w15:val="{50DBFA19-D9E9-A247-A912-CFC26E0D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nclausen/Library/Containers/com.apple.mail/Data/Library/Mail%20Downloads/625B48DF-CC8A-43C1-8215-E1386E4B8168/Supplementary_Tables_HB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Supplementary_Tables_HBL.dotx</Template>
  <TotalTime>0</TotalTime>
  <Pages>2</Pages>
  <Words>194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Clausen</dc:creator>
  <cp:keywords/>
  <dc:description>generated by python-docx</dc:description>
  <cp:lastModifiedBy>Jan-Dierk Clausen</cp:lastModifiedBy>
  <cp:revision>1</cp:revision>
  <dcterms:created xsi:type="dcterms:W3CDTF">2026-01-04T16:27:00Z</dcterms:created>
  <dcterms:modified xsi:type="dcterms:W3CDTF">2026-01-04T16:29:00Z</dcterms:modified>
  <cp:category/>
</cp:coreProperties>
</file>