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C42A91" w14:textId="77777777" w:rsidR="004C4E76" w:rsidRPr="007427D4" w:rsidRDefault="003F24C8" w:rsidP="007427D4">
      <w:pPr>
        <w:spacing w:after="160" w:line="480" w:lineRule="auto"/>
        <w:jc w:val="both"/>
        <w:rPr>
          <w:sz w:val="28"/>
          <w:szCs w:val="24"/>
        </w:rPr>
      </w:pPr>
      <w:r w:rsidRPr="007427D4">
        <w:rPr>
          <w:b/>
          <w:sz w:val="28"/>
          <w:szCs w:val="24"/>
        </w:rPr>
        <w:t>Supplementary File 1 — STROBE Checklist</w:t>
      </w:r>
    </w:p>
    <w:p w14:paraId="2AA1BAF1" w14:textId="77777777" w:rsidR="004C4E76" w:rsidRPr="007427D4" w:rsidRDefault="003F24C8" w:rsidP="007427D4">
      <w:pPr>
        <w:spacing w:after="160" w:line="480" w:lineRule="auto"/>
        <w:jc w:val="both"/>
        <w:rPr>
          <w:sz w:val="28"/>
          <w:szCs w:val="24"/>
        </w:rPr>
      </w:pPr>
      <w:r w:rsidRPr="007427D4">
        <w:rPr>
          <w:szCs w:val="24"/>
        </w:rPr>
        <w:t>STROBE Statement — Checklist of items that should be included in reports of cohort studies</w:t>
      </w:r>
    </w:p>
    <w:p w14:paraId="198D8738" w14:textId="54DBA716" w:rsidR="004C4E76" w:rsidRPr="007427D4" w:rsidRDefault="003F24C8" w:rsidP="007427D4">
      <w:pPr>
        <w:spacing w:after="160" w:line="480" w:lineRule="auto"/>
        <w:jc w:val="both"/>
        <w:rPr>
          <w:sz w:val="28"/>
          <w:szCs w:val="24"/>
        </w:rPr>
      </w:pPr>
      <w:r w:rsidRPr="007427D4">
        <w:rPr>
          <w:szCs w:val="24"/>
        </w:rPr>
        <w:t>Manuscript: Hip Resurfacing Arthroplasty at a Minimum of 14 Years: Revision Is Concentrated Among Female Patients With Dysplasia and Small Components</w:t>
      </w:r>
    </w:p>
    <w:p w14:paraId="658936C0" w14:textId="77777777" w:rsidR="004C4E76" w:rsidRPr="007427D4" w:rsidRDefault="003F24C8" w:rsidP="007427D4">
      <w:pPr>
        <w:spacing w:after="160" w:line="480" w:lineRule="auto"/>
        <w:jc w:val="both"/>
        <w:rPr>
          <w:sz w:val="28"/>
          <w:szCs w:val="24"/>
        </w:rPr>
      </w:pPr>
      <w:r w:rsidRPr="007427D4">
        <w:rPr>
          <w:sz w:val="21"/>
          <w:szCs w:val="24"/>
        </w:rPr>
        <w:t>Entries updated for this revision are marked with an asterisk (*).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156"/>
        <w:gridCol w:w="2158"/>
        <w:gridCol w:w="2158"/>
        <w:gridCol w:w="2158"/>
      </w:tblGrid>
      <w:tr w:rsidR="004C4E76" w:rsidRPr="007427D4" w14:paraId="49E6AE59" w14:textId="77777777">
        <w:trPr>
          <w:jc w:val="center"/>
        </w:trPr>
        <w:tc>
          <w:tcPr>
            <w:tcW w:w="2160" w:type="dxa"/>
          </w:tcPr>
          <w:p w14:paraId="5C06418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b/>
                <w:sz w:val="18"/>
                <w:szCs w:val="24"/>
              </w:rPr>
              <w:t>Item No.</w:t>
            </w:r>
          </w:p>
        </w:tc>
        <w:tc>
          <w:tcPr>
            <w:tcW w:w="2160" w:type="dxa"/>
          </w:tcPr>
          <w:p w14:paraId="770DF4AC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b/>
                <w:sz w:val="18"/>
                <w:szCs w:val="24"/>
              </w:rPr>
              <w:t>Section</w:t>
            </w:r>
          </w:p>
        </w:tc>
        <w:tc>
          <w:tcPr>
            <w:tcW w:w="2160" w:type="dxa"/>
          </w:tcPr>
          <w:p w14:paraId="6D704FA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b/>
                <w:sz w:val="18"/>
                <w:szCs w:val="24"/>
              </w:rPr>
              <w:t>Recommendation</w:t>
            </w:r>
          </w:p>
        </w:tc>
        <w:tc>
          <w:tcPr>
            <w:tcW w:w="2160" w:type="dxa"/>
          </w:tcPr>
          <w:p w14:paraId="08AC027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b/>
                <w:sz w:val="18"/>
                <w:szCs w:val="24"/>
              </w:rPr>
              <w:t>Reported on page / section</w:t>
            </w:r>
          </w:p>
        </w:tc>
      </w:tr>
      <w:tr w:rsidR="004C4E76" w:rsidRPr="007427D4" w14:paraId="728A27D1" w14:textId="77777777">
        <w:trPr>
          <w:jc w:val="center"/>
        </w:trPr>
        <w:tc>
          <w:tcPr>
            <w:tcW w:w="2160" w:type="dxa"/>
          </w:tcPr>
          <w:p w14:paraId="31BB6B7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1(a)</w:t>
            </w:r>
          </w:p>
        </w:tc>
        <w:tc>
          <w:tcPr>
            <w:tcW w:w="2160" w:type="dxa"/>
          </w:tcPr>
          <w:p w14:paraId="7E178E7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Title and abstract</w:t>
            </w:r>
          </w:p>
        </w:tc>
        <w:tc>
          <w:tcPr>
            <w:tcW w:w="2160" w:type="dxa"/>
          </w:tcPr>
          <w:p w14:paraId="68C19FA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Indicate the study's design with a commonly used term in the title or the abstract</w:t>
            </w:r>
          </w:p>
        </w:tc>
        <w:tc>
          <w:tcPr>
            <w:tcW w:w="2160" w:type="dxa"/>
          </w:tcPr>
          <w:p w14:paraId="6716D8D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Title; Abstract, Materials and methods — “retrospective cohort study”  *</w:t>
            </w:r>
          </w:p>
        </w:tc>
      </w:tr>
      <w:tr w:rsidR="004C4E76" w:rsidRPr="007427D4" w14:paraId="016F5E1F" w14:textId="77777777">
        <w:trPr>
          <w:jc w:val="center"/>
        </w:trPr>
        <w:tc>
          <w:tcPr>
            <w:tcW w:w="2160" w:type="dxa"/>
          </w:tcPr>
          <w:p w14:paraId="39266A1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1(b)</w:t>
            </w:r>
          </w:p>
        </w:tc>
        <w:tc>
          <w:tcPr>
            <w:tcW w:w="2160" w:type="dxa"/>
          </w:tcPr>
          <w:p w14:paraId="11C10D9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Title and abstract</w:t>
            </w:r>
          </w:p>
        </w:tc>
        <w:tc>
          <w:tcPr>
            <w:tcW w:w="2160" w:type="dxa"/>
          </w:tcPr>
          <w:p w14:paraId="3632F86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Provide in the abstract an informative and balanced summary of what was done and what was found</w:t>
            </w:r>
          </w:p>
        </w:tc>
        <w:tc>
          <w:tcPr>
            <w:tcW w:w="2160" w:type="dxa"/>
          </w:tcPr>
          <w:p w14:paraId="5C714BA2" w14:textId="3F2CA4C6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Abstract (structured: Introduction / Materials and methods / Results / Conclusions; 29</w:t>
            </w:r>
            <w:r w:rsidR="00457E06">
              <w:rPr>
                <w:sz w:val="18"/>
                <w:szCs w:val="24"/>
              </w:rPr>
              <w:t>6</w:t>
            </w:r>
            <w:r w:rsidRPr="007427D4">
              <w:rPr>
                <w:sz w:val="18"/>
                <w:szCs w:val="24"/>
              </w:rPr>
              <w:t xml:space="preserve"> words)  *</w:t>
            </w:r>
          </w:p>
        </w:tc>
      </w:tr>
      <w:tr w:rsidR="004C4E76" w:rsidRPr="007427D4" w14:paraId="25E4D8DB" w14:textId="77777777">
        <w:trPr>
          <w:jc w:val="center"/>
        </w:trPr>
        <w:tc>
          <w:tcPr>
            <w:tcW w:w="2160" w:type="dxa"/>
          </w:tcPr>
          <w:p w14:paraId="287A7DB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Introduction</w:t>
            </w:r>
          </w:p>
        </w:tc>
        <w:tc>
          <w:tcPr>
            <w:tcW w:w="2160" w:type="dxa"/>
          </w:tcPr>
          <w:p w14:paraId="7E34AC24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45BCD94D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78E936B6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</w:tr>
      <w:tr w:rsidR="004C4E76" w:rsidRPr="007427D4" w14:paraId="53CF3EF8" w14:textId="77777777">
        <w:trPr>
          <w:jc w:val="center"/>
        </w:trPr>
        <w:tc>
          <w:tcPr>
            <w:tcW w:w="2160" w:type="dxa"/>
          </w:tcPr>
          <w:p w14:paraId="5760236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2</w:t>
            </w:r>
          </w:p>
        </w:tc>
        <w:tc>
          <w:tcPr>
            <w:tcW w:w="2160" w:type="dxa"/>
          </w:tcPr>
          <w:p w14:paraId="1E3AD1B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Background/rationale</w:t>
            </w:r>
          </w:p>
        </w:tc>
        <w:tc>
          <w:tcPr>
            <w:tcW w:w="2160" w:type="dxa"/>
          </w:tcPr>
          <w:p w14:paraId="518CA5F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2160" w:type="dxa"/>
          </w:tcPr>
          <w:p w14:paraId="1BC79C9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Background, paragraphs 1–3</w:t>
            </w:r>
          </w:p>
        </w:tc>
      </w:tr>
      <w:tr w:rsidR="004C4E76" w:rsidRPr="007427D4" w14:paraId="34F62D7B" w14:textId="77777777">
        <w:trPr>
          <w:jc w:val="center"/>
        </w:trPr>
        <w:tc>
          <w:tcPr>
            <w:tcW w:w="2160" w:type="dxa"/>
          </w:tcPr>
          <w:p w14:paraId="50AFA26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3</w:t>
            </w:r>
          </w:p>
        </w:tc>
        <w:tc>
          <w:tcPr>
            <w:tcW w:w="2160" w:type="dxa"/>
          </w:tcPr>
          <w:p w14:paraId="7CF75D3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Objectives</w:t>
            </w:r>
          </w:p>
        </w:tc>
        <w:tc>
          <w:tcPr>
            <w:tcW w:w="2160" w:type="dxa"/>
          </w:tcPr>
          <w:p w14:paraId="38BF8EC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State specific objectives, including any pre-specified hypotheses</w:t>
            </w:r>
          </w:p>
        </w:tc>
        <w:tc>
          <w:tcPr>
            <w:tcW w:w="2160" w:type="dxa"/>
          </w:tcPr>
          <w:p w14:paraId="27D5179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Background, final paragraph (objective + hypothesis)</w:t>
            </w:r>
          </w:p>
        </w:tc>
      </w:tr>
      <w:tr w:rsidR="004C4E76" w:rsidRPr="007427D4" w14:paraId="3301DCD7" w14:textId="77777777">
        <w:trPr>
          <w:jc w:val="center"/>
        </w:trPr>
        <w:tc>
          <w:tcPr>
            <w:tcW w:w="2160" w:type="dxa"/>
          </w:tcPr>
          <w:p w14:paraId="633BA1AC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</w:t>
            </w:r>
          </w:p>
        </w:tc>
        <w:tc>
          <w:tcPr>
            <w:tcW w:w="2160" w:type="dxa"/>
          </w:tcPr>
          <w:p w14:paraId="01B62319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436D20DE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4C92B3A0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</w:tr>
      <w:tr w:rsidR="004C4E76" w:rsidRPr="007427D4" w14:paraId="0FBF9856" w14:textId="77777777">
        <w:trPr>
          <w:jc w:val="center"/>
        </w:trPr>
        <w:tc>
          <w:tcPr>
            <w:tcW w:w="2160" w:type="dxa"/>
          </w:tcPr>
          <w:p w14:paraId="6981E42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4</w:t>
            </w:r>
          </w:p>
        </w:tc>
        <w:tc>
          <w:tcPr>
            <w:tcW w:w="2160" w:type="dxa"/>
          </w:tcPr>
          <w:p w14:paraId="371B2B1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Study design</w:t>
            </w:r>
          </w:p>
        </w:tc>
        <w:tc>
          <w:tcPr>
            <w:tcW w:w="2160" w:type="dxa"/>
          </w:tcPr>
          <w:p w14:paraId="28504F7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Present key elements of study design early in the paper</w:t>
            </w:r>
          </w:p>
        </w:tc>
        <w:tc>
          <w:tcPr>
            <w:tcW w:w="2160" w:type="dxa"/>
          </w:tcPr>
          <w:p w14:paraId="2C067B9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 — Study Design and Patient Selection</w:t>
            </w:r>
          </w:p>
        </w:tc>
      </w:tr>
      <w:tr w:rsidR="004C4E76" w:rsidRPr="007427D4" w14:paraId="72EA405F" w14:textId="77777777">
        <w:trPr>
          <w:jc w:val="center"/>
        </w:trPr>
        <w:tc>
          <w:tcPr>
            <w:tcW w:w="2160" w:type="dxa"/>
          </w:tcPr>
          <w:p w14:paraId="4443DE3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5</w:t>
            </w:r>
          </w:p>
        </w:tc>
        <w:tc>
          <w:tcPr>
            <w:tcW w:w="2160" w:type="dxa"/>
          </w:tcPr>
          <w:p w14:paraId="7AB13FB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Setting</w:t>
            </w:r>
          </w:p>
        </w:tc>
        <w:tc>
          <w:tcPr>
            <w:tcW w:w="2160" w:type="dxa"/>
          </w:tcPr>
          <w:p w14:paraId="7CE752B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Describe the setting, locations, and relevant dates including periods of recruitment, exposure, follow-up, and data collection</w:t>
            </w:r>
          </w:p>
        </w:tc>
        <w:tc>
          <w:tcPr>
            <w:tcW w:w="2160" w:type="dxa"/>
          </w:tcPr>
          <w:p w14:paraId="515CDF2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 — Study Design (single tertiary referral centre, January 2006 – November 2011; follow-up to 2025/26)</w:t>
            </w:r>
          </w:p>
        </w:tc>
      </w:tr>
      <w:tr w:rsidR="004C4E76" w:rsidRPr="007427D4" w14:paraId="7798BE3D" w14:textId="77777777">
        <w:trPr>
          <w:jc w:val="center"/>
        </w:trPr>
        <w:tc>
          <w:tcPr>
            <w:tcW w:w="2160" w:type="dxa"/>
          </w:tcPr>
          <w:p w14:paraId="1FB46ED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6(a)</w:t>
            </w:r>
          </w:p>
        </w:tc>
        <w:tc>
          <w:tcPr>
            <w:tcW w:w="2160" w:type="dxa"/>
          </w:tcPr>
          <w:p w14:paraId="680D823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Participants</w:t>
            </w:r>
          </w:p>
        </w:tc>
        <w:tc>
          <w:tcPr>
            <w:tcW w:w="2160" w:type="dxa"/>
          </w:tcPr>
          <w:p w14:paraId="6949CD8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Give the eligibility criteria, sources and methods of selection of participants. Describe methods of follow-up</w:t>
            </w:r>
          </w:p>
        </w:tc>
        <w:tc>
          <w:tcPr>
            <w:tcW w:w="2160" w:type="dxa"/>
          </w:tcPr>
          <w:p w14:paraId="4F5E817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Study Design and Patient Selection; Methods, Completeness of Follow-up — 104 hips in 101 patients, three staged bilateral; unit of analysis defined  *</w:t>
            </w:r>
          </w:p>
        </w:tc>
      </w:tr>
      <w:tr w:rsidR="004C4E76" w:rsidRPr="007427D4" w14:paraId="419839E1" w14:textId="77777777">
        <w:trPr>
          <w:jc w:val="center"/>
        </w:trPr>
        <w:tc>
          <w:tcPr>
            <w:tcW w:w="2160" w:type="dxa"/>
          </w:tcPr>
          <w:p w14:paraId="39C7237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6(b)</w:t>
            </w:r>
          </w:p>
        </w:tc>
        <w:tc>
          <w:tcPr>
            <w:tcW w:w="2160" w:type="dxa"/>
          </w:tcPr>
          <w:p w14:paraId="27A88F6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Participants</w:t>
            </w:r>
          </w:p>
        </w:tc>
        <w:tc>
          <w:tcPr>
            <w:tcW w:w="2160" w:type="dxa"/>
          </w:tcPr>
          <w:p w14:paraId="08934AD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For matched studies, give matching criteria and number of exposed and unexposed</w:t>
            </w:r>
          </w:p>
        </w:tc>
        <w:tc>
          <w:tcPr>
            <w:tcW w:w="2160" w:type="dxa"/>
          </w:tcPr>
          <w:p w14:paraId="15AA4EA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Not applicable — three-group cohort, no matching</w:t>
            </w:r>
          </w:p>
        </w:tc>
      </w:tr>
      <w:tr w:rsidR="004C4E76" w:rsidRPr="007427D4" w14:paraId="27A3A626" w14:textId="77777777">
        <w:trPr>
          <w:jc w:val="center"/>
        </w:trPr>
        <w:tc>
          <w:tcPr>
            <w:tcW w:w="2160" w:type="dxa"/>
          </w:tcPr>
          <w:p w14:paraId="07F1451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7</w:t>
            </w:r>
          </w:p>
        </w:tc>
        <w:tc>
          <w:tcPr>
            <w:tcW w:w="2160" w:type="dxa"/>
          </w:tcPr>
          <w:p w14:paraId="4DF3F00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Variables</w:t>
            </w:r>
          </w:p>
        </w:tc>
        <w:tc>
          <w:tcPr>
            <w:tcW w:w="2160" w:type="dxa"/>
          </w:tcPr>
          <w:p w14:paraId="224BF54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 xml:space="preserve">Clearly define all outcomes, exposures, </w:t>
            </w:r>
            <w:r w:rsidRPr="007427D4">
              <w:rPr>
                <w:sz w:val="18"/>
                <w:szCs w:val="24"/>
              </w:rPr>
              <w:lastRenderedPageBreak/>
              <w:t>predictors, potential confounders, and effect modifiers</w:t>
            </w:r>
          </w:p>
        </w:tc>
        <w:tc>
          <w:tcPr>
            <w:tcW w:w="2160" w:type="dxa"/>
          </w:tcPr>
          <w:p w14:paraId="570CF86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lastRenderedPageBreak/>
              <w:t xml:space="preserve">Methods, Clinical and Radiographic Assessment </w:t>
            </w:r>
            <w:r w:rsidRPr="007427D4">
              <w:rPr>
                <w:sz w:val="18"/>
                <w:szCs w:val="24"/>
              </w:rPr>
              <w:lastRenderedPageBreak/>
              <w:t>— loosening defined with DeLee and Charnley zones [11]  *</w:t>
            </w:r>
          </w:p>
        </w:tc>
      </w:tr>
      <w:tr w:rsidR="004C4E76" w:rsidRPr="007427D4" w14:paraId="6F05B16E" w14:textId="77777777">
        <w:trPr>
          <w:jc w:val="center"/>
        </w:trPr>
        <w:tc>
          <w:tcPr>
            <w:tcW w:w="2160" w:type="dxa"/>
          </w:tcPr>
          <w:p w14:paraId="4C29C1E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lastRenderedPageBreak/>
              <w:t>8</w:t>
            </w:r>
          </w:p>
        </w:tc>
        <w:tc>
          <w:tcPr>
            <w:tcW w:w="2160" w:type="dxa"/>
          </w:tcPr>
          <w:p w14:paraId="7900299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Data sources / measurement</w:t>
            </w:r>
          </w:p>
        </w:tc>
        <w:tc>
          <w:tcPr>
            <w:tcW w:w="2160" w:type="dxa"/>
          </w:tcPr>
          <w:p w14:paraId="1649211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For each variable of interest, give sources of data and details of methods of assessment</w:t>
            </w:r>
          </w:p>
        </w:tc>
        <w:tc>
          <w:tcPr>
            <w:tcW w:w="2160" w:type="dxa"/>
          </w:tcPr>
          <w:p w14:paraId="0E87138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Metal Ion and MRI Surveillance — ions measured in serum and reported per patient; the 7 µg/L MHRA alert level is defined for whole blood and is applied here by analogy, which is stated as a limitation  *</w:t>
            </w:r>
          </w:p>
        </w:tc>
      </w:tr>
      <w:tr w:rsidR="004C4E76" w:rsidRPr="007427D4" w14:paraId="26BEAFBE" w14:textId="77777777">
        <w:trPr>
          <w:jc w:val="center"/>
        </w:trPr>
        <w:tc>
          <w:tcPr>
            <w:tcW w:w="2160" w:type="dxa"/>
          </w:tcPr>
          <w:p w14:paraId="4874C56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9</w:t>
            </w:r>
          </w:p>
        </w:tc>
        <w:tc>
          <w:tcPr>
            <w:tcW w:w="2160" w:type="dxa"/>
          </w:tcPr>
          <w:p w14:paraId="42C6687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Bias</w:t>
            </w:r>
          </w:p>
        </w:tc>
        <w:tc>
          <w:tcPr>
            <w:tcW w:w="2160" w:type="dxa"/>
          </w:tcPr>
          <w:p w14:paraId="50A2B23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Describe any efforts to address potential sources of bias</w:t>
            </w:r>
          </w:p>
        </w:tc>
        <w:tc>
          <w:tcPr>
            <w:tcW w:w="2160" w:type="dxa"/>
          </w:tcPr>
          <w:p w14:paraId="0C9AB92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 — single-surgeon series to reduce surgeon variability; Discussion — limitations (MARS-MRI selection bias, lack of multivariable adjustment)</w:t>
            </w:r>
          </w:p>
        </w:tc>
      </w:tr>
      <w:tr w:rsidR="004C4E76" w:rsidRPr="007427D4" w14:paraId="5C52745C" w14:textId="77777777">
        <w:trPr>
          <w:jc w:val="center"/>
        </w:trPr>
        <w:tc>
          <w:tcPr>
            <w:tcW w:w="2160" w:type="dxa"/>
          </w:tcPr>
          <w:p w14:paraId="7C68CEE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10</w:t>
            </w:r>
          </w:p>
        </w:tc>
        <w:tc>
          <w:tcPr>
            <w:tcW w:w="2160" w:type="dxa"/>
          </w:tcPr>
          <w:p w14:paraId="5BD7888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Study size</w:t>
            </w:r>
          </w:p>
        </w:tc>
        <w:tc>
          <w:tcPr>
            <w:tcW w:w="2160" w:type="dxa"/>
          </w:tcPr>
          <w:p w14:paraId="769D9DD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Explain how the study size was arrived at</w:t>
            </w:r>
          </w:p>
        </w:tc>
        <w:tc>
          <w:tcPr>
            <w:tcW w:w="2160" w:type="dxa"/>
          </w:tcPr>
          <w:p w14:paraId="17BD82D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 — consecutive series of 104 HRAs available from a single surgeon over 2006–2011</w:t>
            </w:r>
          </w:p>
        </w:tc>
      </w:tr>
      <w:tr w:rsidR="004C4E76" w:rsidRPr="007427D4" w14:paraId="6522E5EC" w14:textId="77777777">
        <w:trPr>
          <w:jc w:val="center"/>
        </w:trPr>
        <w:tc>
          <w:tcPr>
            <w:tcW w:w="2160" w:type="dxa"/>
          </w:tcPr>
          <w:p w14:paraId="6246D4F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11</w:t>
            </w:r>
          </w:p>
        </w:tc>
        <w:tc>
          <w:tcPr>
            <w:tcW w:w="2160" w:type="dxa"/>
          </w:tcPr>
          <w:p w14:paraId="52652F5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Quantitative variables</w:t>
            </w:r>
          </w:p>
        </w:tc>
        <w:tc>
          <w:tcPr>
            <w:tcW w:w="2160" w:type="dxa"/>
          </w:tcPr>
          <w:p w14:paraId="0ED6297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Explain how quantitative variables were handled in the analyses</w:t>
            </w:r>
          </w:p>
        </w:tc>
        <w:tc>
          <w:tcPr>
            <w:tcW w:w="2160" w:type="dxa"/>
          </w:tcPr>
          <w:p w14:paraId="4901CD0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Statistical Analysis — cup size ≤50 mm added as a post hoc dichotomisation at a threshold suggested during peer review  *</w:t>
            </w:r>
          </w:p>
        </w:tc>
      </w:tr>
      <w:tr w:rsidR="004C4E76" w:rsidRPr="007427D4" w14:paraId="403D9364" w14:textId="77777777">
        <w:trPr>
          <w:jc w:val="center"/>
        </w:trPr>
        <w:tc>
          <w:tcPr>
            <w:tcW w:w="2160" w:type="dxa"/>
          </w:tcPr>
          <w:p w14:paraId="06DB75E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12(a)</w:t>
            </w:r>
          </w:p>
        </w:tc>
        <w:tc>
          <w:tcPr>
            <w:tcW w:w="2160" w:type="dxa"/>
          </w:tcPr>
          <w:p w14:paraId="2C474A0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Statistical methods</w:t>
            </w:r>
          </w:p>
        </w:tc>
        <w:tc>
          <w:tcPr>
            <w:tcW w:w="2160" w:type="dxa"/>
          </w:tcPr>
          <w:p w14:paraId="45F0CFD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Describe all statistical methods, including those used to control for confounding</w:t>
            </w:r>
          </w:p>
        </w:tc>
        <w:tc>
          <w:tcPr>
            <w:tcW w:w="2160" w:type="dxa"/>
          </w:tcPr>
          <w:p w14:paraId="4261E29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Statistical Analysis — ANOVA with Tukey HSD, Kruskal-Wallis alongside, chi-square with Fisher's exact (Freeman-Halton) for sparse tables; Kaplan-Meier with complementary log-log confidence intervals; Python 3.9 (pandas, scipy, statsmodels, lifelines)  *</w:t>
            </w:r>
          </w:p>
        </w:tc>
      </w:tr>
      <w:tr w:rsidR="004C4E76" w:rsidRPr="007427D4" w14:paraId="63BCD913" w14:textId="77777777">
        <w:trPr>
          <w:jc w:val="center"/>
        </w:trPr>
        <w:tc>
          <w:tcPr>
            <w:tcW w:w="2160" w:type="dxa"/>
          </w:tcPr>
          <w:p w14:paraId="154C3E72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12(b)</w:t>
            </w:r>
          </w:p>
        </w:tc>
        <w:tc>
          <w:tcPr>
            <w:tcW w:w="2160" w:type="dxa"/>
          </w:tcPr>
          <w:p w14:paraId="29044A1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Statistical methods</w:t>
            </w:r>
          </w:p>
        </w:tc>
        <w:tc>
          <w:tcPr>
            <w:tcW w:w="2160" w:type="dxa"/>
          </w:tcPr>
          <w:p w14:paraId="249B5AC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Describe any methods used to examine subgroups and interactions</w:t>
            </w:r>
          </w:p>
        </w:tc>
        <w:tc>
          <w:tcPr>
            <w:tcW w:w="2160" w:type="dxa"/>
          </w:tcPr>
          <w:p w14:paraId="76F658E2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Statistical Analysis — AVN analysed as an independent group; exploratory analyses restricted to female patients and to cups ≤50 mm  *</w:t>
            </w:r>
          </w:p>
        </w:tc>
      </w:tr>
      <w:tr w:rsidR="004C4E76" w:rsidRPr="007427D4" w14:paraId="4E5B4EC1" w14:textId="77777777">
        <w:trPr>
          <w:jc w:val="center"/>
        </w:trPr>
        <w:tc>
          <w:tcPr>
            <w:tcW w:w="2160" w:type="dxa"/>
          </w:tcPr>
          <w:p w14:paraId="5EE09B3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12(c)</w:t>
            </w:r>
          </w:p>
        </w:tc>
        <w:tc>
          <w:tcPr>
            <w:tcW w:w="2160" w:type="dxa"/>
          </w:tcPr>
          <w:p w14:paraId="69AFB41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Statistical methods</w:t>
            </w:r>
          </w:p>
        </w:tc>
        <w:tc>
          <w:tcPr>
            <w:tcW w:w="2160" w:type="dxa"/>
          </w:tcPr>
          <w:p w14:paraId="149BF2A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Explain how missing data were addressed</w:t>
            </w:r>
          </w:p>
        </w:tc>
        <w:tc>
          <w:tcPr>
            <w:tcW w:w="2160" w:type="dxa"/>
          </w:tcPr>
          <w:p w14:paraId="3DB7C70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Completeness of Follow-up — implant status known for all 104 hips; unrevised hips censored at Last_Contact_Date, which for the eight hips declining assessment is the February 2026 telephone contact  *</w:t>
            </w:r>
          </w:p>
        </w:tc>
      </w:tr>
      <w:tr w:rsidR="004C4E76" w:rsidRPr="007427D4" w14:paraId="2F3F1822" w14:textId="77777777">
        <w:trPr>
          <w:jc w:val="center"/>
        </w:trPr>
        <w:tc>
          <w:tcPr>
            <w:tcW w:w="2160" w:type="dxa"/>
          </w:tcPr>
          <w:p w14:paraId="1FE91B94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12(d)</w:t>
            </w:r>
          </w:p>
        </w:tc>
        <w:tc>
          <w:tcPr>
            <w:tcW w:w="2160" w:type="dxa"/>
          </w:tcPr>
          <w:p w14:paraId="4CD3D1F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Statistical methods</w:t>
            </w:r>
          </w:p>
        </w:tc>
        <w:tc>
          <w:tcPr>
            <w:tcW w:w="2160" w:type="dxa"/>
          </w:tcPr>
          <w:p w14:paraId="752A91F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If applicable, explain how loss to follow-up was addressed</w:t>
            </w:r>
          </w:p>
        </w:tc>
        <w:tc>
          <w:tcPr>
            <w:tcW w:w="2160" w:type="dxa"/>
          </w:tcPr>
          <w:p w14:paraId="7D2FD65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Statistical Analysis — patient-level sensitivity analysis for the three bilateral cases  *</w:t>
            </w:r>
          </w:p>
        </w:tc>
      </w:tr>
      <w:tr w:rsidR="004C4E76" w:rsidRPr="007427D4" w14:paraId="45C1F6B7" w14:textId="77777777">
        <w:trPr>
          <w:jc w:val="center"/>
        </w:trPr>
        <w:tc>
          <w:tcPr>
            <w:tcW w:w="2160" w:type="dxa"/>
          </w:tcPr>
          <w:p w14:paraId="228D975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12(e)</w:t>
            </w:r>
          </w:p>
        </w:tc>
        <w:tc>
          <w:tcPr>
            <w:tcW w:w="2160" w:type="dxa"/>
          </w:tcPr>
          <w:p w14:paraId="2CF28C1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Statistical methods</w:t>
            </w:r>
          </w:p>
        </w:tc>
        <w:tc>
          <w:tcPr>
            <w:tcW w:w="2160" w:type="dxa"/>
          </w:tcPr>
          <w:p w14:paraId="6FF41DE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Describe any sensitivity analyses</w:t>
            </w:r>
          </w:p>
        </w:tc>
        <w:tc>
          <w:tcPr>
            <w:tcW w:w="2160" w:type="dxa"/>
          </w:tcPr>
          <w:p w14:paraId="032BE37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 xml:space="preserve">Methods, Statistical Analysis — worst-case </w:t>
            </w:r>
            <w:r w:rsidRPr="007427D4">
              <w:rPr>
                <w:sz w:val="18"/>
                <w:szCs w:val="24"/>
              </w:rPr>
              <w:lastRenderedPageBreak/>
              <w:t>lost-to-follow-up imputation withdrawn, since implant status is known for all 104 hips; patient-level (bilateral) sensitivity analysis added; multivariable Cox regression attempted and not estimable (monotone likelihood)  *</w:t>
            </w:r>
          </w:p>
        </w:tc>
      </w:tr>
      <w:tr w:rsidR="004C4E76" w:rsidRPr="007427D4" w14:paraId="305C4CFF" w14:textId="77777777">
        <w:trPr>
          <w:jc w:val="center"/>
        </w:trPr>
        <w:tc>
          <w:tcPr>
            <w:tcW w:w="2160" w:type="dxa"/>
          </w:tcPr>
          <w:p w14:paraId="3D22A3F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lastRenderedPageBreak/>
              <w:t>Results</w:t>
            </w:r>
          </w:p>
        </w:tc>
        <w:tc>
          <w:tcPr>
            <w:tcW w:w="2160" w:type="dxa"/>
          </w:tcPr>
          <w:p w14:paraId="74F8671C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78988219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0DC3ECB3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</w:tr>
      <w:tr w:rsidR="004C4E76" w:rsidRPr="007427D4" w14:paraId="7036D954" w14:textId="77777777">
        <w:trPr>
          <w:jc w:val="center"/>
        </w:trPr>
        <w:tc>
          <w:tcPr>
            <w:tcW w:w="2160" w:type="dxa"/>
          </w:tcPr>
          <w:p w14:paraId="60028E6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13(a)</w:t>
            </w:r>
          </w:p>
        </w:tc>
        <w:tc>
          <w:tcPr>
            <w:tcW w:w="2160" w:type="dxa"/>
          </w:tcPr>
          <w:p w14:paraId="5D1EE9D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Participants</w:t>
            </w:r>
          </w:p>
        </w:tc>
        <w:tc>
          <w:tcPr>
            <w:tcW w:w="2160" w:type="dxa"/>
          </w:tcPr>
          <w:p w14:paraId="05FE2C8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Report numbers of individuals at each stage</w:t>
            </w:r>
          </w:p>
        </w:tc>
        <w:tc>
          <w:tcPr>
            <w:tcW w:w="2160" w:type="dxa"/>
          </w:tcPr>
          <w:p w14:paraId="02FE48A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Results, Patient Demographics; Figure 1 — 104 hips in 101 patients; 96 assessed; 8 confirmed by telephone  *</w:t>
            </w:r>
          </w:p>
        </w:tc>
      </w:tr>
      <w:tr w:rsidR="004C4E76" w:rsidRPr="007427D4" w14:paraId="613E5827" w14:textId="77777777">
        <w:trPr>
          <w:jc w:val="center"/>
        </w:trPr>
        <w:tc>
          <w:tcPr>
            <w:tcW w:w="2160" w:type="dxa"/>
          </w:tcPr>
          <w:p w14:paraId="033C6C7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13(b)</w:t>
            </w:r>
          </w:p>
        </w:tc>
        <w:tc>
          <w:tcPr>
            <w:tcW w:w="2160" w:type="dxa"/>
          </w:tcPr>
          <w:p w14:paraId="401A193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Participants</w:t>
            </w:r>
          </w:p>
        </w:tc>
        <w:tc>
          <w:tcPr>
            <w:tcW w:w="2160" w:type="dxa"/>
          </w:tcPr>
          <w:p w14:paraId="4446938C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Give reasons for non-participation at each stage</w:t>
            </w:r>
          </w:p>
        </w:tc>
        <w:tc>
          <w:tcPr>
            <w:tcW w:w="2160" w:type="dxa"/>
          </w:tcPr>
          <w:p w14:paraId="62974BA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Results, Patient Demographics; Figure 1 — eight patients declined further assessment; implant status confirmed  *</w:t>
            </w:r>
          </w:p>
        </w:tc>
      </w:tr>
      <w:tr w:rsidR="004C4E76" w:rsidRPr="007427D4" w14:paraId="3D5C2DA0" w14:textId="77777777">
        <w:trPr>
          <w:jc w:val="center"/>
        </w:trPr>
        <w:tc>
          <w:tcPr>
            <w:tcW w:w="2160" w:type="dxa"/>
          </w:tcPr>
          <w:p w14:paraId="2FC8AE2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13(c)</w:t>
            </w:r>
          </w:p>
        </w:tc>
        <w:tc>
          <w:tcPr>
            <w:tcW w:w="2160" w:type="dxa"/>
          </w:tcPr>
          <w:p w14:paraId="40CCF94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Participants</w:t>
            </w:r>
          </w:p>
        </w:tc>
        <w:tc>
          <w:tcPr>
            <w:tcW w:w="2160" w:type="dxa"/>
          </w:tcPr>
          <w:p w14:paraId="1284426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Consider use of a flow diagram</w:t>
            </w:r>
          </w:p>
        </w:tc>
        <w:tc>
          <w:tcPr>
            <w:tcW w:w="2160" w:type="dxa"/>
          </w:tcPr>
          <w:p w14:paraId="76F558C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Figure 1  *</w:t>
            </w:r>
          </w:p>
        </w:tc>
      </w:tr>
      <w:tr w:rsidR="004C4E76" w:rsidRPr="007427D4" w14:paraId="2B1B248B" w14:textId="77777777">
        <w:trPr>
          <w:jc w:val="center"/>
        </w:trPr>
        <w:tc>
          <w:tcPr>
            <w:tcW w:w="2160" w:type="dxa"/>
          </w:tcPr>
          <w:p w14:paraId="144F30D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14(a)</w:t>
            </w:r>
          </w:p>
        </w:tc>
        <w:tc>
          <w:tcPr>
            <w:tcW w:w="2160" w:type="dxa"/>
          </w:tcPr>
          <w:p w14:paraId="3D124AA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Descriptive data</w:t>
            </w:r>
          </w:p>
        </w:tc>
        <w:tc>
          <w:tcPr>
            <w:tcW w:w="2160" w:type="dxa"/>
          </w:tcPr>
          <w:p w14:paraId="01C7B82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Give characteristics of study participants and information on exposures and potential confounders</w:t>
            </w:r>
          </w:p>
        </w:tc>
        <w:tc>
          <w:tcPr>
            <w:tcW w:w="2160" w:type="dxa"/>
          </w:tcPr>
          <w:p w14:paraId="65EF5EF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Table 1 (Demographics, including perioperative metrics)</w:t>
            </w:r>
          </w:p>
        </w:tc>
      </w:tr>
      <w:tr w:rsidR="004C4E76" w:rsidRPr="007427D4" w14:paraId="7DDEC06E" w14:textId="77777777">
        <w:trPr>
          <w:jc w:val="center"/>
        </w:trPr>
        <w:tc>
          <w:tcPr>
            <w:tcW w:w="2160" w:type="dxa"/>
          </w:tcPr>
          <w:p w14:paraId="4B55A7C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14(b)</w:t>
            </w:r>
          </w:p>
        </w:tc>
        <w:tc>
          <w:tcPr>
            <w:tcW w:w="2160" w:type="dxa"/>
          </w:tcPr>
          <w:p w14:paraId="30139CB2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Descriptive data</w:t>
            </w:r>
          </w:p>
        </w:tc>
        <w:tc>
          <w:tcPr>
            <w:tcW w:w="2160" w:type="dxa"/>
          </w:tcPr>
          <w:p w14:paraId="7B6F331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Indicate number of participants with missing data for each variable of interest</w:t>
            </w:r>
          </w:p>
        </w:tc>
        <w:tc>
          <w:tcPr>
            <w:tcW w:w="2160" w:type="dxa"/>
          </w:tcPr>
          <w:p w14:paraId="74084F7F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96/104 (92.3%) followed; serum metal ions obtained in all 93 assessed patients (96 hips); MARS-MRI in 87/96 (90.6%)</w:t>
            </w:r>
          </w:p>
        </w:tc>
      </w:tr>
      <w:tr w:rsidR="004C4E76" w:rsidRPr="007427D4" w14:paraId="275C35C2" w14:textId="77777777">
        <w:trPr>
          <w:jc w:val="center"/>
        </w:trPr>
        <w:tc>
          <w:tcPr>
            <w:tcW w:w="2160" w:type="dxa"/>
          </w:tcPr>
          <w:p w14:paraId="6589418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14(c)</w:t>
            </w:r>
          </w:p>
        </w:tc>
        <w:tc>
          <w:tcPr>
            <w:tcW w:w="2160" w:type="dxa"/>
          </w:tcPr>
          <w:p w14:paraId="5DA4DFB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Descriptive data</w:t>
            </w:r>
          </w:p>
        </w:tc>
        <w:tc>
          <w:tcPr>
            <w:tcW w:w="2160" w:type="dxa"/>
          </w:tcPr>
          <w:p w14:paraId="192673D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Summarise follow-up time (eg, average and total amount)</w:t>
            </w:r>
          </w:p>
        </w:tc>
        <w:tc>
          <w:tcPr>
            <w:tcW w:w="2160" w:type="dxa"/>
          </w:tcPr>
          <w:p w14:paraId="733730E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Mean 16.2 ± 1.5 years (91 unrevised assessed hips) (range 14.2–19.4) — Results, Patient Demographics</w:t>
            </w:r>
          </w:p>
        </w:tc>
      </w:tr>
      <w:tr w:rsidR="004C4E76" w:rsidRPr="007427D4" w14:paraId="7B560D35" w14:textId="77777777">
        <w:trPr>
          <w:jc w:val="center"/>
        </w:trPr>
        <w:tc>
          <w:tcPr>
            <w:tcW w:w="2160" w:type="dxa"/>
          </w:tcPr>
          <w:p w14:paraId="1787288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15</w:t>
            </w:r>
          </w:p>
        </w:tc>
        <w:tc>
          <w:tcPr>
            <w:tcW w:w="2160" w:type="dxa"/>
          </w:tcPr>
          <w:p w14:paraId="372A566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Outcome data</w:t>
            </w:r>
          </w:p>
        </w:tc>
        <w:tc>
          <w:tcPr>
            <w:tcW w:w="2160" w:type="dxa"/>
          </w:tcPr>
          <w:p w14:paraId="6E40757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Report numbers of outcome events or summary measures over time</w:t>
            </w:r>
          </w:p>
        </w:tc>
        <w:tc>
          <w:tcPr>
            <w:tcW w:w="2160" w:type="dxa"/>
          </w:tcPr>
          <w:p w14:paraId="39E7593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Results, Implant Survivorship and Functional Outcomes — five revisions, all DDH; the five revised hips contribute their last pre-revision functional scores, with the reason stated; Tables 2, 3 and 7  *</w:t>
            </w:r>
          </w:p>
        </w:tc>
      </w:tr>
      <w:tr w:rsidR="004C4E76" w:rsidRPr="007427D4" w14:paraId="75E80F34" w14:textId="77777777">
        <w:trPr>
          <w:jc w:val="center"/>
        </w:trPr>
        <w:tc>
          <w:tcPr>
            <w:tcW w:w="2160" w:type="dxa"/>
          </w:tcPr>
          <w:p w14:paraId="2F45AAF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16(a)</w:t>
            </w:r>
          </w:p>
        </w:tc>
        <w:tc>
          <w:tcPr>
            <w:tcW w:w="2160" w:type="dxa"/>
          </w:tcPr>
          <w:p w14:paraId="1EBD3B6C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Main results</w:t>
            </w:r>
          </w:p>
        </w:tc>
        <w:tc>
          <w:tcPr>
            <w:tcW w:w="2160" w:type="dxa"/>
          </w:tcPr>
          <w:p w14:paraId="5C9D68B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Give unadjusted estimates and 95% CI</w:t>
            </w:r>
          </w:p>
        </w:tc>
        <w:tc>
          <w:tcPr>
            <w:tcW w:w="2160" w:type="dxa"/>
          </w:tcPr>
          <w:p w14:paraId="1DC6FD1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Results, Implant Survivorship — unadjusted Kaplan-Meier estimates with 95% CI; no adjusted estimates, as Cox models were not estimable  *</w:t>
            </w:r>
          </w:p>
        </w:tc>
      </w:tr>
      <w:tr w:rsidR="004C4E76" w:rsidRPr="007427D4" w14:paraId="0727BAEF" w14:textId="77777777">
        <w:trPr>
          <w:jc w:val="center"/>
        </w:trPr>
        <w:tc>
          <w:tcPr>
            <w:tcW w:w="2160" w:type="dxa"/>
          </w:tcPr>
          <w:p w14:paraId="629C326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16(b)</w:t>
            </w:r>
          </w:p>
        </w:tc>
        <w:tc>
          <w:tcPr>
            <w:tcW w:w="2160" w:type="dxa"/>
          </w:tcPr>
          <w:p w14:paraId="1D4684A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Main results</w:t>
            </w:r>
          </w:p>
        </w:tc>
        <w:tc>
          <w:tcPr>
            <w:tcW w:w="2160" w:type="dxa"/>
          </w:tcPr>
          <w:p w14:paraId="355B5EA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Report category boundaries when continuous variables were categorized</w:t>
            </w:r>
          </w:p>
        </w:tc>
        <w:tc>
          <w:tcPr>
            <w:tcW w:w="2160" w:type="dxa"/>
          </w:tcPr>
          <w:p w14:paraId="0D4ABC55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Methods, Statistical Analysis — cup size ≤50 mm categorisation and rationale  *</w:t>
            </w:r>
          </w:p>
        </w:tc>
      </w:tr>
      <w:tr w:rsidR="004C4E76" w:rsidRPr="007427D4" w14:paraId="6CBB3207" w14:textId="77777777">
        <w:trPr>
          <w:jc w:val="center"/>
        </w:trPr>
        <w:tc>
          <w:tcPr>
            <w:tcW w:w="2160" w:type="dxa"/>
          </w:tcPr>
          <w:p w14:paraId="1A3B2331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16(c)</w:t>
            </w:r>
          </w:p>
        </w:tc>
        <w:tc>
          <w:tcPr>
            <w:tcW w:w="2160" w:type="dxa"/>
          </w:tcPr>
          <w:p w14:paraId="69C1C36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Main results</w:t>
            </w:r>
          </w:p>
        </w:tc>
        <w:tc>
          <w:tcPr>
            <w:tcW w:w="2160" w:type="dxa"/>
          </w:tcPr>
          <w:p w14:paraId="49720D8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Translate estimates of relative risk into absolute risk if relevant</w:t>
            </w:r>
          </w:p>
        </w:tc>
        <w:tc>
          <w:tcPr>
            <w:tcW w:w="2160" w:type="dxa"/>
          </w:tcPr>
          <w:p w14:paraId="377DB5F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 xml:space="preserve">Results, Implant Survivorship — absolute revision rates per 100 </w:t>
            </w:r>
            <w:r w:rsidRPr="007427D4">
              <w:rPr>
                <w:sz w:val="18"/>
                <w:szCs w:val="24"/>
              </w:rPr>
              <w:lastRenderedPageBreak/>
              <w:t>person-years reported alongside survivorship  *</w:t>
            </w:r>
          </w:p>
        </w:tc>
      </w:tr>
      <w:tr w:rsidR="004C4E76" w:rsidRPr="007427D4" w14:paraId="048AF274" w14:textId="77777777">
        <w:trPr>
          <w:jc w:val="center"/>
        </w:trPr>
        <w:tc>
          <w:tcPr>
            <w:tcW w:w="2160" w:type="dxa"/>
          </w:tcPr>
          <w:p w14:paraId="647B1A32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lastRenderedPageBreak/>
              <w:t>17</w:t>
            </w:r>
          </w:p>
        </w:tc>
        <w:tc>
          <w:tcPr>
            <w:tcW w:w="2160" w:type="dxa"/>
          </w:tcPr>
          <w:p w14:paraId="61A8E07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Other analyses</w:t>
            </w:r>
          </w:p>
        </w:tc>
        <w:tc>
          <w:tcPr>
            <w:tcW w:w="2160" w:type="dxa"/>
          </w:tcPr>
          <w:p w14:paraId="26B8B33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Report other analyses done</w:t>
            </w:r>
          </w:p>
        </w:tc>
        <w:tc>
          <w:tcPr>
            <w:tcW w:w="2160" w:type="dxa"/>
          </w:tcPr>
          <w:p w14:paraId="16C0FBDC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Results, Implant Survivorship — four-group analysis with AVN independent (Table 2, Panel B); exploratory female-only and cup ≤50 mm analyses (Table 6), reported as hypothesis-generating</w:t>
            </w:r>
          </w:p>
        </w:tc>
      </w:tr>
      <w:tr w:rsidR="004C4E76" w:rsidRPr="007427D4" w14:paraId="29D8F267" w14:textId="77777777">
        <w:trPr>
          <w:jc w:val="center"/>
        </w:trPr>
        <w:tc>
          <w:tcPr>
            <w:tcW w:w="2160" w:type="dxa"/>
          </w:tcPr>
          <w:p w14:paraId="6184033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Discussion</w:t>
            </w:r>
          </w:p>
        </w:tc>
        <w:tc>
          <w:tcPr>
            <w:tcW w:w="2160" w:type="dxa"/>
          </w:tcPr>
          <w:p w14:paraId="207C1BDD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5445C0AE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12FDB36C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</w:tr>
      <w:tr w:rsidR="004C4E76" w:rsidRPr="007427D4" w14:paraId="484AC3F1" w14:textId="77777777">
        <w:trPr>
          <w:jc w:val="center"/>
        </w:trPr>
        <w:tc>
          <w:tcPr>
            <w:tcW w:w="2160" w:type="dxa"/>
          </w:tcPr>
          <w:p w14:paraId="02D82DC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18</w:t>
            </w:r>
          </w:p>
        </w:tc>
        <w:tc>
          <w:tcPr>
            <w:tcW w:w="2160" w:type="dxa"/>
          </w:tcPr>
          <w:p w14:paraId="3A61661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Key results</w:t>
            </w:r>
          </w:p>
        </w:tc>
        <w:tc>
          <w:tcPr>
            <w:tcW w:w="2160" w:type="dxa"/>
          </w:tcPr>
          <w:p w14:paraId="459653A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Summarise key results with reference to study objectives</w:t>
            </w:r>
          </w:p>
        </w:tc>
        <w:tc>
          <w:tcPr>
            <w:tcW w:w="2160" w:type="dxa"/>
          </w:tcPr>
          <w:p w14:paraId="33150417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Discussion, paragraph 1</w:t>
            </w:r>
          </w:p>
        </w:tc>
      </w:tr>
      <w:tr w:rsidR="004C4E76" w:rsidRPr="007427D4" w14:paraId="15F01682" w14:textId="77777777">
        <w:trPr>
          <w:jc w:val="center"/>
        </w:trPr>
        <w:tc>
          <w:tcPr>
            <w:tcW w:w="2160" w:type="dxa"/>
          </w:tcPr>
          <w:p w14:paraId="774BC95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19</w:t>
            </w:r>
          </w:p>
        </w:tc>
        <w:tc>
          <w:tcPr>
            <w:tcW w:w="2160" w:type="dxa"/>
          </w:tcPr>
          <w:p w14:paraId="31790CA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Limitations</w:t>
            </w:r>
          </w:p>
        </w:tc>
        <w:tc>
          <w:tcPr>
            <w:tcW w:w="2160" w:type="dxa"/>
          </w:tcPr>
          <w:p w14:paraId="0BE7B6CB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 limitations and potential biases</w:t>
            </w:r>
          </w:p>
        </w:tc>
        <w:tc>
          <w:tcPr>
            <w:tcW w:w="2160" w:type="dxa"/>
          </w:tcPr>
          <w:p w14:paraId="535C45D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Discussion, Limitations — twelve limitations, led by the event count and the non-estimability of adjusted models  *</w:t>
            </w:r>
          </w:p>
        </w:tc>
      </w:tr>
      <w:tr w:rsidR="004C4E76" w:rsidRPr="007427D4" w14:paraId="4682A493" w14:textId="77777777">
        <w:trPr>
          <w:jc w:val="center"/>
        </w:trPr>
        <w:tc>
          <w:tcPr>
            <w:tcW w:w="2160" w:type="dxa"/>
          </w:tcPr>
          <w:p w14:paraId="369C450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20</w:t>
            </w:r>
          </w:p>
        </w:tc>
        <w:tc>
          <w:tcPr>
            <w:tcW w:w="2160" w:type="dxa"/>
          </w:tcPr>
          <w:p w14:paraId="2411FD09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Interpretation</w:t>
            </w:r>
          </w:p>
        </w:tc>
        <w:tc>
          <w:tcPr>
            <w:tcW w:w="2160" w:type="dxa"/>
          </w:tcPr>
          <w:p w14:paraId="6124F8A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Give a cautious overall interpretation considering similar studies and other relevant evidence</w:t>
            </w:r>
          </w:p>
        </w:tc>
        <w:tc>
          <w:tcPr>
            <w:tcW w:w="2160" w:type="dxa"/>
          </w:tcPr>
          <w:p w14:paraId="62648D0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Discussion; Conclusion — no claim of independent risk; component orientation neither supported nor excluded  *</w:t>
            </w:r>
          </w:p>
        </w:tc>
      </w:tr>
      <w:tr w:rsidR="004C4E76" w:rsidRPr="007427D4" w14:paraId="1FB19F14" w14:textId="77777777">
        <w:trPr>
          <w:jc w:val="center"/>
        </w:trPr>
        <w:tc>
          <w:tcPr>
            <w:tcW w:w="2160" w:type="dxa"/>
          </w:tcPr>
          <w:p w14:paraId="1CF0783E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21</w:t>
            </w:r>
          </w:p>
        </w:tc>
        <w:tc>
          <w:tcPr>
            <w:tcW w:w="2160" w:type="dxa"/>
          </w:tcPr>
          <w:p w14:paraId="50419806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Generalisability</w:t>
            </w:r>
          </w:p>
        </w:tc>
        <w:tc>
          <w:tcPr>
            <w:tcW w:w="2160" w:type="dxa"/>
          </w:tcPr>
          <w:p w14:paraId="7F71EC2D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 the generalisability of the study results</w:t>
            </w:r>
          </w:p>
        </w:tc>
        <w:tc>
          <w:tcPr>
            <w:tcW w:w="2160" w:type="dxa"/>
          </w:tcPr>
          <w:p w14:paraId="507E7DEC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Discussion, limitations paragraph — generalisability limited by single implant / single surgeon; Asian cohort positioning explicitly framed</w:t>
            </w:r>
          </w:p>
        </w:tc>
      </w:tr>
      <w:tr w:rsidR="004C4E76" w:rsidRPr="007427D4" w14:paraId="63EFA0BA" w14:textId="77777777">
        <w:trPr>
          <w:jc w:val="center"/>
        </w:trPr>
        <w:tc>
          <w:tcPr>
            <w:tcW w:w="2160" w:type="dxa"/>
          </w:tcPr>
          <w:p w14:paraId="7C307BA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Other information</w:t>
            </w:r>
          </w:p>
        </w:tc>
        <w:tc>
          <w:tcPr>
            <w:tcW w:w="2160" w:type="dxa"/>
          </w:tcPr>
          <w:p w14:paraId="6B04E17A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354AF27E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160" w:type="dxa"/>
          </w:tcPr>
          <w:p w14:paraId="17459847" w14:textId="77777777" w:rsidR="004C4E76" w:rsidRPr="007427D4" w:rsidRDefault="004C4E76" w:rsidP="007427D4">
            <w:pPr>
              <w:jc w:val="both"/>
              <w:rPr>
                <w:sz w:val="28"/>
                <w:szCs w:val="24"/>
              </w:rPr>
            </w:pPr>
          </w:p>
        </w:tc>
      </w:tr>
      <w:tr w:rsidR="004C4E76" w:rsidRPr="007427D4" w14:paraId="76DFFCDD" w14:textId="77777777">
        <w:trPr>
          <w:jc w:val="center"/>
        </w:trPr>
        <w:tc>
          <w:tcPr>
            <w:tcW w:w="2160" w:type="dxa"/>
          </w:tcPr>
          <w:p w14:paraId="7AF5DD9A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22</w:t>
            </w:r>
          </w:p>
        </w:tc>
        <w:tc>
          <w:tcPr>
            <w:tcW w:w="2160" w:type="dxa"/>
          </w:tcPr>
          <w:p w14:paraId="45435B93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Funding</w:t>
            </w:r>
          </w:p>
        </w:tc>
        <w:tc>
          <w:tcPr>
            <w:tcW w:w="2160" w:type="dxa"/>
          </w:tcPr>
          <w:p w14:paraId="441CEF58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Give the source of funding and the role of the funders</w:t>
            </w:r>
          </w:p>
        </w:tc>
        <w:tc>
          <w:tcPr>
            <w:tcW w:w="2160" w:type="dxa"/>
          </w:tcPr>
          <w:p w14:paraId="2516CDC0" w14:textId="77777777" w:rsidR="004C4E76" w:rsidRPr="007427D4" w:rsidRDefault="003F24C8" w:rsidP="007427D4">
            <w:pPr>
              <w:jc w:val="both"/>
              <w:rPr>
                <w:sz w:val="28"/>
                <w:szCs w:val="24"/>
              </w:rPr>
            </w:pPr>
            <w:r w:rsidRPr="007427D4">
              <w:rPr>
                <w:sz w:val="18"/>
                <w:szCs w:val="24"/>
              </w:rPr>
              <w:t>Declarations — Funding (title page)  *</w:t>
            </w:r>
          </w:p>
        </w:tc>
      </w:tr>
    </w:tbl>
    <w:p w14:paraId="09F49A62" w14:textId="77777777" w:rsidR="004C4E76" w:rsidRPr="007427D4" w:rsidRDefault="004C4E76" w:rsidP="007427D4">
      <w:pPr>
        <w:jc w:val="both"/>
        <w:rPr>
          <w:sz w:val="28"/>
          <w:szCs w:val="24"/>
        </w:rPr>
      </w:pPr>
    </w:p>
    <w:p w14:paraId="07D34AE4" w14:textId="77777777" w:rsidR="004C4E76" w:rsidRPr="007427D4" w:rsidRDefault="003F24C8" w:rsidP="007427D4">
      <w:pPr>
        <w:spacing w:after="160" w:line="480" w:lineRule="auto"/>
        <w:jc w:val="both"/>
        <w:rPr>
          <w:sz w:val="28"/>
          <w:szCs w:val="24"/>
        </w:rPr>
      </w:pPr>
      <w:r w:rsidRPr="007427D4">
        <w:rPr>
          <w:sz w:val="20"/>
          <w:szCs w:val="24"/>
        </w:rPr>
        <w:t>Note. Based on the Strengthening the Reporting of Observational Studies in Epidemiology guidelines (https://www.strobe-statement.org). All reported values derive from a locked dataset retained by the corresponding author (md5 664555dc64269ce15b15626fa4c31b58) and available on request.</w:t>
      </w:r>
    </w:p>
    <w:sectPr w:rsidR="004C4E76" w:rsidRPr="007427D4" w:rsidSect="00034616">
      <w:pgSz w:w="12240" w:h="15840"/>
      <w:pgMar w:top="1440" w:right="1800" w:bottom="1440" w:left="1800" w:header="720" w:footer="720" w:gutter="0"/>
      <w:lnNumType w:countBy="1" w:start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3826612">
    <w:abstractNumId w:val="8"/>
  </w:num>
  <w:num w:numId="2" w16cid:durableId="1504786168">
    <w:abstractNumId w:val="6"/>
  </w:num>
  <w:num w:numId="3" w16cid:durableId="676228263">
    <w:abstractNumId w:val="5"/>
  </w:num>
  <w:num w:numId="4" w16cid:durableId="1914730943">
    <w:abstractNumId w:val="4"/>
  </w:num>
  <w:num w:numId="5" w16cid:durableId="825440995">
    <w:abstractNumId w:val="7"/>
  </w:num>
  <w:num w:numId="6" w16cid:durableId="2122263045">
    <w:abstractNumId w:val="3"/>
  </w:num>
  <w:num w:numId="7" w16cid:durableId="1373767125">
    <w:abstractNumId w:val="2"/>
  </w:num>
  <w:num w:numId="8" w16cid:durableId="1929994742">
    <w:abstractNumId w:val="1"/>
  </w:num>
  <w:num w:numId="9" w16cid:durableId="1943183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5FF"/>
    <w:rsid w:val="000F429A"/>
    <w:rsid w:val="0015074B"/>
    <w:rsid w:val="0029639D"/>
    <w:rsid w:val="00326F90"/>
    <w:rsid w:val="003F24C8"/>
    <w:rsid w:val="00457E06"/>
    <w:rsid w:val="004C4E76"/>
    <w:rsid w:val="007427D4"/>
    <w:rsid w:val="00AA1D8D"/>
    <w:rsid w:val="00B40ECC"/>
    <w:rsid w:val="00B47730"/>
    <w:rsid w:val="00CB0664"/>
    <w:rsid w:val="00D94C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565D8"/>
  <w14:defaultImageDpi w14:val="300"/>
  <w15:docId w15:val="{CAD8F591-44E2-A947-8803-10F2332B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line number"/>
    <w:basedOn w:val="a2"/>
    <w:uiPriority w:val="99"/>
    <w:semiHidden/>
    <w:unhideWhenUsed/>
    <w:rsid w:val="000F4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1130</Words>
  <Characters>6526</Characters>
  <Application>Microsoft Office Word</Application>
  <DocSecurity>0</DocSecurity>
  <Lines>97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 bui</cp:lastModifiedBy>
  <cp:revision>4</cp:revision>
  <dcterms:created xsi:type="dcterms:W3CDTF">2013-12-23T23:15:00Z</dcterms:created>
  <dcterms:modified xsi:type="dcterms:W3CDTF">2026-08-02T07:59:00Z</dcterms:modified>
  <cp:category/>
</cp:coreProperties>
</file>