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7BB54F" w14:textId="08F685EF" w:rsidR="006C374B" w:rsidRDefault="006C374B" w:rsidP="006C374B">
      <w:bookmarkStart w:id="0" w:name="_Hlk153953541"/>
      <w:r>
        <w:rPr>
          <w:b/>
          <w:bCs/>
        </w:rPr>
        <w:t xml:space="preserve">Title: </w:t>
      </w:r>
      <w:r>
        <w:t>Validation of the Investigator Global Assessment of Chronic Hand Eczema (IGA-CHE): a new clinician reported outcome measure of CHE severity</w:t>
      </w:r>
    </w:p>
    <w:p w14:paraId="74579969" w14:textId="1952B27E" w:rsidR="006C374B" w:rsidRPr="00F12D28" w:rsidRDefault="006C374B" w:rsidP="006C374B">
      <w:r>
        <w:rPr>
          <w:b/>
          <w:bCs/>
        </w:rPr>
        <w:t xml:space="preserve">Journal: </w:t>
      </w:r>
      <w:r w:rsidR="00F12D28">
        <w:t>Archives of Dermatological Research</w:t>
      </w:r>
    </w:p>
    <w:p w14:paraId="7E2BC0EF" w14:textId="6693D062" w:rsidR="00C014A4" w:rsidRDefault="006C374B" w:rsidP="006C374B">
      <w:r w:rsidRPr="004A3EF6">
        <w:rPr>
          <w:b/>
          <w:bCs/>
        </w:rPr>
        <w:t>Corresponding author</w:t>
      </w:r>
      <w:r>
        <w:t xml:space="preserve">: Johnathan I Silverberg, School of Medicine and Health Sciences, The George Washington University, Washington, DC, USA (email: </w:t>
      </w:r>
      <w:hyperlink r:id="rId8" w:history="1">
        <w:r w:rsidRPr="0068400A">
          <w:rPr>
            <w:rStyle w:val="Hyperlink"/>
          </w:rPr>
          <w:t>jonathanisilverberg@gmail.com</w:t>
        </w:r>
      </w:hyperlink>
      <w:r>
        <w:t>)</w:t>
      </w:r>
    </w:p>
    <w:p w14:paraId="6DA121DD" w14:textId="77777777" w:rsidR="000C1A57" w:rsidRDefault="000C1A57" w:rsidP="006C374B"/>
    <w:tbl>
      <w:tblPr>
        <w:tblStyle w:val="ListTable3-Accent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C1A57" w14:paraId="7EADF6B1" w14:textId="77777777" w:rsidTr="004D3E9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62" w:type="dxa"/>
            <w:tcBorders>
              <w:top w:val="nil"/>
              <w:left w:val="nil"/>
            </w:tcBorders>
            <w:shd w:val="clear" w:color="auto" w:fill="auto"/>
          </w:tcPr>
          <w:p w14:paraId="7D92AAC3" w14:textId="77777777" w:rsidR="000C1A57" w:rsidRDefault="000C1A57" w:rsidP="004D3E93">
            <w:pPr>
              <w:pStyle w:val="Table-Normal"/>
            </w:pPr>
            <w:r>
              <w:rPr>
                <w:color w:val="4E5053" w:themeColor="text1"/>
              </w:rPr>
              <w:t xml:space="preserve">Supplemental Table </w:t>
            </w:r>
            <w:r w:rsidRPr="00C4100F">
              <w:rPr>
                <w:color w:val="4E5053" w:themeColor="text1"/>
              </w:rPr>
              <w:t xml:space="preserve">1. </w:t>
            </w:r>
            <w:r w:rsidRPr="00E832B6">
              <w:rPr>
                <w:color w:val="4E5053" w:themeColor="text1"/>
              </w:rPr>
              <w:t>Eligibility criteria for the phase 3 clinical trial</w:t>
            </w:r>
          </w:p>
        </w:tc>
      </w:tr>
      <w:tr w:rsidR="000C1A57" w14:paraId="4709A9CC"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bottom w:val="single" w:sz="4" w:space="0" w:color="auto"/>
            </w:tcBorders>
            <w:shd w:val="clear" w:color="auto" w:fill="D9D9D9" w:themeFill="background1" w:themeFillShade="D9"/>
          </w:tcPr>
          <w:p w14:paraId="72DDEE3E" w14:textId="77777777" w:rsidR="000C1A57" w:rsidRDefault="000C1A57" w:rsidP="004D3E93">
            <w:pPr>
              <w:pStyle w:val="Table-Normal"/>
            </w:pPr>
            <w:r>
              <w:t xml:space="preserve">Inclusion criteria </w:t>
            </w:r>
          </w:p>
        </w:tc>
      </w:tr>
      <w:tr w:rsidR="000C1A57" w:rsidRPr="00FD0F2B" w14:paraId="6C647E3D"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58C3D8E4" w14:textId="77777777" w:rsidR="000C1A57" w:rsidRPr="00FD0F2B" w:rsidRDefault="000C1A57" w:rsidP="004D3E93">
            <w:pPr>
              <w:pStyle w:val="Table-Normal"/>
              <w:numPr>
                <w:ilvl w:val="0"/>
                <w:numId w:val="9"/>
              </w:numPr>
              <w:rPr>
                <w:b w:val="0"/>
                <w:bCs/>
              </w:rPr>
            </w:pPr>
            <w:r>
              <w:rPr>
                <w:b w:val="0"/>
                <w:bCs/>
              </w:rPr>
              <w:t>Signed and dated informed consent has been obtained prior to any protocol-related procedures.</w:t>
            </w:r>
          </w:p>
        </w:tc>
      </w:tr>
      <w:tr w:rsidR="000C1A57" w:rsidRPr="00FD0F2B" w14:paraId="07205DEB"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top w:val="single" w:sz="4" w:space="0" w:color="auto"/>
              <w:bottom w:val="single" w:sz="4" w:space="0" w:color="auto"/>
              <w:right w:val="single" w:sz="4" w:space="0" w:color="auto"/>
            </w:tcBorders>
          </w:tcPr>
          <w:p w14:paraId="664BDB13" w14:textId="77777777" w:rsidR="000C1A57" w:rsidRPr="00FD0F2B" w:rsidRDefault="000C1A57" w:rsidP="004D3E93">
            <w:pPr>
              <w:pStyle w:val="Table-Normal"/>
              <w:numPr>
                <w:ilvl w:val="0"/>
                <w:numId w:val="9"/>
              </w:numPr>
              <w:rPr>
                <w:b w:val="0"/>
                <w:bCs/>
              </w:rPr>
            </w:pPr>
            <w:r>
              <w:rPr>
                <w:b w:val="0"/>
                <w:bCs/>
              </w:rPr>
              <w:t>Aged 18 years or above at screening.</w:t>
            </w:r>
          </w:p>
        </w:tc>
      </w:tr>
      <w:tr w:rsidR="000C1A57" w:rsidRPr="00FD0F2B" w14:paraId="78DEF7F1"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7FBFB711" w14:textId="77777777" w:rsidR="000C1A57" w:rsidRPr="00FD0F2B" w:rsidRDefault="000C1A57" w:rsidP="004D3E93">
            <w:pPr>
              <w:pStyle w:val="Table-Normal"/>
              <w:numPr>
                <w:ilvl w:val="0"/>
                <w:numId w:val="9"/>
              </w:numPr>
              <w:rPr>
                <w:b w:val="0"/>
                <w:bCs/>
              </w:rPr>
            </w:pPr>
            <w:r>
              <w:rPr>
                <w:b w:val="0"/>
                <w:bCs/>
              </w:rPr>
              <w:t>Diagnosis of CHE, defined as hand eczema that has persisted for more than three months or returned twice or more within the last 12 months.</w:t>
            </w:r>
          </w:p>
        </w:tc>
      </w:tr>
      <w:tr w:rsidR="000C1A57" w:rsidRPr="00FD0F2B" w14:paraId="0F1C9F82"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top w:val="single" w:sz="4" w:space="0" w:color="auto"/>
              <w:bottom w:val="single" w:sz="4" w:space="0" w:color="auto"/>
              <w:right w:val="single" w:sz="4" w:space="0" w:color="auto"/>
            </w:tcBorders>
          </w:tcPr>
          <w:p w14:paraId="1CDAC0A1" w14:textId="77777777" w:rsidR="000C1A57" w:rsidRPr="00FD0F2B" w:rsidRDefault="000C1A57" w:rsidP="004D3E93">
            <w:pPr>
              <w:pStyle w:val="Table-Normal"/>
              <w:numPr>
                <w:ilvl w:val="0"/>
                <w:numId w:val="9"/>
              </w:numPr>
              <w:rPr>
                <w:b w:val="0"/>
                <w:bCs/>
              </w:rPr>
            </w:pPr>
            <w:r>
              <w:rPr>
                <w:b w:val="0"/>
                <w:bCs/>
              </w:rPr>
              <w:t>Disease severity graded as moderate to severe at screening and Baseline according to IGA-CHE (i.e., an IGA-CHE score of 3 or 4)</w:t>
            </w:r>
          </w:p>
        </w:tc>
      </w:tr>
      <w:tr w:rsidR="000C1A57" w14:paraId="5B26C7F8"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581FE87C" w14:textId="77777777" w:rsidR="000C1A57" w:rsidRDefault="000C1A57" w:rsidP="004D3E93">
            <w:pPr>
              <w:pStyle w:val="Table-Normal"/>
              <w:numPr>
                <w:ilvl w:val="0"/>
                <w:numId w:val="9"/>
              </w:numPr>
              <w:rPr>
                <w:b w:val="0"/>
                <w:bCs/>
              </w:rPr>
            </w:pPr>
            <w:r>
              <w:rPr>
                <w:b w:val="0"/>
                <w:bCs/>
              </w:rPr>
              <w:t xml:space="preserve">HESD Itch score (weekly average) of </w:t>
            </w:r>
            <w:r>
              <w:rPr>
                <w:rFonts w:cstheme="minorHAnsi"/>
                <w:b w:val="0"/>
                <w:bCs/>
              </w:rPr>
              <w:t>≥</w:t>
            </w:r>
            <w:r>
              <w:rPr>
                <w:b w:val="0"/>
                <w:bCs/>
              </w:rPr>
              <w:t>4 points at Baseline. The Baseline weekly average was calculated from daily assessments of itch severity during the seven days immediately preceding the Baseline visit (Day -7 to Day -1). A minimum of four itch scores out of the seven days was required to calculate the Baseline average score.</w:t>
            </w:r>
          </w:p>
        </w:tc>
      </w:tr>
      <w:tr w:rsidR="000C1A57" w14:paraId="1BA7A307"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79D256A6" w14:textId="77777777" w:rsidR="000C1A57" w:rsidRPr="00FD0F2B" w:rsidRDefault="000C1A57" w:rsidP="004D3E93">
            <w:pPr>
              <w:pStyle w:val="Table-Normal"/>
              <w:numPr>
                <w:ilvl w:val="0"/>
                <w:numId w:val="9"/>
              </w:numPr>
              <w:rPr>
                <w:b w:val="0"/>
                <w:bCs/>
              </w:rPr>
            </w:pPr>
            <w:r>
              <w:rPr>
                <w:b w:val="0"/>
                <w:bCs/>
              </w:rPr>
              <w:t>Subjects who had a documented recent history of inadequate response to treatment with TCS (at any time within one year before the screening visit) or for whom TCS were documented to be otherwise medically inadvisable (e.g., due to important side effects or safety risks).</w:t>
            </w:r>
          </w:p>
          <w:p w14:paraId="15530B2E" w14:textId="77777777" w:rsidR="000C1A57" w:rsidRPr="00FD0F2B" w:rsidRDefault="000C1A57" w:rsidP="004D3E93">
            <w:pPr>
              <w:pStyle w:val="Table-Normal"/>
              <w:numPr>
                <w:ilvl w:val="1"/>
                <w:numId w:val="9"/>
              </w:numPr>
              <w:rPr>
                <w:b w:val="0"/>
                <w:bCs/>
              </w:rPr>
            </w:pPr>
            <w:r>
              <w:rPr>
                <w:b w:val="0"/>
                <w:bCs/>
              </w:rPr>
              <w:t xml:space="preserve">Inadequate response was defined as a history of failure to achieve and maintain a low disease activity state (comparable to an IGA-CHE score of </w:t>
            </w:r>
            <w:r>
              <w:rPr>
                <w:rFonts w:cstheme="minorHAnsi"/>
                <w:b w:val="0"/>
                <w:bCs/>
              </w:rPr>
              <w:t>≤</w:t>
            </w:r>
            <w:r>
              <w:rPr>
                <w:b w:val="0"/>
                <w:bCs/>
              </w:rPr>
              <w:t xml:space="preserve">2) despite treatment with a daily regimen of TCS of class III-IV (potent to very potent) for Europe and class IV-I (medium potency to very/ultra-high potency) for Canada, applied at least 28 days or for the maximum duration recommended by the product prescribing information, whichever was shorter. </w:t>
            </w:r>
          </w:p>
          <w:p w14:paraId="2DE09457" w14:textId="77777777" w:rsidR="000C1A57" w:rsidRDefault="000C1A57" w:rsidP="004D3E93">
            <w:pPr>
              <w:pStyle w:val="Table-Normal"/>
              <w:numPr>
                <w:ilvl w:val="1"/>
                <w:numId w:val="9"/>
              </w:numPr>
              <w:rPr>
                <w:b w:val="0"/>
                <w:bCs/>
              </w:rPr>
            </w:pPr>
            <w:r>
              <w:rPr>
                <w:b w:val="0"/>
                <w:bCs/>
              </w:rPr>
              <w:t xml:space="preserve">Important side effects or safety risks were those that outweigh the potential treatment benefits and include intolerance to treatment, hypersensitivity reactions, and significant atrophy as assessed by the physician. </w:t>
            </w:r>
          </w:p>
        </w:tc>
      </w:tr>
      <w:tr w:rsidR="000C1A57" w14:paraId="10E9C7D6"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0925F9B8" w14:textId="77777777" w:rsidR="000C1A57" w:rsidRDefault="000C1A57" w:rsidP="004D3E93">
            <w:pPr>
              <w:pStyle w:val="Table-Normal"/>
              <w:numPr>
                <w:ilvl w:val="0"/>
                <w:numId w:val="9"/>
              </w:numPr>
              <w:rPr>
                <w:b w:val="0"/>
                <w:bCs/>
              </w:rPr>
            </w:pPr>
            <w:r>
              <w:rPr>
                <w:b w:val="0"/>
                <w:bCs/>
              </w:rPr>
              <w:t>Subjects adhered to standard non-medicated skin care including avoidance of known and relevant irritants and allergens.</w:t>
            </w:r>
          </w:p>
        </w:tc>
      </w:tr>
      <w:tr w:rsidR="000C1A57" w14:paraId="78C13DFF"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73A414DC" w14:textId="77777777" w:rsidR="000C1A57" w:rsidRDefault="000C1A57" w:rsidP="004D3E93">
            <w:pPr>
              <w:pStyle w:val="Table-Normal"/>
              <w:numPr>
                <w:ilvl w:val="0"/>
                <w:numId w:val="9"/>
              </w:numPr>
              <w:rPr>
                <w:b w:val="0"/>
                <w:bCs/>
              </w:rPr>
            </w:pPr>
            <w:r>
              <w:rPr>
                <w:b w:val="0"/>
                <w:bCs/>
              </w:rPr>
              <w:t>A women of childbearing potential who used an acceptable method of birth control throughout the trial up until the last application of IMP.</w:t>
            </w:r>
          </w:p>
        </w:tc>
      </w:tr>
      <w:tr w:rsidR="000C1A57" w:rsidRPr="00780538" w14:paraId="0FB0B958"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shd w:val="clear" w:color="auto" w:fill="D9D9D9" w:themeFill="background1" w:themeFillShade="D9"/>
          </w:tcPr>
          <w:p w14:paraId="28744611" w14:textId="77777777" w:rsidR="000C1A57" w:rsidRPr="00780538" w:rsidRDefault="000C1A57" w:rsidP="004D3E93">
            <w:pPr>
              <w:pStyle w:val="Table-Normal"/>
            </w:pPr>
            <w:r>
              <w:t>Exclusion criteria</w:t>
            </w:r>
          </w:p>
        </w:tc>
      </w:tr>
      <w:tr w:rsidR="000C1A57" w14:paraId="1D42B6F1"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09C31D2B" w14:textId="77777777" w:rsidR="000C1A57" w:rsidRDefault="000C1A57" w:rsidP="004D3E93">
            <w:pPr>
              <w:pStyle w:val="Table-Normal"/>
              <w:numPr>
                <w:ilvl w:val="0"/>
                <w:numId w:val="10"/>
              </w:numPr>
              <w:rPr>
                <w:b w:val="0"/>
                <w:bCs/>
              </w:rPr>
            </w:pPr>
            <w:r>
              <w:rPr>
                <w:b w:val="0"/>
                <w:bCs/>
              </w:rPr>
              <w:t xml:space="preserve">Concurrent skin diseases on the hands, e.g., tinea </w:t>
            </w:r>
            <w:proofErr w:type="spellStart"/>
            <w:r>
              <w:rPr>
                <w:b w:val="0"/>
                <w:bCs/>
              </w:rPr>
              <w:t>manuum</w:t>
            </w:r>
            <w:proofErr w:type="spellEnd"/>
            <w:r>
              <w:rPr>
                <w:b w:val="0"/>
                <w:bCs/>
              </w:rPr>
              <w:t>.</w:t>
            </w:r>
          </w:p>
        </w:tc>
      </w:tr>
      <w:tr w:rsidR="000C1A57" w14:paraId="3FD3829A"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2370F77F" w14:textId="77777777" w:rsidR="000C1A57" w:rsidRDefault="000C1A57" w:rsidP="004D3E93">
            <w:pPr>
              <w:pStyle w:val="Table-Normal"/>
              <w:numPr>
                <w:ilvl w:val="0"/>
                <w:numId w:val="10"/>
              </w:numPr>
              <w:rPr>
                <w:b w:val="0"/>
                <w:bCs/>
              </w:rPr>
            </w:pPr>
            <w:r>
              <w:rPr>
                <w:b w:val="0"/>
                <w:bCs/>
              </w:rPr>
              <w:t>Active AD requiring medical treatment in regions other than the hands and feet.</w:t>
            </w:r>
          </w:p>
        </w:tc>
      </w:tr>
      <w:tr w:rsidR="000C1A57" w14:paraId="0D93C5A7"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30462204" w14:textId="77777777" w:rsidR="000C1A57" w:rsidRDefault="000C1A57" w:rsidP="004D3E93">
            <w:pPr>
              <w:pStyle w:val="Table-Normal"/>
              <w:numPr>
                <w:ilvl w:val="0"/>
                <w:numId w:val="10"/>
              </w:numPr>
              <w:rPr>
                <w:b w:val="0"/>
                <w:bCs/>
              </w:rPr>
            </w:pPr>
            <w:r>
              <w:rPr>
                <w:b w:val="0"/>
                <w:bCs/>
              </w:rPr>
              <w:t>Active psoriasis on any part of the body.</w:t>
            </w:r>
          </w:p>
        </w:tc>
      </w:tr>
      <w:tr w:rsidR="000C1A57" w14:paraId="4F57EAEA"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7912551B" w14:textId="77777777" w:rsidR="000C1A57" w:rsidRDefault="000C1A57" w:rsidP="004D3E93">
            <w:pPr>
              <w:pStyle w:val="Table-Normal"/>
              <w:numPr>
                <w:ilvl w:val="0"/>
                <w:numId w:val="10"/>
              </w:numPr>
              <w:rPr>
                <w:b w:val="0"/>
                <w:bCs/>
              </w:rPr>
            </w:pPr>
            <w:r>
              <w:rPr>
                <w:b w:val="0"/>
                <w:bCs/>
              </w:rPr>
              <w:t>Hyperkeratotic hand eczema in combination with a history of psoriasis on any part of the body.</w:t>
            </w:r>
          </w:p>
        </w:tc>
      </w:tr>
      <w:tr w:rsidR="000C1A57" w14:paraId="60652629"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7ADBE174" w14:textId="77777777" w:rsidR="000C1A57" w:rsidRDefault="000C1A57" w:rsidP="004D3E93">
            <w:pPr>
              <w:pStyle w:val="Table-Normal"/>
              <w:numPr>
                <w:ilvl w:val="0"/>
                <w:numId w:val="10"/>
              </w:numPr>
              <w:rPr>
                <w:b w:val="0"/>
                <w:bCs/>
              </w:rPr>
            </w:pPr>
            <w:r>
              <w:rPr>
                <w:b w:val="0"/>
                <w:bCs/>
              </w:rPr>
              <w:t>Clinically significant infection (e.g., impetiginized hand eczema) on the hands.</w:t>
            </w:r>
          </w:p>
        </w:tc>
      </w:tr>
      <w:tr w:rsidR="000C1A57" w14:paraId="7B1384C2"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2375D906" w14:textId="77777777" w:rsidR="000C1A57" w:rsidRDefault="000C1A57" w:rsidP="004D3E93">
            <w:pPr>
              <w:pStyle w:val="Table-Normal"/>
              <w:numPr>
                <w:ilvl w:val="0"/>
                <w:numId w:val="10"/>
              </w:numPr>
              <w:rPr>
                <w:b w:val="0"/>
                <w:bCs/>
              </w:rPr>
            </w:pPr>
            <w:r>
              <w:rPr>
                <w:b w:val="0"/>
                <w:bCs/>
              </w:rPr>
              <w:t>Systematic treatment with immunosuppressive drugs (e.g., methotrexate, cyclosporine, azathioprine), immunomodulating drugs, retinoids (e.g., alitretinoin), or corticosteroids within 28 days prior to Baseline (steroid eyedrops and inhaled or intranasal steroids corresponding to up to 1 mg prednisolone for allergic conjunctivitis, asthma, or rhinitis are allowed).</w:t>
            </w:r>
          </w:p>
        </w:tc>
      </w:tr>
      <w:tr w:rsidR="000C1A57" w14:paraId="3B447C9A"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36D8EE8E" w14:textId="77777777" w:rsidR="000C1A57" w:rsidRDefault="000C1A57" w:rsidP="004D3E93">
            <w:pPr>
              <w:pStyle w:val="Table-Normal"/>
              <w:numPr>
                <w:ilvl w:val="0"/>
                <w:numId w:val="10"/>
              </w:numPr>
              <w:rPr>
                <w:b w:val="0"/>
                <w:bCs/>
              </w:rPr>
            </w:pPr>
            <w:r>
              <w:rPr>
                <w:b w:val="0"/>
                <w:bCs/>
              </w:rPr>
              <w:lastRenderedPageBreak/>
              <w:t xml:space="preserve">Use of tanning beds, phototherapy (e.g., UVB, UVA1, PUVA), or bleach baths on the hands within 28 days prior to Baseline. </w:t>
            </w:r>
          </w:p>
        </w:tc>
      </w:tr>
      <w:tr w:rsidR="000C1A57" w14:paraId="6755D599"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4D6CF091" w14:textId="77777777" w:rsidR="000C1A57" w:rsidRDefault="000C1A57" w:rsidP="004D3E93">
            <w:pPr>
              <w:pStyle w:val="Table-Normal"/>
              <w:numPr>
                <w:ilvl w:val="0"/>
                <w:numId w:val="10"/>
              </w:numPr>
              <w:rPr>
                <w:b w:val="0"/>
                <w:bCs/>
              </w:rPr>
            </w:pPr>
            <w:r>
              <w:rPr>
                <w:b w:val="0"/>
                <w:bCs/>
              </w:rPr>
              <w:t xml:space="preserve">Previous or current treatment with JAK inhibitors (including </w:t>
            </w:r>
            <w:proofErr w:type="spellStart"/>
            <w:r>
              <w:rPr>
                <w:b w:val="0"/>
                <w:bCs/>
              </w:rPr>
              <w:t>delgocitinib</w:t>
            </w:r>
            <w:proofErr w:type="spellEnd"/>
            <w:r>
              <w:rPr>
                <w:b w:val="0"/>
                <w:bCs/>
              </w:rPr>
              <w:t>/LEO 124249), systemic or topical.</w:t>
            </w:r>
          </w:p>
        </w:tc>
      </w:tr>
      <w:tr w:rsidR="000C1A57" w14:paraId="33739B96"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62F03023" w14:textId="77777777" w:rsidR="000C1A57" w:rsidRDefault="000C1A57" w:rsidP="004D3E93">
            <w:pPr>
              <w:pStyle w:val="Table-Normal"/>
              <w:numPr>
                <w:ilvl w:val="0"/>
                <w:numId w:val="10"/>
              </w:numPr>
              <w:rPr>
                <w:b w:val="0"/>
                <w:bCs/>
              </w:rPr>
            </w:pPr>
            <w:proofErr w:type="spellStart"/>
            <w:r>
              <w:rPr>
                <w:b w:val="0"/>
                <w:bCs/>
              </w:rPr>
              <w:t>Cutaneously</w:t>
            </w:r>
            <w:proofErr w:type="spellEnd"/>
            <w:r>
              <w:rPr>
                <w:b w:val="0"/>
                <w:bCs/>
              </w:rPr>
              <w:t xml:space="preserve"> applied treatment with immunomodulators (e.g., PDE-4 inhibitors, </w:t>
            </w:r>
            <w:proofErr w:type="spellStart"/>
            <w:r>
              <w:rPr>
                <w:b w:val="0"/>
                <w:bCs/>
              </w:rPr>
              <w:t>pimecrolimus</w:t>
            </w:r>
            <w:proofErr w:type="spellEnd"/>
            <w:r>
              <w:rPr>
                <w:b w:val="0"/>
                <w:bCs/>
              </w:rPr>
              <w:t>, tacrolimus) or TCS on the hands within 24 days prior to Baseline.</w:t>
            </w:r>
          </w:p>
        </w:tc>
      </w:tr>
      <w:tr w:rsidR="000C1A57" w14:paraId="192AAA99"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7524A068" w14:textId="77777777" w:rsidR="000C1A57" w:rsidRDefault="000C1A57" w:rsidP="004D3E93">
            <w:pPr>
              <w:pStyle w:val="Table-Normal"/>
              <w:numPr>
                <w:ilvl w:val="0"/>
                <w:numId w:val="10"/>
              </w:numPr>
              <w:rPr>
                <w:b w:val="0"/>
                <w:bCs/>
              </w:rPr>
            </w:pPr>
            <w:r>
              <w:rPr>
                <w:b w:val="0"/>
                <w:bCs/>
              </w:rPr>
              <w:t xml:space="preserve">Use of systemic antibiotics or </w:t>
            </w:r>
            <w:proofErr w:type="spellStart"/>
            <w:r>
              <w:rPr>
                <w:b w:val="0"/>
                <w:bCs/>
              </w:rPr>
              <w:t>cutaneously</w:t>
            </w:r>
            <w:proofErr w:type="spellEnd"/>
            <w:r>
              <w:rPr>
                <w:b w:val="0"/>
                <w:bCs/>
              </w:rPr>
              <w:t xml:space="preserve"> applied antibiotics on the hands within 14 days prior to Baseline.</w:t>
            </w:r>
          </w:p>
        </w:tc>
      </w:tr>
      <w:tr w:rsidR="000C1A57" w14:paraId="59F07C39"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14DF69F4" w14:textId="77777777" w:rsidR="000C1A57" w:rsidRDefault="000C1A57" w:rsidP="004D3E93">
            <w:pPr>
              <w:pStyle w:val="Table-Normal"/>
              <w:numPr>
                <w:ilvl w:val="0"/>
                <w:numId w:val="10"/>
              </w:numPr>
              <w:rPr>
                <w:b w:val="0"/>
                <w:bCs/>
              </w:rPr>
            </w:pPr>
            <w:r>
              <w:rPr>
                <w:b w:val="0"/>
                <w:bCs/>
              </w:rPr>
              <w:t xml:space="preserve">Other transdermal or </w:t>
            </w:r>
            <w:proofErr w:type="spellStart"/>
            <w:r>
              <w:rPr>
                <w:b w:val="0"/>
                <w:bCs/>
              </w:rPr>
              <w:t>cutaneously</w:t>
            </w:r>
            <w:proofErr w:type="spellEnd"/>
            <w:r>
              <w:rPr>
                <w:b w:val="0"/>
                <w:bCs/>
              </w:rPr>
              <w:t xml:space="preserve"> applied therapy on the hands (except for the use of subject’s own emollients) within 7 days prior to Baseline.</w:t>
            </w:r>
          </w:p>
        </w:tc>
      </w:tr>
      <w:tr w:rsidR="000C1A57" w14:paraId="4CB7B58C"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79DA7497" w14:textId="77777777" w:rsidR="000C1A57" w:rsidRDefault="000C1A57" w:rsidP="004D3E93">
            <w:pPr>
              <w:pStyle w:val="Table-Normal"/>
              <w:numPr>
                <w:ilvl w:val="0"/>
                <w:numId w:val="10"/>
              </w:numPr>
              <w:rPr>
                <w:b w:val="0"/>
                <w:bCs/>
              </w:rPr>
            </w:pPr>
            <w:proofErr w:type="spellStart"/>
            <w:r>
              <w:rPr>
                <w:b w:val="0"/>
                <w:bCs/>
              </w:rPr>
              <w:t>Cutaneously</w:t>
            </w:r>
            <w:proofErr w:type="spellEnd"/>
            <w:r>
              <w:rPr>
                <w:b w:val="0"/>
                <w:bCs/>
              </w:rPr>
              <w:t xml:space="preserve"> applied treatments in regions other than the hands, which could interfere with clinical trial evaluations or pose a safety concern within 7 days prior to Baseline.</w:t>
            </w:r>
          </w:p>
        </w:tc>
      </w:tr>
      <w:tr w:rsidR="000C1A57" w14:paraId="67F7138F"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3EBC9CE4" w14:textId="77777777" w:rsidR="000C1A57" w:rsidRPr="0015147C" w:rsidRDefault="000C1A57" w:rsidP="004D3E93">
            <w:pPr>
              <w:pStyle w:val="Table-Normal"/>
              <w:numPr>
                <w:ilvl w:val="0"/>
                <w:numId w:val="10"/>
              </w:numPr>
              <w:rPr>
                <w:b w:val="0"/>
                <w:bCs/>
              </w:rPr>
            </w:pPr>
            <w:r>
              <w:rPr>
                <w:b w:val="0"/>
                <w:bCs/>
              </w:rPr>
              <w:t>Treatment with any marketed biological therapy or investigational biologic agents (including immunoglobulin, anti-</w:t>
            </w:r>
            <w:proofErr w:type="spellStart"/>
            <w:r>
              <w:rPr>
                <w:b w:val="0"/>
                <w:bCs/>
              </w:rPr>
              <w:t>IgE</w:t>
            </w:r>
            <w:proofErr w:type="spellEnd"/>
            <w:r>
              <w:rPr>
                <w:b w:val="0"/>
                <w:bCs/>
              </w:rPr>
              <w:t xml:space="preserve">, and </w:t>
            </w:r>
            <w:proofErr w:type="spellStart"/>
            <w:r>
              <w:rPr>
                <w:b w:val="0"/>
                <w:bCs/>
              </w:rPr>
              <w:t>dupilumab</w:t>
            </w:r>
            <w:proofErr w:type="spellEnd"/>
            <w:r>
              <w:rPr>
                <w:b w:val="0"/>
                <w:bCs/>
              </w:rPr>
              <w:t xml:space="preserve">: </w:t>
            </w:r>
          </w:p>
          <w:p w14:paraId="64DBB948" w14:textId="77777777" w:rsidR="000C1A57" w:rsidRPr="0015147C" w:rsidRDefault="000C1A57" w:rsidP="004D3E93">
            <w:pPr>
              <w:pStyle w:val="Table-Normal"/>
              <w:numPr>
                <w:ilvl w:val="1"/>
                <w:numId w:val="10"/>
              </w:numPr>
              <w:rPr>
                <w:b w:val="0"/>
                <w:bCs/>
              </w:rPr>
            </w:pPr>
            <w:r>
              <w:rPr>
                <w:b w:val="0"/>
                <w:bCs/>
              </w:rPr>
              <w:t>Any cell-depleting agents including but not limited to rituximab: within 6 months prior to Baseline, or until lymphocyte count returns to normal, whichever was longer.</w:t>
            </w:r>
          </w:p>
          <w:p w14:paraId="5C5FF2EB" w14:textId="77777777" w:rsidR="000C1A57" w:rsidRDefault="000C1A57" w:rsidP="004D3E93">
            <w:pPr>
              <w:pStyle w:val="Table-Normal"/>
              <w:numPr>
                <w:ilvl w:val="1"/>
                <w:numId w:val="10"/>
              </w:numPr>
              <w:rPr>
                <w:b w:val="0"/>
                <w:bCs/>
              </w:rPr>
            </w:pPr>
            <w:r>
              <w:rPr>
                <w:b w:val="0"/>
                <w:bCs/>
              </w:rPr>
              <w:t>Other biologics: within three months or five half-lives, whichever was longer, prior to Baseline.</w:t>
            </w:r>
          </w:p>
        </w:tc>
      </w:tr>
      <w:tr w:rsidR="000C1A57" w14:paraId="48E516BD"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0CB64E43" w14:textId="77777777" w:rsidR="000C1A57" w:rsidRDefault="000C1A57" w:rsidP="004D3E93">
            <w:pPr>
              <w:pStyle w:val="Table-Normal"/>
              <w:numPr>
                <w:ilvl w:val="0"/>
                <w:numId w:val="10"/>
              </w:numPr>
              <w:rPr>
                <w:b w:val="0"/>
                <w:bCs/>
              </w:rPr>
            </w:pPr>
            <w:r>
              <w:rPr>
                <w:b w:val="0"/>
                <w:bCs/>
              </w:rPr>
              <w:t>Treatment with any non-marketed drug substance (that is, an agent that has not yet been made fully available for clinical use following registration) within the last 28 days prior to Baseline or five half-lives, whichever is the longest.</w:t>
            </w:r>
          </w:p>
        </w:tc>
      </w:tr>
      <w:tr w:rsidR="000C1A57" w:rsidRPr="00E43D31" w14:paraId="4B7362B8"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17A6258F" w14:textId="77777777" w:rsidR="000C1A57" w:rsidRPr="00E43D31" w:rsidRDefault="000C1A57" w:rsidP="004D3E93">
            <w:pPr>
              <w:pStyle w:val="Table-Normal"/>
              <w:numPr>
                <w:ilvl w:val="0"/>
                <w:numId w:val="10"/>
              </w:numPr>
              <w:rPr>
                <w:b w:val="0"/>
                <w:bCs/>
              </w:rPr>
            </w:pPr>
            <w:r>
              <w:rPr>
                <w:b w:val="0"/>
                <w:bCs/>
              </w:rPr>
              <w:t>Clinically significant infection within 28 days prior to Baseline which, in the opinion of the investigator, may compromise the safety of the subject in the trial, interfere with evaluation of the IMP, or reduce the subject’s ability to participate in the trial. Clinically significant infections are defined as:</w:t>
            </w:r>
          </w:p>
          <w:p w14:paraId="5BFB8AB5" w14:textId="77777777" w:rsidR="000C1A57" w:rsidRPr="00E43D31" w:rsidRDefault="000C1A57" w:rsidP="004D3E93">
            <w:pPr>
              <w:pStyle w:val="Table-Normal"/>
              <w:numPr>
                <w:ilvl w:val="0"/>
                <w:numId w:val="11"/>
              </w:numPr>
              <w:rPr>
                <w:b w:val="0"/>
                <w:bCs/>
              </w:rPr>
            </w:pPr>
            <w:r>
              <w:rPr>
                <w:b w:val="0"/>
                <w:bCs/>
              </w:rPr>
              <w:t>A systemic infection.</w:t>
            </w:r>
          </w:p>
          <w:p w14:paraId="5C051E97" w14:textId="77777777" w:rsidR="000C1A57" w:rsidRPr="00E43D31" w:rsidRDefault="000C1A57" w:rsidP="004D3E93">
            <w:pPr>
              <w:pStyle w:val="Table-Normal"/>
              <w:numPr>
                <w:ilvl w:val="0"/>
                <w:numId w:val="11"/>
              </w:numPr>
              <w:rPr>
                <w:b w:val="0"/>
                <w:bCs/>
              </w:rPr>
            </w:pPr>
            <w:r>
              <w:rPr>
                <w:b w:val="0"/>
                <w:bCs/>
              </w:rPr>
              <w:t>A serious skin infection requiring parenteral (intravenous or intramuscular) antibiotics, antiviral, or antifungal medication.</w:t>
            </w:r>
          </w:p>
        </w:tc>
      </w:tr>
      <w:tr w:rsidR="000C1A57" w14:paraId="020A0DAF"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249EFAD9" w14:textId="77777777" w:rsidR="000C1A57" w:rsidRDefault="000C1A57" w:rsidP="004D3E93">
            <w:pPr>
              <w:pStyle w:val="Table-Normal"/>
              <w:numPr>
                <w:ilvl w:val="0"/>
                <w:numId w:val="10"/>
              </w:numPr>
              <w:rPr>
                <w:b w:val="0"/>
                <w:bCs/>
              </w:rPr>
            </w:pPr>
            <w:r>
              <w:rPr>
                <w:b w:val="0"/>
                <w:bCs/>
              </w:rPr>
              <w:t>History of any known immunodeficiency disorder including a positive HIV virus test at screening, or the subject taking antiretroviral medication as determined by medical history and/or subject’s verbal report.</w:t>
            </w:r>
          </w:p>
        </w:tc>
      </w:tr>
      <w:tr w:rsidR="000C1A57" w14:paraId="77A494FB"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56BBA48D" w14:textId="77777777" w:rsidR="000C1A57" w:rsidRDefault="000C1A57" w:rsidP="004D3E93">
            <w:pPr>
              <w:pStyle w:val="Table-Normal"/>
              <w:numPr>
                <w:ilvl w:val="0"/>
                <w:numId w:val="10"/>
              </w:numPr>
              <w:rPr>
                <w:b w:val="0"/>
                <w:bCs/>
              </w:rPr>
            </w:pPr>
            <w:r>
              <w:rPr>
                <w:b w:val="0"/>
                <w:bCs/>
              </w:rPr>
              <w:t xml:space="preserve">Major surgery within 8 weeks prior to screening or planned in-patient surgery or hospitalization during the trial period. </w:t>
            </w:r>
          </w:p>
        </w:tc>
      </w:tr>
      <w:tr w:rsidR="000C1A57" w14:paraId="6D660F07"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7FF45744" w14:textId="77777777" w:rsidR="000C1A57" w:rsidRPr="001D0E14" w:rsidRDefault="000C1A57" w:rsidP="004D3E93">
            <w:pPr>
              <w:pStyle w:val="Table-Normal"/>
              <w:numPr>
                <w:ilvl w:val="0"/>
                <w:numId w:val="10"/>
              </w:numPr>
              <w:rPr>
                <w:b w:val="0"/>
                <w:bCs/>
              </w:rPr>
            </w:pPr>
            <w:r>
              <w:rPr>
                <w:b w:val="0"/>
                <w:bCs/>
              </w:rPr>
              <w:t xml:space="preserve">History of cancer: </w:t>
            </w:r>
          </w:p>
          <w:p w14:paraId="5BC4D618" w14:textId="77777777" w:rsidR="000C1A57" w:rsidRPr="001D0E14" w:rsidRDefault="000C1A57" w:rsidP="004D3E93">
            <w:pPr>
              <w:pStyle w:val="Table-Normal"/>
              <w:numPr>
                <w:ilvl w:val="0"/>
                <w:numId w:val="12"/>
              </w:numPr>
              <w:rPr>
                <w:b w:val="0"/>
                <w:bCs/>
              </w:rPr>
            </w:pPr>
            <w:r>
              <w:rPr>
                <w:b w:val="0"/>
                <w:bCs/>
              </w:rPr>
              <w:t>Subjects who have had basal cell carcinoma, localized squamous cell carcinoma of the skin or in situ carcinoma of the cervix were eligible provided that the subject was in remission and curative therapy was completed at least 12 months prior to screening.</w:t>
            </w:r>
          </w:p>
          <w:p w14:paraId="29564371" w14:textId="77777777" w:rsidR="000C1A57" w:rsidRDefault="000C1A57" w:rsidP="004D3E93">
            <w:pPr>
              <w:pStyle w:val="Table-Normal"/>
              <w:numPr>
                <w:ilvl w:val="0"/>
                <w:numId w:val="12"/>
              </w:numPr>
              <w:rPr>
                <w:b w:val="0"/>
                <w:bCs/>
              </w:rPr>
            </w:pPr>
            <w:r>
              <w:rPr>
                <w:b w:val="0"/>
                <w:bCs/>
              </w:rPr>
              <w:t xml:space="preserve">Subjects who have had other malignancies are eligible provided that the subject was in remission and curative therapy was completed at least 5 years prior to screening. </w:t>
            </w:r>
          </w:p>
        </w:tc>
      </w:tr>
      <w:tr w:rsidR="000C1A57" w14:paraId="04FFB71A"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7F5B7C98" w14:textId="77777777" w:rsidR="000C1A57" w:rsidRPr="001D0E14" w:rsidRDefault="000C1A57" w:rsidP="004D3E93">
            <w:pPr>
              <w:pStyle w:val="Table-Normal"/>
              <w:numPr>
                <w:ilvl w:val="0"/>
                <w:numId w:val="10"/>
              </w:numPr>
              <w:rPr>
                <w:b w:val="0"/>
                <w:bCs/>
              </w:rPr>
            </w:pPr>
            <w:r>
              <w:rPr>
                <w:b w:val="0"/>
                <w:bCs/>
              </w:rPr>
              <w:t>Any disorder which was not stable and:</w:t>
            </w:r>
          </w:p>
          <w:p w14:paraId="73C7D990" w14:textId="77777777" w:rsidR="000C1A57" w:rsidRPr="001D0E14" w:rsidRDefault="000C1A57" w:rsidP="004D3E93">
            <w:pPr>
              <w:pStyle w:val="Table-Normal"/>
              <w:numPr>
                <w:ilvl w:val="1"/>
                <w:numId w:val="10"/>
              </w:numPr>
              <w:rPr>
                <w:b w:val="0"/>
                <w:bCs/>
              </w:rPr>
            </w:pPr>
            <w:r>
              <w:rPr>
                <w:b w:val="0"/>
                <w:bCs/>
              </w:rPr>
              <w:t>Affected the safety of the subject throughout the trial.</w:t>
            </w:r>
          </w:p>
          <w:p w14:paraId="54F25D60" w14:textId="77777777" w:rsidR="000C1A57" w:rsidRPr="001D0E14" w:rsidRDefault="000C1A57" w:rsidP="004D3E93">
            <w:pPr>
              <w:pStyle w:val="Table-Normal"/>
              <w:numPr>
                <w:ilvl w:val="1"/>
                <w:numId w:val="10"/>
              </w:numPr>
              <w:rPr>
                <w:b w:val="0"/>
                <w:bCs/>
              </w:rPr>
            </w:pPr>
            <w:r>
              <w:rPr>
                <w:b w:val="0"/>
                <w:bCs/>
              </w:rPr>
              <w:t xml:space="preserve">Impeded the </w:t>
            </w:r>
            <w:proofErr w:type="gramStart"/>
            <w:r>
              <w:rPr>
                <w:b w:val="0"/>
                <w:bCs/>
              </w:rPr>
              <w:t>subjects</w:t>
            </w:r>
            <w:proofErr w:type="gramEnd"/>
            <w:r>
              <w:rPr>
                <w:b w:val="0"/>
                <w:bCs/>
              </w:rPr>
              <w:t xml:space="preserve"> ability to complete the trial.</w:t>
            </w:r>
          </w:p>
          <w:p w14:paraId="70F513A6" w14:textId="77777777" w:rsidR="000C1A57" w:rsidRDefault="000C1A57" w:rsidP="004D3E93">
            <w:pPr>
              <w:pStyle w:val="Table-Normal"/>
              <w:ind w:left="720"/>
              <w:rPr>
                <w:b w:val="0"/>
                <w:bCs/>
              </w:rPr>
            </w:pPr>
            <w:r>
              <w:rPr>
                <w:b w:val="0"/>
                <w:bCs/>
              </w:rPr>
              <w:t xml:space="preserve">Examples included but were not limited to cardiovascular, gastrointestinal, hepatic, renal, neurological, musculoskeletal, infectious, endocrine, metabolic, haematological, immunological, and psychiatric disorders, and major physical impairment. </w:t>
            </w:r>
          </w:p>
        </w:tc>
      </w:tr>
      <w:tr w:rsidR="000C1A57" w14:paraId="018BE3DA"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61201438" w14:textId="77777777" w:rsidR="000C1A57" w:rsidRPr="00C4100F" w:rsidRDefault="000C1A57" w:rsidP="004D3E93">
            <w:pPr>
              <w:pStyle w:val="Table-Normal"/>
              <w:numPr>
                <w:ilvl w:val="0"/>
                <w:numId w:val="10"/>
              </w:numPr>
              <w:rPr>
                <w:b w:val="0"/>
                <w:bCs/>
              </w:rPr>
            </w:pPr>
            <w:r>
              <w:rPr>
                <w:b w:val="0"/>
                <w:bCs/>
              </w:rPr>
              <w:t>Any abnormal findings which:</w:t>
            </w:r>
          </w:p>
          <w:p w14:paraId="26B495E4" w14:textId="77777777" w:rsidR="000C1A57" w:rsidRPr="00C4100F" w:rsidRDefault="000C1A57" w:rsidP="004D3E93">
            <w:pPr>
              <w:pStyle w:val="Table-Normal"/>
              <w:numPr>
                <w:ilvl w:val="1"/>
                <w:numId w:val="10"/>
              </w:numPr>
              <w:rPr>
                <w:b w:val="0"/>
                <w:bCs/>
              </w:rPr>
            </w:pPr>
            <w:r>
              <w:rPr>
                <w:b w:val="0"/>
                <w:bCs/>
              </w:rPr>
              <w:t>Put the subject at risk because of their participation in the trial.</w:t>
            </w:r>
          </w:p>
          <w:p w14:paraId="78E714BB" w14:textId="77777777" w:rsidR="000C1A57" w:rsidRPr="00C4100F" w:rsidRDefault="000C1A57" w:rsidP="004D3E93">
            <w:pPr>
              <w:pStyle w:val="Table-Normal"/>
              <w:numPr>
                <w:ilvl w:val="1"/>
                <w:numId w:val="10"/>
              </w:numPr>
              <w:rPr>
                <w:b w:val="0"/>
                <w:bCs/>
              </w:rPr>
            </w:pPr>
            <w:r>
              <w:rPr>
                <w:b w:val="0"/>
                <w:bCs/>
              </w:rPr>
              <w:t>Influenced the subject’s ability to complete the trial</w:t>
            </w:r>
          </w:p>
          <w:p w14:paraId="54134005" w14:textId="77777777" w:rsidR="000C1A57" w:rsidRDefault="000C1A57" w:rsidP="004D3E93">
            <w:pPr>
              <w:pStyle w:val="Table-Normal"/>
              <w:ind w:left="720"/>
              <w:rPr>
                <w:b w:val="0"/>
                <w:bCs/>
              </w:rPr>
            </w:pPr>
            <w:r>
              <w:rPr>
                <w:b w:val="0"/>
                <w:bCs/>
              </w:rPr>
              <w:lastRenderedPageBreak/>
              <w:t>The abnormal finding was clinically significant and observed during the screening period. Examples included abnormal findings in physical examination, vital signs, ECG, haematology, clinical chemistry, or urinalysis.</w:t>
            </w:r>
          </w:p>
        </w:tc>
      </w:tr>
      <w:tr w:rsidR="000C1A57" w14:paraId="0E13BAEA"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6EB0C21D" w14:textId="77777777" w:rsidR="000C1A57" w:rsidRDefault="000C1A57" w:rsidP="004D3E93">
            <w:pPr>
              <w:pStyle w:val="Table-Normal"/>
              <w:numPr>
                <w:ilvl w:val="0"/>
                <w:numId w:val="10"/>
              </w:numPr>
              <w:rPr>
                <w:b w:val="0"/>
                <w:bCs/>
              </w:rPr>
            </w:pPr>
            <w:r>
              <w:rPr>
                <w:b w:val="0"/>
                <w:bCs/>
              </w:rPr>
              <w:lastRenderedPageBreak/>
              <w:t>Positive hepatitis B surface antigen or hepatitis C virus antibody serology at screening.</w:t>
            </w:r>
          </w:p>
        </w:tc>
      </w:tr>
      <w:tr w:rsidR="000C1A57" w14:paraId="78438EFD"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25F66313" w14:textId="77777777" w:rsidR="000C1A57" w:rsidRDefault="000C1A57" w:rsidP="004D3E93">
            <w:pPr>
              <w:pStyle w:val="Table-Normal"/>
              <w:numPr>
                <w:ilvl w:val="0"/>
                <w:numId w:val="10"/>
              </w:numPr>
              <w:rPr>
                <w:b w:val="0"/>
                <w:bCs/>
              </w:rPr>
            </w:pPr>
            <w:r>
              <w:rPr>
                <w:b w:val="0"/>
                <w:bCs/>
              </w:rPr>
              <w:t xml:space="preserve">ALT or AST level </w:t>
            </w:r>
            <w:r w:rsidRPr="00C4100F">
              <w:rPr>
                <w:rFonts w:cstheme="minorHAnsi"/>
                <w:b w:val="0"/>
                <w:bCs/>
                <w:lang w:val="en-US"/>
              </w:rPr>
              <w:t>≥2.0×ULN</w:t>
            </w:r>
            <w:r>
              <w:rPr>
                <w:rFonts w:cstheme="minorHAnsi"/>
                <w:b w:val="0"/>
                <w:bCs/>
                <w:lang w:val="en-US"/>
              </w:rPr>
              <w:t xml:space="preserve"> at screening.</w:t>
            </w:r>
          </w:p>
        </w:tc>
      </w:tr>
      <w:tr w:rsidR="000C1A57" w14:paraId="49D66E29"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52D17DDD" w14:textId="77777777" w:rsidR="000C1A57" w:rsidRDefault="000C1A57" w:rsidP="004D3E93">
            <w:pPr>
              <w:pStyle w:val="Table-Normal"/>
              <w:numPr>
                <w:ilvl w:val="0"/>
                <w:numId w:val="10"/>
              </w:numPr>
              <w:rPr>
                <w:b w:val="0"/>
                <w:bCs/>
              </w:rPr>
            </w:pPr>
            <w:r>
              <w:rPr>
                <w:b w:val="0"/>
                <w:bCs/>
              </w:rPr>
              <w:t>Known or suspected hypersensitivity to any component(s) of the IMP.</w:t>
            </w:r>
          </w:p>
        </w:tc>
      </w:tr>
      <w:tr w:rsidR="000C1A57" w14:paraId="1F9767FA"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424D03CB" w14:textId="77777777" w:rsidR="000C1A57" w:rsidRDefault="000C1A57" w:rsidP="004D3E93">
            <w:pPr>
              <w:pStyle w:val="Table-Normal"/>
              <w:numPr>
                <w:ilvl w:val="0"/>
                <w:numId w:val="10"/>
              </w:numPr>
              <w:rPr>
                <w:b w:val="0"/>
                <w:bCs/>
              </w:rPr>
            </w:pPr>
            <w:r>
              <w:rPr>
                <w:b w:val="0"/>
                <w:bCs/>
              </w:rPr>
              <w:t>Current participation in any other interventional clinical trial.</w:t>
            </w:r>
          </w:p>
        </w:tc>
      </w:tr>
      <w:tr w:rsidR="000C1A57" w14:paraId="5EBFDC07"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0E7CA483" w14:textId="77777777" w:rsidR="000C1A57" w:rsidRDefault="000C1A57" w:rsidP="004D3E93">
            <w:pPr>
              <w:pStyle w:val="Table-Normal"/>
              <w:numPr>
                <w:ilvl w:val="0"/>
                <w:numId w:val="10"/>
              </w:numPr>
              <w:rPr>
                <w:b w:val="0"/>
                <w:bCs/>
              </w:rPr>
            </w:pPr>
            <w:r>
              <w:rPr>
                <w:b w:val="0"/>
                <w:bCs/>
              </w:rPr>
              <w:t>Previously randomized in this clinical trial.</w:t>
            </w:r>
          </w:p>
        </w:tc>
      </w:tr>
      <w:tr w:rsidR="000C1A57" w14:paraId="2E671F3F"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0168D95B" w14:textId="77777777" w:rsidR="000C1A57" w:rsidRDefault="000C1A57" w:rsidP="004D3E93">
            <w:pPr>
              <w:pStyle w:val="Table-Normal"/>
              <w:numPr>
                <w:ilvl w:val="0"/>
                <w:numId w:val="10"/>
              </w:numPr>
              <w:rPr>
                <w:b w:val="0"/>
                <w:bCs/>
              </w:rPr>
            </w:pPr>
            <w:r>
              <w:rPr>
                <w:b w:val="0"/>
                <w:bCs/>
              </w:rPr>
              <w:t>Current or recurrent chronic alcohol or drug abuse, or any other condition associated with poor compliance as judged by the investigator.</w:t>
            </w:r>
          </w:p>
        </w:tc>
      </w:tr>
      <w:tr w:rsidR="000C1A57" w14:paraId="731515DF"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45268DA7" w14:textId="77777777" w:rsidR="000C1A57" w:rsidRDefault="000C1A57" w:rsidP="004D3E93">
            <w:pPr>
              <w:pStyle w:val="Table-Normal"/>
              <w:numPr>
                <w:ilvl w:val="0"/>
                <w:numId w:val="10"/>
              </w:numPr>
              <w:rPr>
                <w:b w:val="0"/>
                <w:bCs/>
              </w:rPr>
            </w:pPr>
            <w:r>
              <w:rPr>
                <w:b w:val="0"/>
                <w:bCs/>
              </w:rPr>
              <w:t>Employees of the trial site, or any other individuals directly involved in the planning or conduct of the trial, or immediate family members of such individuals.</w:t>
            </w:r>
          </w:p>
        </w:tc>
      </w:tr>
      <w:tr w:rsidR="000C1A57" w14:paraId="72E2EE2E" w14:textId="77777777" w:rsidTr="004D3E93">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0AF4F836" w14:textId="77777777" w:rsidR="000C1A57" w:rsidRDefault="000C1A57" w:rsidP="004D3E93">
            <w:pPr>
              <w:pStyle w:val="Table-Normal"/>
              <w:numPr>
                <w:ilvl w:val="0"/>
                <w:numId w:val="10"/>
              </w:numPr>
              <w:rPr>
                <w:b w:val="0"/>
                <w:bCs/>
              </w:rPr>
            </w:pPr>
            <w:r>
              <w:rPr>
                <w:b w:val="0"/>
                <w:bCs/>
              </w:rPr>
              <w:t>Subjects who were legally institutionalized.</w:t>
            </w:r>
          </w:p>
        </w:tc>
      </w:tr>
      <w:tr w:rsidR="000C1A57" w14:paraId="333ECAB0" w14:textId="77777777" w:rsidTr="004D3E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right w:val="single" w:sz="4" w:space="0" w:color="auto"/>
            </w:tcBorders>
          </w:tcPr>
          <w:p w14:paraId="06D84E41" w14:textId="77777777" w:rsidR="000C1A57" w:rsidRDefault="000C1A57" w:rsidP="004D3E93">
            <w:pPr>
              <w:pStyle w:val="Table-Normal"/>
              <w:numPr>
                <w:ilvl w:val="0"/>
                <w:numId w:val="10"/>
              </w:numPr>
              <w:rPr>
                <w:b w:val="0"/>
                <w:bCs/>
              </w:rPr>
            </w:pPr>
            <w:r>
              <w:rPr>
                <w:b w:val="0"/>
                <w:bCs/>
              </w:rPr>
              <w:t>Women who were pregnant or lactating.</w:t>
            </w:r>
          </w:p>
        </w:tc>
      </w:tr>
    </w:tbl>
    <w:p w14:paraId="7113915F" w14:textId="77777777" w:rsidR="000C1A57" w:rsidRDefault="000C1A57" w:rsidP="006C374B"/>
    <w:p w14:paraId="123DE3CA" w14:textId="77777777" w:rsidR="000C1A57" w:rsidRDefault="000C1A57" w:rsidP="006C374B"/>
    <w:bookmarkEnd w:id="0"/>
    <w:p w14:paraId="2AEA833D" w14:textId="01BBCA4B" w:rsidR="00C014A4" w:rsidRDefault="00BE0AC8" w:rsidP="00C014A4">
      <w:r>
        <w:rPr>
          <w:noProof/>
          <w:lang w:val="en-IN" w:eastAsia="en-IN"/>
        </w:rPr>
        <w:drawing>
          <wp:inline distT="0" distB="0" distL="0" distR="0" wp14:anchorId="1C4C4D8E" wp14:editId="7EA73B84">
            <wp:extent cx="5760720" cy="4023360"/>
            <wp:effectExtent l="0" t="0" r="0" b="0"/>
            <wp:docPr id="2070441347"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441347" name="Picture 1" descr="A diagram of a graph&#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760720" cy="4023360"/>
                    </a:xfrm>
                    <a:prstGeom prst="rect">
                      <a:avLst/>
                    </a:prstGeom>
                  </pic:spPr>
                </pic:pic>
              </a:graphicData>
            </a:graphic>
          </wp:inline>
        </w:drawing>
      </w:r>
    </w:p>
    <w:p w14:paraId="01B99022" w14:textId="77777777" w:rsidR="00C014A4" w:rsidRPr="00EE3CDF" w:rsidRDefault="00C014A4" w:rsidP="00C014A4">
      <w:pPr>
        <w:rPr>
          <w:b/>
          <w:bCs/>
        </w:rPr>
      </w:pPr>
      <w:r>
        <w:rPr>
          <w:b/>
          <w:bCs/>
        </w:rPr>
        <w:t xml:space="preserve">Supplemental Figure 1. </w:t>
      </w:r>
      <w:r>
        <w:rPr>
          <w:b/>
          <w:color w:val="4E5052"/>
          <w:spacing w:val="-4"/>
        </w:rPr>
        <w:t xml:space="preserve"> </w:t>
      </w:r>
      <w:proofErr w:type="spellStart"/>
      <w:r>
        <w:rPr>
          <w:b/>
          <w:color w:val="4E5052"/>
        </w:rPr>
        <w:t>eCDF</w:t>
      </w:r>
      <w:proofErr w:type="spellEnd"/>
      <w:r>
        <w:rPr>
          <w:b/>
          <w:color w:val="4E5052"/>
          <w:spacing w:val="-2"/>
        </w:rPr>
        <w:t xml:space="preserve"> </w:t>
      </w:r>
      <w:r>
        <w:rPr>
          <w:b/>
          <w:color w:val="4E5052"/>
        </w:rPr>
        <w:t>of</w:t>
      </w:r>
      <w:r>
        <w:rPr>
          <w:b/>
          <w:color w:val="4E5052"/>
          <w:spacing w:val="-5"/>
        </w:rPr>
        <w:t xml:space="preserve"> </w:t>
      </w:r>
      <w:r>
        <w:rPr>
          <w:b/>
          <w:color w:val="4E5052"/>
        </w:rPr>
        <w:t>IGA-CHE</w:t>
      </w:r>
      <w:r>
        <w:rPr>
          <w:b/>
          <w:color w:val="4E5052"/>
          <w:spacing w:val="-5"/>
        </w:rPr>
        <w:t xml:space="preserve"> </w:t>
      </w:r>
      <w:r>
        <w:rPr>
          <w:b/>
          <w:color w:val="4E5052"/>
        </w:rPr>
        <w:t>change</w:t>
      </w:r>
      <w:r>
        <w:rPr>
          <w:b/>
          <w:color w:val="4E5052"/>
          <w:spacing w:val="-3"/>
        </w:rPr>
        <w:t xml:space="preserve"> </w:t>
      </w:r>
      <w:r>
        <w:rPr>
          <w:b/>
          <w:color w:val="4E5052"/>
        </w:rPr>
        <w:t>from</w:t>
      </w:r>
      <w:r>
        <w:rPr>
          <w:b/>
          <w:color w:val="4E5052"/>
          <w:spacing w:val="-5"/>
        </w:rPr>
        <w:t xml:space="preserve"> </w:t>
      </w:r>
      <w:r>
        <w:rPr>
          <w:b/>
          <w:color w:val="4E5052"/>
        </w:rPr>
        <w:t>Baseline</w:t>
      </w:r>
      <w:r>
        <w:rPr>
          <w:b/>
          <w:color w:val="4E5052"/>
          <w:spacing w:val="-3"/>
        </w:rPr>
        <w:t xml:space="preserve"> </w:t>
      </w:r>
      <w:r>
        <w:rPr>
          <w:b/>
          <w:color w:val="4E5052"/>
        </w:rPr>
        <w:t>scores</w:t>
      </w:r>
      <w:r>
        <w:rPr>
          <w:b/>
          <w:color w:val="4E5052"/>
          <w:spacing w:val="-1"/>
        </w:rPr>
        <w:t xml:space="preserve"> </w:t>
      </w:r>
      <w:r>
        <w:rPr>
          <w:b/>
          <w:color w:val="4E5052"/>
        </w:rPr>
        <w:t>by</w:t>
      </w:r>
      <w:r>
        <w:rPr>
          <w:b/>
          <w:color w:val="4E5052"/>
          <w:spacing w:val="-2"/>
        </w:rPr>
        <w:t xml:space="preserve"> </w:t>
      </w:r>
      <w:r>
        <w:rPr>
          <w:b/>
          <w:color w:val="4E5052"/>
        </w:rPr>
        <w:t>HESD PGI-C</w:t>
      </w:r>
      <w:r>
        <w:rPr>
          <w:b/>
          <w:color w:val="4E5052"/>
          <w:spacing w:val="-5"/>
        </w:rPr>
        <w:t xml:space="preserve"> </w:t>
      </w:r>
      <w:r>
        <w:rPr>
          <w:b/>
          <w:color w:val="4E5052"/>
        </w:rPr>
        <w:t>group</w:t>
      </w:r>
      <w:r>
        <w:rPr>
          <w:b/>
          <w:color w:val="4E5052"/>
          <w:spacing w:val="-3"/>
        </w:rPr>
        <w:t xml:space="preserve"> </w:t>
      </w:r>
      <w:r>
        <w:rPr>
          <w:b/>
          <w:color w:val="4E5052"/>
        </w:rPr>
        <w:t>at</w:t>
      </w:r>
      <w:r>
        <w:rPr>
          <w:b/>
          <w:color w:val="4E5052"/>
          <w:spacing w:val="-3"/>
        </w:rPr>
        <w:t xml:space="preserve"> </w:t>
      </w:r>
      <w:r>
        <w:rPr>
          <w:b/>
          <w:color w:val="4E5052"/>
        </w:rPr>
        <w:t>Week</w:t>
      </w:r>
      <w:r>
        <w:rPr>
          <w:b/>
          <w:color w:val="4E5052"/>
          <w:spacing w:val="-5"/>
        </w:rPr>
        <w:t xml:space="preserve"> 16</w:t>
      </w:r>
    </w:p>
    <w:p w14:paraId="76D7258D" w14:textId="77777777" w:rsidR="00BE0AC8" w:rsidRDefault="00BE0AC8" w:rsidP="00C014A4">
      <w:r>
        <w:rPr>
          <w:noProof/>
          <w:lang w:val="en-IN" w:eastAsia="en-IN"/>
        </w:rPr>
        <w:drawing>
          <wp:inline distT="0" distB="0" distL="0" distR="0" wp14:anchorId="34CAFA48" wp14:editId="66987936">
            <wp:extent cx="5760720" cy="3907790"/>
            <wp:effectExtent l="0" t="0" r="0" b="0"/>
            <wp:docPr id="1157967984" name="Picture 2"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67984" name="Picture 2" descr="A graph with different colored lin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60720" cy="3907790"/>
                    </a:xfrm>
                    <a:prstGeom prst="rect">
                      <a:avLst/>
                    </a:prstGeom>
                  </pic:spPr>
                </pic:pic>
              </a:graphicData>
            </a:graphic>
          </wp:inline>
        </w:drawing>
      </w:r>
    </w:p>
    <w:p w14:paraId="53D4DE6C" w14:textId="77777777" w:rsidR="00C014A4" w:rsidRDefault="00C014A4" w:rsidP="00C014A4">
      <w:pPr>
        <w:spacing w:before="56"/>
        <w:jc w:val="left"/>
        <w:rPr>
          <w:b/>
          <w:color w:val="4E5052"/>
          <w:spacing w:val="-5"/>
        </w:rPr>
      </w:pPr>
      <w:r>
        <w:rPr>
          <w:b/>
          <w:color w:val="4E5052"/>
        </w:rPr>
        <w:t>Supplemental Figure 2.</w:t>
      </w:r>
      <w:r>
        <w:rPr>
          <w:b/>
          <w:color w:val="4E5052"/>
          <w:spacing w:val="-4"/>
        </w:rPr>
        <w:t xml:space="preserve"> </w:t>
      </w:r>
      <w:proofErr w:type="spellStart"/>
      <w:r>
        <w:rPr>
          <w:b/>
          <w:color w:val="4E5052"/>
        </w:rPr>
        <w:t>eCDF</w:t>
      </w:r>
      <w:proofErr w:type="spellEnd"/>
      <w:r>
        <w:rPr>
          <w:b/>
          <w:color w:val="4E5052"/>
          <w:spacing w:val="-2"/>
        </w:rPr>
        <w:t xml:space="preserve"> </w:t>
      </w:r>
      <w:r>
        <w:rPr>
          <w:b/>
          <w:color w:val="4E5052"/>
        </w:rPr>
        <w:t>of</w:t>
      </w:r>
      <w:r>
        <w:rPr>
          <w:b/>
          <w:color w:val="4E5052"/>
          <w:spacing w:val="-5"/>
        </w:rPr>
        <w:t xml:space="preserve"> </w:t>
      </w:r>
      <w:r>
        <w:rPr>
          <w:b/>
          <w:color w:val="4E5052"/>
        </w:rPr>
        <w:t>IGA-CHE</w:t>
      </w:r>
      <w:r>
        <w:rPr>
          <w:b/>
          <w:color w:val="4E5052"/>
          <w:spacing w:val="-5"/>
        </w:rPr>
        <w:t xml:space="preserve"> </w:t>
      </w:r>
      <w:r>
        <w:rPr>
          <w:b/>
          <w:color w:val="4E5052"/>
        </w:rPr>
        <w:t>change</w:t>
      </w:r>
      <w:r>
        <w:rPr>
          <w:b/>
          <w:color w:val="4E5052"/>
          <w:spacing w:val="-3"/>
        </w:rPr>
        <w:t xml:space="preserve"> </w:t>
      </w:r>
      <w:r>
        <w:rPr>
          <w:b/>
          <w:color w:val="4E5052"/>
        </w:rPr>
        <w:t>from</w:t>
      </w:r>
      <w:r>
        <w:rPr>
          <w:b/>
          <w:color w:val="4E5052"/>
          <w:spacing w:val="-5"/>
        </w:rPr>
        <w:t xml:space="preserve"> </w:t>
      </w:r>
      <w:r>
        <w:rPr>
          <w:b/>
          <w:color w:val="4E5052"/>
        </w:rPr>
        <w:t>Baseline</w:t>
      </w:r>
      <w:r>
        <w:rPr>
          <w:b/>
          <w:color w:val="4E5052"/>
          <w:spacing w:val="-3"/>
        </w:rPr>
        <w:t xml:space="preserve"> </w:t>
      </w:r>
      <w:r>
        <w:rPr>
          <w:b/>
          <w:color w:val="4E5052"/>
        </w:rPr>
        <w:t>scores</w:t>
      </w:r>
      <w:r>
        <w:rPr>
          <w:b/>
          <w:color w:val="4E5052"/>
          <w:spacing w:val="-1"/>
        </w:rPr>
        <w:t xml:space="preserve"> </w:t>
      </w:r>
      <w:r>
        <w:rPr>
          <w:b/>
          <w:color w:val="4E5052"/>
        </w:rPr>
        <w:t>by</w:t>
      </w:r>
      <w:r>
        <w:rPr>
          <w:b/>
          <w:color w:val="4E5052"/>
          <w:spacing w:val="-2"/>
        </w:rPr>
        <w:t xml:space="preserve"> </w:t>
      </w:r>
      <w:r>
        <w:rPr>
          <w:b/>
          <w:color w:val="4E5052"/>
        </w:rPr>
        <w:t>PaGA</w:t>
      </w:r>
      <w:r>
        <w:rPr>
          <w:b/>
          <w:color w:val="4E5052"/>
          <w:spacing w:val="-5"/>
        </w:rPr>
        <w:t xml:space="preserve"> </w:t>
      </w:r>
      <w:r>
        <w:rPr>
          <w:b/>
          <w:color w:val="4E5052"/>
        </w:rPr>
        <w:t>group</w:t>
      </w:r>
      <w:r>
        <w:rPr>
          <w:b/>
          <w:color w:val="4E5052"/>
          <w:spacing w:val="-3"/>
        </w:rPr>
        <w:t xml:space="preserve"> </w:t>
      </w:r>
      <w:r>
        <w:rPr>
          <w:b/>
          <w:color w:val="4E5052"/>
        </w:rPr>
        <w:t>at</w:t>
      </w:r>
      <w:r>
        <w:rPr>
          <w:b/>
          <w:color w:val="4E5052"/>
          <w:spacing w:val="-3"/>
        </w:rPr>
        <w:t xml:space="preserve"> </w:t>
      </w:r>
      <w:r>
        <w:rPr>
          <w:b/>
          <w:color w:val="4E5052"/>
        </w:rPr>
        <w:t>Week</w:t>
      </w:r>
      <w:r>
        <w:rPr>
          <w:b/>
          <w:color w:val="4E5052"/>
          <w:spacing w:val="-5"/>
        </w:rPr>
        <w:t xml:space="preserve"> 16</w:t>
      </w:r>
    </w:p>
    <w:p w14:paraId="2865BD03" w14:textId="24BD7D5F" w:rsidR="00C014A4" w:rsidRDefault="00BE0AC8" w:rsidP="00C014A4">
      <w:pPr>
        <w:spacing w:before="56"/>
        <w:jc w:val="left"/>
        <w:rPr>
          <w:b/>
          <w:color w:val="4E5052"/>
          <w:spacing w:val="-5"/>
        </w:rPr>
      </w:pPr>
      <w:r>
        <w:rPr>
          <w:noProof/>
          <w:lang w:val="en-IN" w:eastAsia="en-IN"/>
        </w:rPr>
        <w:drawing>
          <wp:inline distT="0" distB="0" distL="0" distR="0" wp14:anchorId="147F78FC" wp14:editId="75F17636">
            <wp:extent cx="5760720" cy="3959225"/>
            <wp:effectExtent l="0" t="0" r="0" b="3175"/>
            <wp:docPr id="1576933374" name="Picture 1576933374"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710544" name="Picture 3" descr="A diagram of a graph&#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5760720" cy="3959225"/>
                    </a:xfrm>
                    <a:prstGeom prst="rect">
                      <a:avLst/>
                    </a:prstGeom>
                  </pic:spPr>
                </pic:pic>
              </a:graphicData>
            </a:graphic>
          </wp:inline>
        </w:drawing>
      </w:r>
    </w:p>
    <w:p w14:paraId="6210E585" w14:textId="5825069F" w:rsidR="00C014A4" w:rsidRDefault="00C014A4" w:rsidP="00C014A4">
      <w:pPr>
        <w:jc w:val="left"/>
        <w:rPr>
          <w:b/>
        </w:rPr>
      </w:pPr>
      <w:r>
        <w:rPr>
          <w:b/>
          <w:color w:val="4E5052"/>
        </w:rPr>
        <w:t xml:space="preserve">Supplemental </w:t>
      </w:r>
      <w:r w:rsidRPr="0031777E">
        <w:rPr>
          <w:b/>
          <w:color w:val="4E5052"/>
        </w:rPr>
        <w:t xml:space="preserve">Figure </w:t>
      </w:r>
      <w:r>
        <w:rPr>
          <w:b/>
          <w:color w:val="4E5052"/>
        </w:rPr>
        <w:t>3.</w:t>
      </w:r>
      <w:r>
        <w:rPr>
          <w:b/>
          <w:color w:val="4E5052"/>
          <w:spacing w:val="-4"/>
        </w:rPr>
        <w:t xml:space="preserve"> </w:t>
      </w:r>
      <w:proofErr w:type="spellStart"/>
      <w:r>
        <w:rPr>
          <w:b/>
          <w:color w:val="4E5052"/>
        </w:rPr>
        <w:t>eCDF</w:t>
      </w:r>
      <w:proofErr w:type="spellEnd"/>
      <w:r>
        <w:rPr>
          <w:b/>
          <w:color w:val="4E5052"/>
          <w:spacing w:val="-3"/>
        </w:rPr>
        <w:t xml:space="preserve"> </w:t>
      </w:r>
      <w:r>
        <w:rPr>
          <w:b/>
          <w:color w:val="4E5052"/>
        </w:rPr>
        <w:t>of</w:t>
      </w:r>
      <w:r>
        <w:rPr>
          <w:b/>
          <w:color w:val="4E5052"/>
          <w:spacing w:val="-6"/>
        </w:rPr>
        <w:t xml:space="preserve"> </w:t>
      </w:r>
      <w:r>
        <w:rPr>
          <w:b/>
          <w:color w:val="4E5052"/>
        </w:rPr>
        <w:t>IGA-CHE</w:t>
      </w:r>
      <w:r>
        <w:rPr>
          <w:b/>
          <w:color w:val="4E5052"/>
          <w:spacing w:val="-5"/>
        </w:rPr>
        <w:t xml:space="preserve"> </w:t>
      </w:r>
      <w:r>
        <w:rPr>
          <w:b/>
          <w:color w:val="4E5052"/>
        </w:rPr>
        <w:t>change</w:t>
      </w:r>
      <w:r>
        <w:rPr>
          <w:b/>
          <w:color w:val="4E5052"/>
          <w:spacing w:val="-4"/>
        </w:rPr>
        <w:t xml:space="preserve"> </w:t>
      </w:r>
      <w:r>
        <w:rPr>
          <w:b/>
          <w:color w:val="4E5052"/>
        </w:rPr>
        <w:t>from</w:t>
      </w:r>
      <w:r>
        <w:rPr>
          <w:b/>
          <w:color w:val="4E5052"/>
          <w:spacing w:val="-5"/>
        </w:rPr>
        <w:t xml:space="preserve"> </w:t>
      </w:r>
      <w:r>
        <w:rPr>
          <w:b/>
          <w:color w:val="4E5052"/>
        </w:rPr>
        <w:t>Baseline</w:t>
      </w:r>
      <w:r>
        <w:rPr>
          <w:b/>
          <w:color w:val="4E5052"/>
          <w:spacing w:val="-3"/>
        </w:rPr>
        <w:t xml:space="preserve"> </w:t>
      </w:r>
      <w:r>
        <w:rPr>
          <w:b/>
          <w:color w:val="4E5052"/>
        </w:rPr>
        <w:t>scores</w:t>
      </w:r>
      <w:r>
        <w:rPr>
          <w:b/>
          <w:color w:val="4E5052"/>
          <w:spacing w:val="-2"/>
        </w:rPr>
        <w:t xml:space="preserve"> </w:t>
      </w:r>
      <w:r>
        <w:rPr>
          <w:b/>
          <w:color w:val="4E5052"/>
        </w:rPr>
        <w:t>by</w:t>
      </w:r>
      <w:r>
        <w:rPr>
          <w:b/>
          <w:color w:val="4E5052"/>
          <w:spacing w:val="-2"/>
        </w:rPr>
        <w:t xml:space="preserve"> </w:t>
      </w:r>
      <w:r>
        <w:rPr>
          <w:b/>
          <w:color w:val="4E5052"/>
        </w:rPr>
        <w:t>HECSI-75</w:t>
      </w:r>
      <w:r>
        <w:rPr>
          <w:b/>
          <w:color w:val="4E5052"/>
          <w:spacing w:val="-4"/>
        </w:rPr>
        <w:t xml:space="preserve"> </w:t>
      </w:r>
      <w:r>
        <w:rPr>
          <w:b/>
          <w:color w:val="4E5052"/>
        </w:rPr>
        <w:t>group</w:t>
      </w:r>
      <w:r>
        <w:rPr>
          <w:b/>
          <w:color w:val="4E5052"/>
          <w:spacing w:val="-4"/>
        </w:rPr>
        <w:t xml:space="preserve"> </w:t>
      </w:r>
      <w:r>
        <w:rPr>
          <w:b/>
          <w:color w:val="4E5052"/>
        </w:rPr>
        <w:t>at</w:t>
      </w:r>
      <w:r>
        <w:rPr>
          <w:b/>
          <w:color w:val="4E5052"/>
          <w:spacing w:val="-3"/>
        </w:rPr>
        <w:t xml:space="preserve"> </w:t>
      </w:r>
      <w:r>
        <w:rPr>
          <w:b/>
          <w:color w:val="4E5052"/>
        </w:rPr>
        <w:t>Week</w:t>
      </w:r>
      <w:r>
        <w:rPr>
          <w:b/>
          <w:color w:val="4E5052"/>
          <w:spacing w:val="-3"/>
        </w:rPr>
        <w:t xml:space="preserve"> </w:t>
      </w:r>
      <w:r>
        <w:rPr>
          <w:b/>
          <w:color w:val="4E5052"/>
          <w:spacing w:val="-5"/>
        </w:rPr>
        <w:t>16</w:t>
      </w:r>
    </w:p>
    <w:p w14:paraId="5C479A31" w14:textId="62B8D1F7" w:rsidR="00C014A4" w:rsidRPr="002F5455" w:rsidRDefault="00BE0AC8" w:rsidP="00C014A4">
      <w:pPr>
        <w:spacing w:before="56"/>
        <w:jc w:val="left"/>
      </w:pPr>
      <w:r>
        <w:rPr>
          <w:noProof/>
          <w:lang w:val="en-IN" w:eastAsia="en-IN"/>
        </w:rPr>
        <w:drawing>
          <wp:inline distT="0" distB="0" distL="0" distR="0" wp14:anchorId="675BD129" wp14:editId="3D5C9518">
            <wp:extent cx="5760720" cy="3977005"/>
            <wp:effectExtent l="0" t="0" r="0" b="4445"/>
            <wp:docPr id="370650473" name="Picture 4" descr="A graph showing a number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650473" name="Picture 4" descr="A graph showing a number of different colored lines&#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5760720" cy="3977005"/>
                    </a:xfrm>
                    <a:prstGeom prst="rect">
                      <a:avLst/>
                    </a:prstGeom>
                  </pic:spPr>
                </pic:pic>
              </a:graphicData>
            </a:graphic>
          </wp:inline>
        </w:drawing>
      </w:r>
    </w:p>
    <w:p w14:paraId="41F32DD5" w14:textId="77777777" w:rsidR="00C014A4" w:rsidRDefault="00C014A4" w:rsidP="00C014A4">
      <w:pPr>
        <w:jc w:val="left"/>
        <w:rPr>
          <w:b/>
          <w:color w:val="4E5052"/>
          <w:spacing w:val="-5"/>
        </w:rPr>
      </w:pPr>
      <w:r>
        <w:rPr>
          <w:b/>
          <w:color w:val="4E5052"/>
        </w:rPr>
        <w:t>Supplemental Figure 4</w:t>
      </w:r>
      <w:r w:rsidRPr="00B72A45">
        <w:rPr>
          <w:b/>
          <w:color w:val="4E5052"/>
        </w:rPr>
        <w:t>.</w:t>
      </w:r>
      <w:r>
        <w:rPr>
          <w:b/>
          <w:color w:val="4E5052"/>
          <w:spacing w:val="-4"/>
        </w:rPr>
        <w:t xml:space="preserve"> </w:t>
      </w:r>
      <w:proofErr w:type="spellStart"/>
      <w:r>
        <w:rPr>
          <w:b/>
          <w:color w:val="4E5052"/>
        </w:rPr>
        <w:t>eCDF</w:t>
      </w:r>
      <w:proofErr w:type="spellEnd"/>
      <w:r>
        <w:rPr>
          <w:b/>
          <w:color w:val="4E5052"/>
          <w:spacing w:val="-3"/>
        </w:rPr>
        <w:t xml:space="preserve"> </w:t>
      </w:r>
      <w:r>
        <w:rPr>
          <w:b/>
          <w:color w:val="4E5052"/>
        </w:rPr>
        <w:t>of</w:t>
      </w:r>
      <w:r>
        <w:rPr>
          <w:b/>
          <w:color w:val="4E5052"/>
          <w:spacing w:val="-6"/>
        </w:rPr>
        <w:t xml:space="preserve"> </w:t>
      </w:r>
      <w:r>
        <w:rPr>
          <w:b/>
          <w:color w:val="4E5052"/>
        </w:rPr>
        <w:t>IGA-CHE</w:t>
      </w:r>
      <w:bookmarkStart w:id="1" w:name="_GoBack"/>
      <w:bookmarkEnd w:id="1"/>
      <w:r>
        <w:rPr>
          <w:b/>
          <w:color w:val="4E5052"/>
          <w:spacing w:val="-5"/>
        </w:rPr>
        <w:t xml:space="preserve"> </w:t>
      </w:r>
      <w:r>
        <w:rPr>
          <w:b/>
          <w:color w:val="4E5052"/>
        </w:rPr>
        <w:t>change</w:t>
      </w:r>
      <w:r>
        <w:rPr>
          <w:b/>
          <w:color w:val="4E5052"/>
          <w:spacing w:val="-4"/>
        </w:rPr>
        <w:t xml:space="preserve"> </w:t>
      </w:r>
      <w:r>
        <w:rPr>
          <w:b/>
          <w:color w:val="4E5052"/>
        </w:rPr>
        <w:t>from</w:t>
      </w:r>
      <w:r>
        <w:rPr>
          <w:b/>
          <w:color w:val="4E5052"/>
          <w:spacing w:val="-5"/>
        </w:rPr>
        <w:t xml:space="preserve"> </w:t>
      </w:r>
      <w:r>
        <w:rPr>
          <w:b/>
          <w:color w:val="4E5052"/>
        </w:rPr>
        <w:t>Baseline</w:t>
      </w:r>
      <w:r>
        <w:rPr>
          <w:b/>
          <w:color w:val="4E5052"/>
          <w:spacing w:val="-3"/>
        </w:rPr>
        <w:t xml:space="preserve"> </w:t>
      </w:r>
      <w:r>
        <w:rPr>
          <w:b/>
          <w:color w:val="4E5052"/>
        </w:rPr>
        <w:t>scores</w:t>
      </w:r>
      <w:r>
        <w:rPr>
          <w:b/>
          <w:color w:val="4E5052"/>
          <w:spacing w:val="-2"/>
        </w:rPr>
        <w:t xml:space="preserve"> </w:t>
      </w:r>
      <w:r>
        <w:rPr>
          <w:b/>
          <w:color w:val="4E5052"/>
        </w:rPr>
        <w:t>by</w:t>
      </w:r>
      <w:r>
        <w:rPr>
          <w:b/>
          <w:color w:val="4E5052"/>
          <w:spacing w:val="-2"/>
        </w:rPr>
        <w:t xml:space="preserve"> </w:t>
      </w:r>
      <w:r>
        <w:rPr>
          <w:b/>
          <w:color w:val="4E5052"/>
        </w:rPr>
        <w:t>HECSI-90</w:t>
      </w:r>
      <w:r>
        <w:rPr>
          <w:b/>
          <w:color w:val="4E5052"/>
          <w:spacing w:val="-4"/>
        </w:rPr>
        <w:t xml:space="preserve"> </w:t>
      </w:r>
      <w:r>
        <w:rPr>
          <w:b/>
          <w:color w:val="4E5052"/>
        </w:rPr>
        <w:t>group</w:t>
      </w:r>
      <w:r>
        <w:rPr>
          <w:b/>
          <w:color w:val="4E5052"/>
          <w:spacing w:val="-4"/>
        </w:rPr>
        <w:t xml:space="preserve"> </w:t>
      </w:r>
      <w:r>
        <w:rPr>
          <w:b/>
          <w:color w:val="4E5052"/>
        </w:rPr>
        <w:t>at</w:t>
      </w:r>
      <w:r>
        <w:rPr>
          <w:b/>
          <w:color w:val="4E5052"/>
          <w:spacing w:val="-3"/>
        </w:rPr>
        <w:t xml:space="preserve"> </w:t>
      </w:r>
      <w:r>
        <w:rPr>
          <w:b/>
          <w:color w:val="4E5052"/>
        </w:rPr>
        <w:t>Week</w:t>
      </w:r>
      <w:r>
        <w:rPr>
          <w:b/>
          <w:color w:val="4E5052"/>
          <w:spacing w:val="-3"/>
        </w:rPr>
        <w:t xml:space="preserve"> </w:t>
      </w:r>
      <w:r>
        <w:rPr>
          <w:b/>
          <w:color w:val="4E5052"/>
          <w:spacing w:val="-5"/>
        </w:rPr>
        <w:t>16</w:t>
      </w:r>
    </w:p>
    <w:sectPr w:rsidR="00C014A4" w:rsidSect="008F5F3F">
      <w:footerReference w:type="default" r:id="rId13"/>
      <w:pgSz w:w="11907" w:h="16839" w:code="9"/>
      <w:pgMar w:top="1985" w:right="1417" w:bottom="1276" w:left="1418" w:header="709" w:footer="3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4DD4B" w14:textId="77777777" w:rsidR="00C014A4" w:rsidRDefault="00C014A4" w:rsidP="002A06F5">
      <w:r>
        <w:separator/>
      </w:r>
    </w:p>
    <w:p w14:paraId="702A719E" w14:textId="77777777" w:rsidR="00C014A4" w:rsidRDefault="00C014A4"/>
    <w:p w14:paraId="27559F67" w14:textId="77777777" w:rsidR="00C014A4" w:rsidRDefault="00C014A4"/>
  </w:endnote>
  <w:endnote w:type="continuationSeparator" w:id="0">
    <w:p w14:paraId="5FF59B7A" w14:textId="77777777" w:rsidR="00C014A4" w:rsidRDefault="00C014A4" w:rsidP="002A06F5">
      <w:r>
        <w:continuationSeparator/>
      </w:r>
    </w:p>
    <w:p w14:paraId="6C5A7700" w14:textId="77777777" w:rsidR="00C014A4" w:rsidRDefault="00C014A4"/>
    <w:p w14:paraId="6594397A" w14:textId="77777777" w:rsidR="00C014A4" w:rsidRDefault="00C014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74334" w14:textId="34BC721E" w:rsidR="00887DEE" w:rsidRPr="00CD55C3" w:rsidRDefault="001A1B3A" w:rsidP="000A6E41">
    <w:pPr>
      <w:pStyle w:val="Footer"/>
      <w:tabs>
        <w:tab w:val="clear" w:pos="9360"/>
        <w:tab w:val="right" w:pos="8789"/>
      </w:tabs>
    </w:pPr>
    <w:r>
      <w:rPr>
        <w:rStyle w:val="EndnoteTextChar"/>
      </w:rPr>
      <w:ptab w:relativeTo="margin" w:alignment="left" w:leader="none"/>
    </w:r>
    <w:r w:rsidR="000A6E41">
      <w:rPr>
        <w:rStyle w:val="EndnoteTextChar"/>
      </w:rPr>
      <w:ptab w:relativeTo="margin" w:alignment="left" w:leader="none"/>
    </w:r>
    <w:r w:rsidR="000A6E41">
      <w:rPr>
        <w:rStyle w:val="EndnoteTextChar"/>
      </w:rPr>
      <w:ptab w:relativeTo="margin" w:alignment="left" w:leader="none"/>
    </w:r>
    <w:r w:rsidR="00040A05">
      <w:rPr>
        <w:rStyle w:val="EndnoteTextChar"/>
      </w:rPr>
      <w:ptab w:relativeTo="margin" w:alignment="left" w:leader="none"/>
    </w:r>
    <w:r>
      <w:rPr>
        <w:rStyle w:val="EndnoteTextChar"/>
      </w:rPr>
      <w:ptab w:relativeTo="margin" w:alignment="center" w:leader="none"/>
    </w:r>
    <w:r w:rsidR="000A6E41" w:rsidRPr="00F26261">
      <w:rPr>
        <w:rStyle w:val="EndnoteTextChar"/>
      </w:rPr>
      <w:t xml:space="preserve">Page </w:t>
    </w:r>
    <w:r w:rsidR="000A6E41" w:rsidRPr="00F26261">
      <w:rPr>
        <w:rStyle w:val="EndnoteTextChar"/>
      </w:rPr>
      <w:fldChar w:fldCharType="begin"/>
    </w:r>
    <w:r w:rsidR="000A6E41" w:rsidRPr="00F26261">
      <w:rPr>
        <w:rStyle w:val="EndnoteTextChar"/>
      </w:rPr>
      <w:instrText xml:space="preserve"> PAGE </w:instrText>
    </w:r>
    <w:r w:rsidR="000A6E41" w:rsidRPr="00F26261">
      <w:rPr>
        <w:rStyle w:val="EndnoteTextChar"/>
      </w:rPr>
      <w:fldChar w:fldCharType="separate"/>
    </w:r>
    <w:r w:rsidR="008F5F3F">
      <w:rPr>
        <w:rStyle w:val="EndnoteTextChar"/>
        <w:noProof/>
      </w:rPr>
      <w:t>3</w:t>
    </w:r>
    <w:r w:rsidR="000A6E41" w:rsidRPr="00F26261">
      <w:rPr>
        <w:rStyle w:val="EndnoteTextChar"/>
      </w:rPr>
      <w:fldChar w:fldCharType="end"/>
    </w:r>
    <w:r w:rsidR="000A6E41" w:rsidRPr="00F26261">
      <w:rPr>
        <w:rStyle w:val="EndnoteTextChar"/>
      </w:rPr>
      <w:t xml:space="preserve"> of </w:t>
    </w:r>
    <w:r w:rsidR="000A6E41" w:rsidRPr="00F26261">
      <w:rPr>
        <w:rStyle w:val="EndnoteTextChar"/>
      </w:rPr>
      <w:fldChar w:fldCharType="begin"/>
    </w:r>
    <w:r w:rsidR="000A6E41" w:rsidRPr="00F26261">
      <w:rPr>
        <w:rStyle w:val="EndnoteTextChar"/>
      </w:rPr>
      <w:instrText xml:space="preserve"> NUMPAGES </w:instrText>
    </w:r>
    <w:r w:rsidR="000A6E41" w:rsidRPr="00F26261">
      <w:rPr>
        <w:rStyle w:val="EndnoteTextChar"/>
      </w:rPr>
      <w:fldChar w:fldCharType="separate"/>
    </w:r>
    <w:r w:rsidR="008F5F3F">
      <w:rPr>
        <w:rStyle w:val="EndnoteTextChar"/>
        <w:noProof/>
      </w:rPr>
      <w:t>5</w:t>
    </w:r>
    <w:r w:rsidR="000A6E41" w:rsidRPr="00F26261">
      <w:rPr>
        <w:rStyle w:val="EndnoteTextChar"/>
      </w:rPr>
      <w:fldChar w:fldCharType="end"/>
    </w:r>
    <w:r>
      <w:rPr>
        <w:rStyle w:val="EndnoteTextChar"/>
      </w:rPr>
      <w:ptab w:relativeTo="margin" w:alignment="right" w:leader="none"/>
    </w:r>
    <w:r w:rsidRPr="00F26261">
      <w:rPr>
        <w:rStyle w:val="EndnoteTextCh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99CB3" w14:textId="77777777" w:rsidR="00C014A4" w:rsidRDefault="00C014A4" w:rsidP="002A06F5">
      <w:r>
        <w:separator/>
      </w:r>
    </w:p>
    <w:p w14:paraId="5C4D3041" w14:textId="77777777" w:rsidR="00C014A4" w:rsidRDefault="00C014A4"/>
    <w:p w14:paraId="1841146B" w14:textId="77777777" w:rsidR="00C014A4" w:rsidRDefault="00C014A4"/>
  </w:footnote>
  <w:footnote w:type="continuationSeparator" w:id="0">
    <w:p w14:paraId="3C859A0A" w14:textId="77777777" w:rsidR="00C014A4" w:rsidRDefault="00C014A4" w:rsidP="002A06F5">
      <w:r>
        <w:continuationSeparator/>
      </w:r>
    </w:p>
    <w:p w14:paraId="6C7333F1" w14:textId="77777777" w:rsidR="00C014A4" w:rsidRDefault="00C014A4"/>
    <w:p w14:paraId="1A9C9B3D" w14:textId="77777777" w:rsidR="00C014A4" w:rsidRDefault="00C014A4"/>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68.5pt;height:468.75pt" o:bullet="t">
        <v:imagedata r:id="rId1" o:title="Green Double"/>
      </v:shape>
    </w:pict>
  </w:numPicBullet>
  <w:numPicBullet w:numPicBulletId="1">
    <w:pict>
      <v:shape id="_x0000_i1027" type="#_x0000_t75" style="width:280.5pt;height:468.75pt" o:bullet="t">
        <v:imagedata r:id="rId2" o:title="Green Single"/>
      </v:shape>
    </w:pict>
  </w:numPicBullet>
  <w:abstractNum w:abstractNumId="0" w15:restartNumberingAfterBreak="0">
    <w:nsid w:val="00EC10D2"/>
    <w:multiLevelType w:val="hybridMultilevel"/>
    <w:tmpl w:val="7F5C87F0"/>
    <w:lvl w:ilvl="0" w:tplc="6310C436">
      <w:start w:val="1"/>
      <w:numFmt w:val="bullet"/>
      <w:pStyle w:val="Bullet2"/>
      <w:lvlText w:val="o"/>
      <w:lvlJc w:val="left"/>
      <w:pPr>
        <w:ind w:left="1400" w:hanging="360"/>
      </w:pPr>
      <w:rPr>
        <w:rFonts w:ascii="Courier New" w:hAnsi="Courier New" w:cs="Courier New" w:hint="default"/>
      </w:rPr>
    </w:lvl>
    <w:lvl w:ilvl="1" w:tplc="08090003" w:tentative="1">
      <w:start w:val="1"/>
      <w:numFmt w:val="bullet"/>
      <w:lvlText w:val="o"/>
      <w:lvlJc w:val="left"/>
      <w:pPr>
        <w:ind w:left="2120" w:hanging="360"/>
      </w:pPr>
      <w:rPr>
        <w:rFonts w:ascii="Courier New" w:hAnsi="Courier New" w:cs="Courier New" w:hint="default"/>
      </w:rPr>
    </w:lvl>
    <w:lvl w:ilvl="2" w:tplc="9E00F696">
      <w:start w:val="1"/>
      <w:numFmt w:val="bullet"/>
      <w:pStyle w:val="Bullet3"/>
      <w:lvlText w:val=""/>
      <w:lvlJc w:val="left"/>
      <w:pPr>
        <w:ind w:left="2840" w:hanging="360"/>
      </w:pPr>
      <w:rPr>
        <w:rFonts w:ascii="Wingdings" w:hAnsi="Wingdings" w:hint="default"/>
      </w:rPr>
    </w:lvl>
    <w:lvl w:ilvl="3" w:tplc="0809000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 w15:restartNumberingAfterBreak="0">
    <w:nsid w:val="028013F4"/>
    <w:multiLevelType w:val="hybridMultilevel"/>
    <w:tmpl w:val="572E057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881070"/>
    <w:multiLevelType w:val="multilevel"/>
    <w:tmpl w:val="DFBE15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18576772"/>
    <w:multiLevelType w:val="hybridMultilevel"/>
    <w:tmpl w:val="78DAC740"/>
    <w:lvl w:ilvl="0" w:tplc="0809000F">
      <w:start w:val="1"/>
      <w:numFmt w:val="decimal"/>
      <w:lvlText w:val="%1."/>
      <w:lvlJc w:val="left"/>
      <w:pPr>
        <w:ind w:left="360" w:hanging="360"/>
      </w:pPr>
      <w:rPr>
        <w:rFonts w:hint="default"/>
      </w:rPr>
    </w:lvl>
    <w:lvl w:ilvl="1" w:tplc="08090005">
      <w:start w:val="1"/>
      <w:numFmt w:val="bullet"/>
      <w:lvlText w:val=""/>
      <w:lvlJc w:val="left"/>
      <w:pPr>
        <w:ind w:left="1080" w:hanging="360"/>
      </w:pPr>
      <w:rPr>
        <w:rFonts w:ascii="Wingdings" w:hAnsi="Wingding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D1277FA"/>
    <w:multiLevelType w:val="hybridMultilevel"/>
    <w:tmpl w:val="9EF4A28C"/>
    <w:lvl w:ilvl="0" w:tplc="83DC2D56">
      <w:start w:val="1"/>
      <w:numFmt w:val="bullet"/>
      <w:pStyle w:val="Bullet4"/>
      <w:lvlText w:val="▫"/>
      <w:lvlJc w:val="left"/>
      <w:pPr>
        <w:ind w:left="3920" w:hanging="360"/>
      </w:pPr>
      <w:rPr>
        <w:rFonts w:ascii="Calibri" w:hAnsi="Calibri" w:hint="default"/>
      </w:rPr>
    </w:lvl>
    <w:lvl w:ilvl="1" w:tplc="08090003" w:tentative="1">
      <w:start w:val="1"/>
      <w:numFmt w:val="bullet"/>
      <w:lvlText w:val="o"/>
      <w:lvlJc w:val="left"/>
      <w:pPr>
        <w:ind w:left="4640" w:hanging="360"/>
      </w:pPr>
      <w:rPr>
        <w:rFonts w:ascii="Courier New" w:hAnsi="Courier New" w:cs="Courier New" w:hint="default"/>
      </w:rPr>
    </w:lvl>
    <w:lvl w:ilvl="2" w:tplc="08090005" w:tentative="1">
      <w:start w:val="1"/>
      <w:numFmt w:val="bullet"/>
      <w:lvlText w:val=""/>
      <w:lvlJc w:val="left"/>
      <w:pPr>
        <w:ind w:left="5360" w:hanging="360"/>
      </w:pPr>
      <w:rPr>
        <w:rFonts w:ascii="Wingdings" w:hAnsi="Wingdings" w:hint="default"/>
      </w:rPr>
    </w:lvl>
    <w:lvl w:ilvl="3" w:tplc="08090001" w:tentative="1">
      <w:start w:val="1"/>
      <w:numFmt w:val="bullet"/>
      <w:lvlText w:val=""/>
      <w:lvlJc w:val="left"/>
      <w:pPr>
        <w:ind w:left="6080" w:hanging="360"/>
      </w:pPr>
      <w:rPr>
        <w:rFonts w:ascii="Symbol" w:hAnsi="Symbol" w:hint="default"/>
      </w:rPr>
    </w:lvl>
    <w:lvl w:ilvl="4" w:tplc="08090003" w:tentative="1">
      <w:start w:val="1"/>
      <w:numFmt w:val="bullet"/>
      <w:pStyle w:val="Bullet5"/>
      <w:lvlText w:val="o"/>
      <w:lvlJc w:val="left"/>
      <w:pPr>
        <w:ind w:left="6800" w:hanging="360"/>
      </w:pPr>
      <w:rPr>
        <w:rFonts w:ascii="Courier New" w:hAnsi="Courier New" w:cs="Courier New" w:hint="default"/>
      </w:rPr>
    </w:lvl>
    <w:lvl w:ilvl="5" w:tplc="08090005" w:tentative="1">
      <w:start w:val="1"/>
      <w:numFmt w:val="bullet"/>
      <w:lvlText w:val=""/>
      <w:lvlJc w:val="left"/>
      <w:pPr>
        <w:ind w:left="7520" w:hanging="360"/>
      </w:pPr>
      <w:rPr>
        <w:rFonts w:ascii="Wingdings" w:hAnsi="Wingdings" w:hint="default"/>
      </w:rPr>
    </w:lvl>
    <w:lvl w:ilvl="6" w:tplc="08090001" w:tentative="1">
      <w:start w:val="1"/>
      <w:numFmt w:val="bullet"/>
      <w:lvlText w:val=""/>
      <w:lvlJc w:val="left"/>
      <w:pPr>
        <w:ind w:left="8240" w:hanging="360"/>
      </w:pPr>
      <w:rPr>
        <w:rFonts w:ascii="Symbol" w:hAnsi="Symbol" w:hint="default"/>
      </w:rPr>
    </w:lvl>
    <w:lvl w:ilvl="7" w:tplc="08090003" w:tentative="1">
      <w:start w:val="1"/>
      <w:numFmt w:val="bullet"/>
      <w:lvlText w:val="o"/>
      <w:lvlJc w:val="left"/>
      <w:pPr>
        <w:ind w:left="8960" w:hanging="360"/>
      </w:pPr>
      <w:rPr>
        <w:rFonts w:ascii="Courier New" w:hAnsi="Courier New" w:cs="Courier New" w:hint="default"/>
      </w:rPr>
    </w:lvl>
    <w:lvl w:ilvl="8" w:tplc="08090005" w:tentative="1">
      <w:start w:val="1"/>
      <w:numFmt w:val="bullet"/>
      <w:lvlText w:val=""/>
      <w:lvlJc w:val="left"/>
      <w:pPr>
        <w:ind w:left="9680" w:hanging="360"/>
      </w:pPr>
      <w:rPr>
        <w:rFonts w:ascii="Wingdings" w:hAnsi="Wingdings" w:hint="default"/>
      </w:rPr>
    </w:lvl>
  </w:abstractNum>
  <w:abstractNum w:abstractNumId="5" w15:restartNumberingAfterBreak="0">
    <w:nsid w:val="361041B0"/>
    <w:multiLevelType w:val="hybridMultilevel"/>
    <w:tmpl w:val="AFCE0584"/>
    <w:lvl w:ilvl="0" w:tplc="0809000F">
      <w:start w:val="1"/>
      <w:numFmt w:val="decimal"/>
      <w:lvlText w:val="%1."/>
      <w:lvlJc w:val="left"/>
      <w:pPr>
        <w:ind w:left="360" w:hanging="360"/>
      </w:pPr>
      <w:rPr>
        <w:rFonts w:hint="default"/>
      </w:rPr>
    </w:lvl>
    <w:lvl w:ilvl="1" w:tplc="08090005">
      <w:start w:val="1"/>
      <w:numFmt w:val="bullet"/>
      <w:lvlText w:val=""/>
      <w:lvlJc w:val="left"/>
      <w:pPr>
        <w:ind w:left="1080" w:hanging="360"/>
      </w:pPr>
      <w:rPr>
        <w:rFonts w:ascii="Wingdings" w:hAnsi="Wingding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74A1E1A"/>
    <w:multiLevelType w:val="hybridMultilevel"/>
    <w:tmpl w:val="B358EB42"/>
    <w:lvl w:ilvl="0" w:tplc="F6A4AED6">
      <w:start w:val="1"/>
      <w:numFmt w:val="bullet"/>
      <w:pStyle w:val="Table-Bullet1"/>
      <w:lvlText w:val=""/>
      <w:lvlJc w:val="left"/>
      <w:pPr>
        <w:ind w:left="360" w:hanging="360"/>
      </w:pPr>
      <w:rPr>
        <w:rFonts w:ascii="Symbol" w:hAnsi="Symbol" w:hint="default"/>
        <w:color w:val="auto"/>
        <w:u w:color="4E5053" w:themeColor="text2"/>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7" w15:restartNumberingAfterBreak="0">
    <w:nsid w:val="49CF400F"/>
    <w:multiLevelType w:val="multilevel"/>
    <w:tmpl w:val="A25C0C5A"/>
    <w:numStyleLink w:val="AVbulletstyle-green"/>
  </w:abstractNum>
  <w:abstractNum w:abstractNumId="8" w15:restartNumberingAfterBreak="0">
    <w:nsid w:val="65927170"/>
    <w:multiLevelType w:val="hybridMultilevel"/>
    <w:tmpl w:val="809EA4AC"/>
    <w:lvl w:ilvl="0" w:tplc="0BAE7F3A">
      <w:start w:val="1"/>
      <w:numFmt w:val="bullet"/>
      <w:pStyle w:val="Table-Bullet2"/>
      <w:lvlText w:val="o"/>
      <w:lvlJc w:val="left"/>
      <w:pPr>
        <w:ind w:left="633" w:hanging="360"/>
      </w:pPr>
      <w:rPr>
        <w:rFonts w:ascii="Courier New" w:hAnsi="Courier New" w:hint="default"/>
        <w:color w:val="4E5053"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A458C"/>
    <w:multiLevelType w:val="hybridMultilevel"/>
    <w:tmpl w:val="CFD6CF4A"/>
    <w:lvl w:ilvl="0" w:tplc="D4EAD4B8">
      <w:start w:val="1"/>
      <w:numFmt w:val="bullet"/>
      <w:pStyle w:val="ListParagraph"/>
      <w:lvlText w:val=""/>
      <w:lvlJc w:val="left"/>
      <w:pPr>
        <w:ind w:left="720" w:hanging="360"/>
      </w:pPr>
      <w:rPr>
        <w:rFonts w:ascii="Symbol" w:hAnsi="Symbol" w:hint="default"/>
        <w:color w:val="4E5053"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663F1F"/>
    <w:multiLevelType w:val="multilevel"/>
    <w:tmpl w:val="A25C0C5A"/>
    <w:styleLink w:val="AVbulletstyle-green"/>
    <w:lvl w:ilvl="0">
      <w:start w:val="1"/>
      <w:numFmt w:val="bullet"/>
      <w:lvlText w:val=""/>
      <w:lvlPicBulletId w:val="0"/>
      <w:lvlJc w:val="left"/>
      <w:pPr>
        <w:ind w:left="680" w:hanging="323"/>
      </w:pPr>
      <w:rPr>
        <w:rFonts w:ascii="Symbol" w:hAnsi="Symbol" w:hint="default"/>
        <w:color w:val="auto"/>
      </w:rPr>
    </w:lvl>
    <w:lvl w:ilvl="1">
      <w:start w:val="1"/>
      <w:numFmt w:val="bullet"/>
      <w:lvlText w:val=""/>
      <w:lvlPicBulletId w:val="1"/>
      <w:lvlJc w:val="left"/>
      <w:pPr>
        <w:ind w:left="964" w:hanging="284"/>
      </w:pPr>
      <w:rPr>
        <w:rFonts w:ascii="Symbol" w:hAnsi="Symbol" w:hint="default"/>
        <w:color w:val="auto"/>
      </w:rPr>
    </w:lvl>
    <w:lvl w:ilvl="2">
      <w:start w:val="1"/>
      <w:numFmt w:val="bullet"/>
      <w:lvlText w:val="-"/>
      <w:lvlJc w:val="left"/>
      <w:pPr>
        <w:ind w:left="1247" w:hanging="283"/>
      </w:pPr>
      <w:rPr>
        <w:rFonts w:ascii="Calibri" w:hAnsi="Calibri" w:hint="default"/>
        <w:b/>
        <w:i w:val="0"/>
        <w:color w:val="68B937" w:themeColor="accent1"/>
      </w:rPr>
    </w:lvl>
    <w:lvl w:ilvl="3">
      <w:start w:val="1"/>
      <w:numFmt w:val="bullet"/>
      <w:lvlText w:val=""/>
      <w:lvlJc w:val="left"/>
      <w:pPr>
        <w:ind w:left="1531" w:hanging="284"/>
      </w:pPr>
      <w:rPr>
        <w:rFonts w:ascii="Wingdings" w:hAnsi="Wingdings" w:hint="default"/>
        <w:b/>
        <w:i w:val="0"/>
        <w:color w:val="68B937"/>
      </w:rPr>
    </w:lvl>
    <w:lvl w:ilvl="4">
      <w:start w:val="1"/>
      <w:numFmt w:val="bullet"/>
      <w:lvlText w:val="-"/>
      <w:lvlJc w:val="left"/>
      <w:pPr>
        <w:ind w:left="1814" w:hanging="283"/>
      </w:pPr>
      <w:rPr>
        <w:rFonts w:ascii="Calibri" w:hAnsi="Calibri" w:hint="default"/>
        <w:b/>
        <w:i w:val="0"/>
        <w:color w:val="68B937"/>
      </w:rPr>
    </w:lvl>
    <w:lvl w:ilvl="5">
      <w:start w:val="1"/>
      <w:numFmt w:val="bullet"/>
      <w:lvlText w:val="-"/>
      <w:lvlJc w:val="left"/>
      <w:pPr>
        <w:ind w:left="8217" w:hanging="284"/>
      </w:pPr>
      <w:rPr>
        <w:rFonts w:ascii="Calibri" w:hAnsi="Calibri" w:hint="default"/>
        <w:b/>
        <w:i w:val="0"/>
        <w:color w:val="EF7F04" w:themeColor="accent4"/>
      </w:rPr>
    </w:lvl>
    <w:lvl w:ilvl="6">
      <w:start w:val="1"/>
      <w:numFmt w:val="bullet"/>
      <w:lvlText w:val="-"/>
      <w:lvlJc w:val="left"/>
      <w:pPr>
        <w:ind w:left="8500" w:hanging="283"/>
      </w:pPr>
      <w:rPr>
        <w:rFonts w:ascii="Calibri" w:hAnsi="Calibri" w:hint="default"/>
        <w:color w:val="EF7F04" w:themeColor="accent4"/>
      </w:rPr>
    </w:lvl>
    <w:lvl w:ilvl="7">
      <w:start w:val="1"/>
      <w:numFmt w:val="lowerLetter"/>
      <w:lvlText w:val="%8."/>
      <w:lvlJc w:val="left"/>
      <w:pPr>
        <w:ind w:left="29279" w:hanging="360"/>
      </w:pPr>
      <w:rPr>
        <w:rFonts w:hint="default"/>
      </w:rPr>
    </w:lvl>
    <w:lvl w:ilvl="8">
      <w:start w:val="1"/>
      <w:numFmt w:val="lowerRoman"/>
      <w:lvlText w:val="%9."/>
      <w:lvlJc w:val="left"/>
      <w:pPr>
        <w:ind w:left="29639" w:hanging="360"/>
      </w:pPr>
      <w:rPr>
        <w:rFonts w:hint="default"/>
      </w:rPr>
    </w:lvl>
  </w:abstractNum>
  <w:abstractNum w:abstractNumId="11" w15:restartNumberingAfterBreak="0">
    <w:nsid w:val="7BA959EE"/>
    <w:multiLevelType w:val="hybridMultilevel"/>
    <w:tmpl w:val="85BA959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0"/>
  </w:num>
  <w:num w:numId="2">
    <w:abstractNumId w:val="7"/>
  </w:num>
  <w:num w:numId="3">
    <w:abstractNumId w:val="2"/>
  </w:num>
  <w:num w:numId="4">
    <w:abstractNumId w:val="8"/>
  </w:num>
  <w:num w:numId="5">
    <w:abstractNumId w:val="6"/>
  </w:num>
  <w:num w:numId="6">
    <w:abstractNumId w:val="0"/>
  </w:num>
  <w:num w:numId="7">
    <w:abstractNumId w:val="9"/>
  </w:num>
  <w:num w:numId="8">
    <w:abstractNumId w:val="4"/>
  </w:num>
  <w:num w:numId="9">
    <w:abstractNumId w:val="3"/>
  </w:num>
  <w:num w:numId="10">
    <w:abstractNumId w:val="5"/>
  </w:num>
  <w:num w:numId="11">
    <w:abstractNumId w:val="11"/>
  </w:num>
  <w:num w:numId="12">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5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4A4"/>
    <w:rsid w:val="00025709"/>
    <w:rsid w:val="000336BB"/>
    <w:rsid w:val="00033957"/>
    <w:rsid w:val="000339B9"/>
    <w:rsid w:val="00033EA6"/>
    <w:rsid w:val="00037184"/>
    <w:rsid w:val="00037EE7"/>
    <w:rsid w:val="00040A05"/>
    <w:rsid w:val="00050A26"/>
    <w:rsid w:val="000568CB"/>
    <w:rsid w:val="000630D2"/>
    <w:rsid w:val="00064B70"/>
    <w:rsid w:val="00065B19"/>
    <w:rsid w:val="00072D7C"/>
    <w:rsid w:val="00080DA4"/>
    <w:rsid w:val="00082B8E"/>
    <w:rsid w:val="00083892"/>
    <w:rsid w:val="00084188"/>
    <w:rsid w:val="00086A92"/>
    <w:rsid w:val="00091044"/>
    <w:rsid w:val="000A1F57"/>
    <w:rsid w:val="000A2D51"/>
    <w:rsid w:val="000A397B"/>
    <w:rsid w:val="000A4656"/>
    <w:rsid w:val="000A6E41"/>
    <w:rsid w:val="000B09BB"/>
    <w:rsid w:val="000C1A57"/>
    <w:rsid w:val="000C221C"/>
    <w:rsid w:val="000C4623"/>
    <w:rsid w:val="000C4ED2"/>
    <w:rsid w:val="000C5497"/>
    <w:rsid w:val="000C564F"/>
    <w:rsid w:val="000C58C2"/>
    <w:rsid w:val="000C5B85"/>
    <w:rsid w:val="000C7A0F"/>
    <w:rsid w:val="000D46C2"/>
    <w:rsid w:val="000D75FD"/>
    <w:rsid w:val="000E2EBA"/>
    <w:rsid w:val="000E4AA7"/>
    <w:rsid w:val="000E4DB1"/>
    <w:rsid w:val="000E5B6C"/>
    <w:rsid w:val="000F0A72"/>
    <w:rsid w:val="000F4F6F"/>
    <w:rsid w:val="00100EC5"/>
    <w:rsid w:val="001017E3"/>
    <w:rsid w:val="001022F9"/>
    <w:rsid w:val="00102537"/>
    <w:rsid w:val="00102A6D"/>
    <w:rsid w:val="00110E6D"/>
    <w:rsid w:val="001114BD"/>
    <w:rsid w:val="001176A6"/>
    <w:rsid w:val="00121A1F"/>
    <w:rsid w:val="00121ED1"/>
    <w:rsid w:val="00124B95"/>
    <w:rsid w:val="00125EB9"/>
    <w:rsid w:val="00132BB6"/>
    <w:rsid w:val="001414EC"/>
    <w:rsid w:val="00146897"/>
    <w:rsid w:val="00152946"/>
    <w:rsid w:val="0015334B"/>
    <w:rsid w:val="001573DB"/>
    <w:rsid w:val="0016106A"/>
    <w:rsid w:val="00161B37"/>
    <w:rsid w:val="00170575"/>
    <w:rsid w:val="00171C51"/>
    <w:rsid w:val="00174D58"/>
    <w:rsid w:val="00184B61"/>
    <w:rsid w:val="00187D12"/>
    <w:rsid w:val="00190AA2"/>
    <w:rsid w:val="001A13F9"/>
    <w:rsid w:val="001A1B3A"/>
    <w:rsid w:val="001B51BD"/>
    <w:rsid w:val="001C5280"/>
    <w:rsid w:val="001C77A7"/>
    <w:rsid w:val="001D0BB0"/>
    <w:rsid w:val="001D3D5D"/>
    <w:rsid w:val="001E19B0"/>
    <w:rsid w:val="001F15D0"/>
    <w:rsid w:val="0020147C"/>
    <w:rsid w:val="0020394F"/>
    <w:rsid w:val="00213599"/>
    <w:rsid w:val="00215D3C"/>
    <w:rsid w:val="002228BB"/>
    <w:rsid w:val="00227486"/>
    <w:rsid w:val="0023191E"/>
    <w:rsid w:val="0023394B"/>
    <w:rsid w:val="00240A57"/>
    <w:rsid w:val="0024311B"/>
    <w:rsid w:val="00243CAF"/>
    <w:rsid w:val="002441A9"/>
    <w:rsid w:val="00246888"/>
    <w:rsid w:val="002538C1"/>
    <w:rsid w:val="00253A56"/>
    <w:rsid w:val="00272A4C"/>
    <w:rsid w:val="002829F6"/>
    <w:rsid w:val="00283526"/>
    <w:rsid w:val="002840AB"/>
    <w:rsid w:val="002870CB"/>
    <w:rsid w:val="002A06F5"/>
    <w:rsid w:val="002B2F8A"/>
    <w:rsid w:val="002B6C1C"/>
    <w:rsid w:val="002B7507"/>
    <w:rsid w:val="002C2DA5"/>
    <w:rsid w:val="002D0D32"/>
    <w:rsid w:val="002D13CD"/>
    <w:rsid w:val="002D7138"/>
    <w:rsid w:val="002D7F2F"/>
    <w:rsid w:val="002E50CF"/>
    <w:rsid w:val="002E583C"/>
    <w:rsid w:val="002E795D"/>
    <w:rsid w:val="00303F1E"/>
    <w:rsid w:val="00306638"/>
    <w:rsid w:val="00311630"/>
    <w:rsid w:val="0031296E"/>
    <w:rsid w:val="003136CE"/>
    <w:rsid w:val="003162B6"/>
    <w:rsid w:val="003207BD"/>
    <w:rsid w:val="00320E8D"/>
    <w:rsid w:val="00322D8B"/>
    <w:rsid w:val="00327231"/>
    <w:rsid w:val="003309F2"/>
    <w:rsid w:val="00330B56"/>
    <w:rsid w:val="00343C8A"/>
    <w:rsid w:val="003453B2"/>
    <w:rsid w:val="00352426"/>
    <w:rsid w:val="003534E5"/>
    <w:rsid w:val="0035725D"/>
    <w:rsid w:val="003609A3"/>
    <w:rsid w:val="003613F5"/>
    <w:rsid w:val="00364CBF"/>
    <w:rsid w:val="00366AB8"/>
    <w:rsid w:val="003707FB"/>
    <w:rsid w:val="00374907"/>
    <w:rsid w:val="00382EB2"/>
    <w:rsid w:val="003A3BB7"/>
    <w:rsid w:val="003A6528"/>
    <w:rsid w:val="003A7080"/>
    <w:rsid w:val="003A7C6C"/>
    <w:rsid w:val="003B285D"/>
    <w:rsid w:val="003B5FE5"/>
    <w:rsid w:val="003B622E"/>
    <w:rsid w:val="003C153B"/>
    <w:rsid w:val="003C6C5B"/>
    <w:rsid w:val="003D22F2"/>
    <w:rsid w:val="003D68A1"/>
    <w:rsid w:val="003E3E27"/>
    <w:rsid w:val="003F058F"/>
    <w:rsid w:val="003F249F"/>
    <w:rsid w:val="003F3F1D"/>
    <w:rsid w:val="003F3F2F"/>
    <w:rsid w:val="003F5989"/>
    <w:rsid w:val="00400874"/>
    <w:rsid w:val="00401326"/>
    <w:rsid w:val="004015BC"/>
    <w:rsid w:val="004075E5"/>
    <w:rsid w:val="0041211B"/>
    <w:rsid w:val="00416E98"/>
    <w:rsid w:val="00420D1A"/>
    <w:rsid w:val="0042351D"/>
    <w:rsid w:val="0042783D"/>
    <w:rsid w:val="0043326F"/>
    <w:rsid w:val="00435E6D"/>
    <w:rsid w:val="00436C5B"/>
    <w:rsid w:val="0044339D"/>
    <w:rsid w:val="00447CD0"/>
    <w:rsid w:val="004511D9"/>
    <w:rsid w:val="00451DE8"/>
    <w:rsid w:val="00452CAC"/>
    <w:rsid w:val="0046063D"/>
    <w:rsid w:val="00461EB6"/>
    <w:rsid w:val="00464ED8"/>
    <w:rsid w:val="004662F4"/>
    <w:rsid w:val="00470434"/>
    <w:rsid w:val="004720E5"/>
    <w:rsid w:val="00472A14"/>
    <w:rsid w:val="0047653E"/>
    <w:rsid w:val="00477BBA"/>
    <w:rsid w:val="00486305"/>
    <w:rsid w:val="004879EC"/>
    <w:rsid w:val="0049288D"/>
    <w:rsid w:val="004B1BD1"/>
    <w:rsid w:val="004B7ED4"/>
    <w:rsid w:val="004C24D1"/>
    <w:rsid w:val="004C46A5"/>
    <w:rsid w:val="004C4F70"/>
    <w:rsid w:val="004C61C5"/>
    <w:rsid w:val="004D0376"/>
    <w:rsid w:val="004D0969"/>
    <w:rsid w:val="004D0FBF"/>
    <w:rsid w:val="004D7D83"/>
    <w:rsid w:val="004D7E83"/>
    <w:rsid w:val="004E4F35"/>
    <w:rsid w:val="004E669C"/>
    <w:rsid w:val="004F2A0E"/>
    <w:rsid w:val="004F3538"/>
    <w:rsid w:val="004F5311"/>
    <w:rsid w:val="00503C5B"/>
    <w:rsid w:val="00516FE3"/>
    <w:rsid w:val="00524DFE"/>
    <w:rsid w:val="0053341C"/>
    <w:rsid w:val="00534FAC"/>
    <w:rsid w:val="00535519"/>
    <w:rsid w:val="00564061"/>
    <w:rsid w:val="005669F0"/>
    <w:rsid w:val="00570204"/>
    <w:rsid w:val="0057056A"/>
    <w:rsid w:val="00572731"/>
    <w:rsid w:val="005735C9"/>
    <w:rsid w:val="00576957"/>
    <w:rsid w:val="00576C38"/>
    <w:rsid w:val="00586BA0"/>
    <w:rsid w:val="00590D41"/>
    <w:rsid w:val="00594966"/>
    <w:rsid w:val="00594991"/>
    <w:rsid w:val="00597204"/>
    <w:rsid w:val="005978ED"/>
    <w:rsid w:val="005A0636"/>
    <w:rsid w:val="005A4F47"/>
    <w:rsid w:val="005B051C"/>
    <w:rsid w:val="005C6F10"/>
    <w:rsid w:val="005C747C"/>
    <w:rsid w:val="005F19C8"/>
    <w:rsid w:val="00601DCD"/>
    <w:rsid w:val="00607D05"/>
    <w:rsid w:val="00611AE1"/>
    <w:rsid w:val="00615852"/>
    <w:rsid w:val="00617737"/>
    <w:rsid w:val="006240B9"/>
    <w:rsid w:val="00627904"/>
    <w:rsid w:val="00637505"/>
    <w:rsid w:val="006432D9"/>
    <w:rsid w:val="006434ED"/>
    <w:rsid w:val="00644349"/>
    <w:rsid w:val="00644804"/>
    <w:rsid w:val="00645C3C"/>
    <w:rsid w:val="006562CA"/>
    <w:rsid w:val="0065752F"/>
    <w:rsid w:val="0066741E"/>
    <w:rsid w:val="00681B51"/>
    <w:rsid w:val="0068356A"/>
    <w:rsid w:val="0068480E"/>
    <w:rsid w:val="00696E87"/>
    <w:rsid w:val="006A0281"/>
    <w:rsid w:val="006A118C"/>
    <w:rsid w:val="006A2C5A"/>
    <w:rsid w:val="006A67B6"/>
    <w:rsid w:val="006C0B69"/>
    <w:rsid w:val="006C374B"/>
    <w:rsid w:val="006C4CF5"/>
    <w:rsid w:val="006C7B78"/>
    <w:rsid w:val="006D249C"/>
    <w:rsid w:val="006D357D"/>
    <w:rsid w:val="006D5F57"/>
    <w:rsid w:val="006E07B8"/>
    <w:rsid w:val="006E2CE4"/>
    <w:rsid w:val="006E3ABD"/>
    <w:rsid w:val="006E4A31"/>
    <w:rsid w:val="006F04EC"/>
    <w:rsid w:val="006F06EA"/>
    <w:rsid w:val="006F6F8B"/>
    <w:rsid w:val="0071565B"/>
    <w:rsid w:val="00721607"/>
    <w:rsid w:val="007220DD"/>
    <w:rsid w:val="00724CD0"/>
    <w:rsid w:val="00725FC3"/>
    <w:rsid w:val="00731989"/>
    <w:rsid w:val="00732C04"/>
    <w:rsid w:val="00735472"/>
    <w:rsid w:val="00747C33"/>
    <w:rsid w:val="007659E8"/>
    <w:rsid w:val="0078126B"/>
    <w:rsid w:val="0078203B"/>
    <w:rsid w:val="007844B6"/>
    <w:rsid w:val="00784515"/>
    <w:rsid w:val="00784B7F"/>
    <w:rsid w:val="007859F9"/>
    <w:rsid w:val="00785BE0"/>
    <w:rsid w:val="00790F19"/>
    <w:rsid w:val="00791FEA"/>
    <w:rsid w:val="00793BCC"/>
    <w:rsid w:val="0079572B"/>
    <w:rsid w:val="00795D96"/>
    <w:rsid w:val="007960C7"/>
    <w:rsid w:val="007A0ED5"/>
    <w:rsid w:val="007A1191"/>
    <w:rsid w:val="007C0A5A"/>
    <w:rsid w:val="007D158A"/>
    <w:rsid w:val="007E3838"/>
    <w:rsid w:val="007F297B"/>
    <w:rsid w:val="007F5CFC"/>
    <w:rsid w:val="00801FF5"/>
    <w:rsid w:val="00804C20"/>
    <w:rsid w:val="00805AB0"/>
    <w:rsid w:val="00806DDA"/>
    <w:rsid w:val="00811855"/>
    <w:rsid w:val="008118E0"/>
    <w:rsid w:val="00814F21"/>
    <w:rsid w:val="00815949"/>
    <w:rsid w:val="00827426"/>
    <w:rsid w:val="008323B2"/>
    <w:rsid w:val="00835897"/>
    <w:rsid w:val="00836A08"/>
    <w:rsid w:val="00843DFD"/>
    <w:rsid w:val="0084469F"/>
    <w:rsid w:val="00845EDF"/>
    <w:rsid w:val="00846301"/>
    <w:rsid w:val="0084701F"/>
    <w:rsid w:val="00867FD4"/>
    <w:rsid w:val="0087640D"/>
    <w:rsid w:val="00882D7F"/>
    <w:rsid w:val="00885352"/>
    <w:rsid w:val="00885BF5"/>
    <w:rsid w:val="00885CF8"/>
    <w:rsid w:val="00887DEE"/>
    <w:rsid w:val="008945F0"/>
    <w:rsid w:val="008A7FBE"/>
    <w:rsid w:val="008B122C"/>
    <w:rsid w:val="008B3A64"/>
    <w:rsid w:val="008B7162"/>
    <w:rsid w:val="008C10BA"/>
    <w:rsid w:val="008D1A7A"/>
    <w:rsid w:val="008E0937"/>
    <w:rsid w:val="008E4BA3"/>
    <w:rsid w:val="008E597A"/>
    <w:rsid w:val="008F2536"/>
    <w:rsid w:val="008F5F3F"/>
    <w:rsid w:val="00903CE6"/>
    <w:rsid w:val="00905909"/>
    <w:rsid w:val="00906511"/>
    <w:rsid w:val="009069F5"/>
    <w:rsid w:val="0090717B"/>
    <w:rsid w:val="009129E8"/>
    <w:rsid w:val="009144D7"/>
    <w:rsid w:val="00920A58"/>
    <w:rsid w:val="0092276B"/>
    <w:rsid w:val="00925310"/>
    <w:rsid w:val="00930126"/>
    <w:rsid w:val="009346CB"/>
    <w:rsid w:val="00940D74"/>
    <w:rsid w:val="00945394"/>
    <w:rsid w:val="0096146A"/>
    <w:rsid w:val="00962642"/>
    <w:rsid w:val="00964245"/>
    <w:rsid w:val="0097343C"/>
    <w:rsid w:val="009827EC"/>
    <w:rsid w:val="009846D1"/>
    <w:rsid w:val="00990D14"/>
    <w:rsid w:val="00990D52"/>
    <w:rsid w:val="009978A2"/>
    <w:rsid w:val="009A036F"/>
    <w:rsid w:val="009A3125"/>
    <w:rsid w:val="009B12C7"/>
    <w:rsid w:val="009C1F48"/>
    <w:rsid w:val="009C4BD4"/>
    <w:rsid w:val="009C60F5"/>
    <w:rsid w:val="009C750D"/>
    <w:rsid w:val="009D4659"/>
    <w:rsid w:val="009D581C"/>
    <w:rsid w:val="009D7CC6"/>
    <w:rsid w:val="009E02C3"/>
    <w:rsid w:val="009E04B9"/>
    <w:rsid w:val="009E08D0"/>
    <w:rsid w:val="009E2EE6"/>
    <w:rsid w:val="009E4EBF"/>
    <w:rsid w:val="009E5449"/>
    <w:rsid w:val="009F1B3C"/>
    <w:rsid w:val="009F6AF6"/>
    <w:rsid w:val="00A038F3"/>
    <w:rsid w:val="00A05ADC"/>
    <w:rsid w:val="00A0640B"/>
    <w:rsid w:val="00A12DA0"/>
    <w:rsid w:val="00A22A36"/>
    <w:rsid w:val="00A23EAD"/>
    <w:rsid w:val="00A23F7C"/>
    <w:rsid w:val="00A40A71"/>
    <w:rsid w:val="00A41A07"/>
    <w:rsid w:val="00A43DE9"/>
    <w:rsid w:val="00A501F0"/>
    <w:rsid w:val="00A567E7"/>
    <w:rsid w:val="00A608A5"/>
    <w:rsid w:val="00A62049"/>
    <w:rsid w:val="00A72590"/>
    <w:rsid w:val="00A731DB"/>
    <w:rsid w:val="00A74EC3"/>
    <w:rsid w:val="00A75398"/>
    <w:rsid w:val="00A76A2A"/>
    <w:rsid w:val="00A771AD"/>
    <w:rsid w:val="00A83EDE"/>
    <w:rsid w:val="00A85E83"/>
    <w:rsid w:val="00A91041"/>
    <w:rsid w:val="00A92E25"/>
    <w:rsid w:val="00A9550E"/>
    <w:rsid w:val="00A95F7D"/>
    <w:rsid w:val="00A96EEF"/>
    <w:rsid w:val="00A9710E"/>
    <w:rsid w:val="00A97A46"/>
    <w:rsid w:val="00AA1670"/>
    <w:rsid w:val="00AA168E"/>
    <w:rsid w:val="00AA3A9E"/>
    <w:rsid w:val="00AB00DC"/>
    <w:rsid w:val="00AB2F8E"/>
    <w:rsid w:val="00AB48E5"/>
    <w:rsid w:val="00AB51C5"/>
    <w:rsid w:val="00AB51D9"/>
    <w:rsid w:val="00AC31E3"/>
    <w:rsid w:val="00AC3922"/>
    <w:rsid w:val="00AD576E"/>
    <w:rsid w:val="00AD66BF"/>
    <w:rsid w:val="00AD7A42"/>
    <w:rsid w:val="00AE70D1"/>
    <w:rsid w:val="00AE72D9"/>
    <w:rsid w:val="00AF6B62"/>
    <w:rsid w:val="00B012B4"/>
    <w:rsid w:val="00B01984"/>
    <w:rsid w:val="00B0448C"/>
    <w:rsid w:val="00B0762A"/>
    <w:rsid w:val="00B10693"/>
    <w:rsid w:val="00B11909"/>
    <w:rsid w:val="00B15B6A"/>
    <w:rsid w:val="00B27E52"/>
    <w:rsid w:val="00B31AE7"/>
    <w:rsid w:val="00B33CFD"/>
    <w:rsid w:val="00B34EC4"/>
    <w:rsid w:val="00B35375"/>
    <w:rsid w:val="00B3700E"/>
    <w:rsid w:val="00B4617C"/>
    <w:rsid w:val="00B4618E"/>
    <w:rsid w:val="00B46B48"/>
    <w:rsid w:val="00B4796C"/>
    <w:rsid w:val="00B47DFD"/>
    <w:rsid w:val="00B546D5"/>
    <w:rsid w:val="00B5684F"/>
    <w:rsid w:val="00B573CD"/>
    <w:rsid w:val="00B70E70"/>
    <w:rsid w:val="00B71E00"/>
    <w:rsid w:val="00B813E3"/>
    <w:rsid w:val="00B825EC"/>
    <w:rsid w:val="00B86540"/>
    <w:rsid w:val="00B96FD3"/>
    <w:rsid w:val="00BA199C"/>
    <w:rsid w:val="00BA6C5A"/>
    <w:rsid w:val="00BB6262"/>
    <w:rsid w:val="00BC1930"/>
    <w:rsid w:val="00BC286E"/>
    <w:rsid w:val="00BC734A"/>
    <w:rsid w:val="00BD22D0"/>
    <w:rsid w:val="00BD5454"/>
    <w:rsid w:val="00BD68B0"/>
    <w:rsid w:val="00BD695E"/>
    <w:rsid w:val="00BE0AC8"/>
    <w:rsid w:val="00BE31C4"/>
    <w:rsid w:val="00BF090A"/>
    <w:rsid w:val="00C014A4"/>
    <w:rsid w:val="00C0486C"/>
    <w:rsid w:val="00C06112"/>
    <w:rsid w:val="00C210A0"/>
    <w:rsid w:val="00C2186F"/>
    <w:rsid w:val="00C23A24"/>
    <w:rsid w:val="00C24773"/>
    <w:rsid w:val="00C31130"/>
    <w:rsid w:val="00C324C2"/>
    <w:rsid w:val="00C3486E"/>
    <w:rsid w:val="00C35F54"/>
    <w:rsid w:val="00C42B7A"/>
    <w:rsid w:val="00C52E6D"/>
    <w:rsid w:val="00C55D9B"/>
    <w:rsid w:val="00C61189"/>
    <w:rsid w:val="00C618D6"/>
    <w:rsid w:val="00C64F3F"/>
    <w:rsid w:val="00C66EC1"/>
    <w:rsid w:val="00C71ADE"/>
    <w:rsid w:val="00C8255C"/>
    <w:rsid w:val="00C94847"/>
    <w:rsid w:val="00CA1C6C"/>
    <w:rsid w:val="00CA3262"/>
    <w:rsid w:val="00CA446B"/>
    <w:rsid w:val="00CA5D52"/>
    <w:rsid w:val="00CA790B"/>
    <w:rsid w:val="00CC043C"/>
    <w:rsid w:val="00CC2CF0"/>
    <w:rsid w:val="00CC2F90"/>
    <w:rsid w:val="00CC4D24"/>
    <w:rsid w:val="00CD55C3"/>
    <w:rsid w:val="00CD6DE8"/>
    <w:rsid w:val="00CE396D"/>
    <w:rsid w:val="00CE5AAC"/>
    <w:rsid w:val="00CE6924"/>
    <w:rsid w:val="00CF00CC"/>
    <w:rsid w:val="00CF4EFE"/>
    <w:rsid w:val="00CF5186"/>
    <w:rsid w:val="00CF5B1A"/>
    <w:rsid w:val="00CF5C74"/>
    <w:rsid w:val="00CF77E2"/>
    <w:rsid w:val="00D05C11"/>
    <w:rsid w:val="00D068CD"/>
    <w:rsid w:val="00D12F4D"/>
    <w:rsid w:val="00D1426D"/>
    <w:rsid w:val="00D20676"/>
    <w:rsid w:val="00D273A3"/>
    <w:rsid w:val="00D30A8B"/>
    <w:rsid w:val="00D378CB"/>
    <w:rsid w:val="00D43D7E"/>
    <w:rsid w:val="00D471C8"/>
    <w:rsid w:val="00D53373"/>
    <w:rsid w:val="00D543FD"/>
    <w:rsid w:val="00D571E1"/>
    <w:rsid w:val="00D60338"/>
    <w:rsid w:val="00D70D53"/>
    <w:rsid w:val="00D72EC0"/>
    <w:rsid w:val="00D83CCD"/>
    <w:rsid w:val="00D86A23"/>
    <w:rsid w:val="00DA27F7"/>
    <w:rsid w:val="00DB149C"/>
    <w:rsid w:val="00DB5C64"/>
    <w:rsid w:val="00DB634A"/>
    <w:rsid w:val="00DC27EE"/>
    <w:rsid w:val="00DC33BA"/>
    <w:rsid w:val="00DC4BC9"/>
    <w:rsid w:val="00DC5572"/>
    <w:rsid w:val="00DC7AFC"/>
    <w:rsid w:val="00DC7B69"/>
    <w:rsid w:val="00DD33E4"/>
    <w:rsid w:val="00DE0926"/>
    <w:rsid w:val="00DE4DDB"/>
    <w:rsid w:val="00DE5EA2"/>
    <w:rsid w:val="00DF2802"/>
    <w:rsid w:val="00DF31B9"/>
    <w:rsid w:val="00DF76AB"/>
    <w:rsid w:val="00E01308"/>
    <w:rsid w:val="00E01791"/>
    <w:rsid w:val="00E06D9E"/>
    <w:rsid w:val="00E10116"/>
    <w:rsid w:val="00E10D95"/>
    <w:rsid w:val="00E20995"/>
    <w:rsid w:val="00E21D5A"/>
    <w:rsid w:val="00E309C6"/>
    <w:rsid w:val="00E32F1D"/>
    <w:rsid w:val="00E3600D"/>
    <w:rsid w:val="00E4005B"/>
    <w:rsid w:val="00E40D18"/>
    <w:rsid w:val="00E42B40"/>
    <w:rsid w:val="00E43363"/>
    <w:rsid w:val="00E5018E"/>
    <w:rsid w:val="00E50A3C"/>
    <w:rsid w:val="00E51835"/>
    <w:rsid w:val="00E60F2C"/>
    <w:rsid w:val="00E677E6"/>
    <w:rsid w:val="00E72602"/>
    <w:rsid w:val="00E72FA3"/>
    <w:rsid w:val="00E73B7C"/>
    <w:rsid w:val="00E73C47"/>
    <w:rsid w:val="00E753A8"/>
    <w:rsid w:val="00E75932"/>
    <w:rsid w:val="00E816F9"/>
    <w:rsid w:val="00E8350A"/>
    <w:rsid w:val="00E847C8"/>
    <w:rsid w:val="00E942B5"/>
    <w:rsid w:val="00E9621C"/>
    <w:rsid w:val="00EA2900"/>
    <w:rsid w:val="00EB0534"/>
    <w:rsid w:val="00EC4140"/>
    <w:rsid w:val="00EC5D2D"/>
    <w:rsid w:val="00ED0EF8"/>
    <w:rsid w:val="00EE26B9"/>
    <w:rsid w:val="00EE4A30"/>
    <w:rsid w:val="00EE63A9"/>
    <w:rsid w:val="00EF3115"/>
    <w:rsid w:val="00F01DE5"/>
    <w:rsid w:val="00F05E97"/>
    <w:rsid w:val="00F06DAC"/>
    <w:rsid w:val="00F12D28"/>
    <w:rsid w:val="00F1697F"/>
    <w:rsid w:val="00F16AA9"/>
    <w:rsid w:val="00F173C2"/>
    <w:rsid w:val="00F21281"/>
    <w:rsid w:val="00F26261"/>
    <w:rsid w:val="00F327F2"/>
    <w:rsid w:val="00F3360A"/>
    <w:rsid w:val="00F367DA"/>
    <w:rsid w:val="00F3700C"/>
    <w:rsid w:val="00F4457C"/>
    <w:rsid w:val="00F44F26"/>
    <w:rsid w:val="00F54B41"/>
    <w:rsid w:val="00F54B76"/>
    <w:rsid w:val="00F727AF"/>
    <w:rsid w:val="00F72E4B"/>
    <w:rsid w:val="00F75594"/>
    <w:rsid w:val="00F85CA0"/>
    <w:rsid w:val="00F94792"/>
    <w:rsid w:val="00F94E3B"/>
    <w:rsid w:val="00F97504"/>
    <w:rsid w:val="00FB1D6D"/>
    <w:rsid w:val="00FB2BDA"/>
    <w:rsid w:val="00FB3251"/>
    <w:rsid w:val="00FC4595"/>
    <w:rsid w:val="00FD01D0"/>
    <w:rsid w:val="00FD1B85"/>
    <w:rsid w:val="00FD29B6"/>
    <w:rsid w:val="00FD52C4"/>
    <w:rsid w:val="00FD77E2"/>
    <w:rsid w:val="00FE6798"/>
    <w:rsid w:val="00FE691F"/>
    <w:rsid w:val="00FE72EF"/>
    <w:rsid w:val="00FF4262"/>
    <w:rsid w:val="00FF7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1E491585"/>
  <w15:docId w15:val="{58295F75-EEA9-4345-B4A7-0BD149581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4E5053" w:themeColor="text1"/>
        <w:sz w:val="22"/>
        <w:szCs w:val="22"/>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14A4"/>
    <w:pPr>
      <w:spacing w:before="120" w:after="120"/>
    </w:pPr>
    <w:rPr>
      <w:lang w:val="en-GB"/>
    </w:rPr>
  </w:style>
  <w:style w:type="paragraph" w:styleId="Heading1">
    <w:name w:val="heading 1"/>
    <w:basedOn w:val="Normal"/>
    <w:next w:val="Normal"/>
    <w:link w:val="Heading1Char"/>
    <w:uiPriority w:val="9"/>
    <w:qFormat/>
    <w:rsid w:val="00E01308"/>
    <w:pPr>
      <w:keepNext/>
      <w:keepLines/>
      <w:pageBreakBefore/>
      <w:numPr>
        <w:numId w:val="3"/>
      </w:numPr>
      <w:pBdr>
        <w:bottom w:val="single" w:sz="4" w:space="1" w:color="4E5053" w:themeColor="text1"/>
      </w:pBdr>
      <w:spacing w:after="240" w:line="240" w:lineRule="auto"/>
      <w:ind w:left="431" w:hanging="431"/>
      <w:jc w:val="left"/>
      <w:outlineLvl w:val="0"/>
    </w:pPr>
    <w:rPr>
      <w:rFonts w:ascii="Calibri" w:eastAsiaTheme="majorEastAsia" w:hAnsi="Calibri" w:cstheme="majorBidi"/>
      <w:b/>
      <w:bCs/>
      <w:sz w:val="48"/>
      <w:szCs w:val="28"/>
    </w:rPr>
  </w:style>
  <w:style w:type="paragraph" w:styleId="Heading2">
    <w:name w:val="heading 2"/>
    <w:basedOn w:val="Normal"/>
    <w:next w:val="Normal"/>
    <w:link w:val="Heading2Char"/>
    <w:uiPriority w:val="9"/>
    <w:unhideWhenUsed/>
    <w:qFormat/>
    <w:rsid w:val="00793BCC"/>
    <w:pPr>
      <w:keepNext/>
      <w:keepLines/>
      <w:numPr>
        <w:ilvl w:val="1"/>
        <w:numId w:val="3"/>
      </w:numPr>
      <w:spacing w:before="200" w:line="240" w:lineRule="auto"/>
      <w:outlineLvl w:val="1"/>
    </w:pPr>
    <w:rPr>
      <w:rFonts w:ascii="Calibri" w:eastAsiaTheme="majorEastAsia" w:hAnsi="Calibri" w:cstheme="majorBidi"/>
      <w:b/>
      <w:bCs/>
      <w:sz w:val="28"/>
      <w:szCs w:val="26"/>
    </w:rPr>
  </w:style>
  <w:style w:type="paragraph" w:styleId="Heading3">
    <w:name w:val="heading 3"/>
    <w:basedOn w:val="Normal"/>
    <w:next w:val="Normal"/>
    <w:link w:val="Heading3Char"/>
    <w:uiPriority w:val="9"/>
    <w:unhideWhenUsed/>
    <w:qFormat/>
    <w:rsid w:val="00793BCC"/>
    <w:pPr>
      <w:keepNext/>
      <w:keepLines/>
      <w:numPr>
        <w:ilvl w:val="2"/>
        <w:numId w:val="3"/>
      </w:numPr>
      <w:spacing w:before="200"/>
      <w:outlineLvl w:val="2"/>
    </w:pPr>
    <w:rPr>
      <w:rFonts w:ascii="Calibri" w:eastAsiaTheme="majorEastAsia" w:hAnsi="Calibri" w:cstheme="majorBidi"/>
      <w:b/>
      <w:bCs/>
      <w:sz w:val="26"/>
      <w:szCs w:val="26"/>
    </w:rPr>
  </w:style>
  <w:style w:type="paragraph" w:styleId="Heading4">
    <w:name w:val="heading 4"/>
    <w:basedOn w:val="Normal"/>
    <w:next w:val="Normal"/>
    <w:link w:val="Heading4Char"/>
    <w:uiPriority w:val="9"/>
    <w:unhideWhenUsed/>
    <w:qFormat/>
    <w:rsid w:val="00793BCC"/>
    <w:pPr>
      <w:keepNext/>
      <w:keepLines/>
      <w:numPr>
        <w:ilvl w:val="3"/>
        <w:numId w:val="3"/>
      </w:numPr>
      <w:spacing w:before="200"/>
      <w:outlineLvl w:val="3"/>
    </w:pPr>
    <w:rPr>
      <w:rFonts w:ascii="Calibri" w:eastAsiaTheme="majorEastAsia" w:hAnsi="Calibri" w:cstheme="majorBidi"/>
      <w:b/>
      <w:bCs/>
      <w:i/>
      <w:iCs/>
    </w:rPr>
  </w:style>
  <w:style w:type="paragraph" w:styleId="Heading5">
    <w:name w:val="heading 5"/>
    <w:basedOn w:val="Normal"/>
    <w:next w:val="Normal"/>
    <w:link w:val="Heading5Char"/>
    <w:uiPriority w:val="9"/>
    <w:unhideWhenUsed/>
    <w:qFormat/>
    <w:rsid w:val="008C10BA"/>
    <w:pPr>
      <w:keepNext/>
      <w:keepLines/>
      <w:numPr>
        <w:ilvl w:val="4"/>
        <w:numId w:val="3"/>
      </w:numPr>
      <w:spacing w:before="200"/>
      <w:outlineLvl w:val="4"/>
    </w:pPr>
    <w:rPr>
      <w:rFonts w:ascii="Calibri" w:eastAsiaTheme="majorEastAsia" w:hAnsi="Calibri" w:cstheme="majorBidi"/>
      <w:i/>
    </w:rPr>
  </w:style>
  <w:style w:type="paragraph" w:styleId="Heading6">
    <w:name w:val="heading 6"/>
    <w:basedOn w:val="Normal"/>
    <w:next w:val="Normal"/>
    <w:link w:val="Heading6Char"/>
    <w:uiPriority w:val="9"/>
    <w:unhideWhenUsed/>
    <w:rsid w:val="008C10BA"/>
    <w:pPr>
      <w:keepNext/>
      <w:keepLines/>
      <w:numPr>
        <w:ilvl w:val="5"/>
        <w:numId w:val="3"/>
      </w:numPr>
      <w:spacing w:before="200"/>
      <w:outlineLvl w:val="5"/>
    </w:pPr>
    <w:rPr>
      <w:rFonts w:ascii="Calibri" w:eastAsiaTheme="majorEastAsia" w:hAnsi="Calibri" w:cstheme="majorBidi"/>
      <w:i/>
      <w:iCs/>
    </w:rPr>
  </w:style>
  <w:style w:type="paragraph" w:styleId="Heading7">
    <w:name w:val="heading 7"/>
    <w:basedOn w:val="Normal"/>
    <w:next w:val="Normal"/>
    <w:link w:val="Heading7Char"/>
    <w:uiPriority w:val="9"/>
    <w:semiHidden/>
    <w:unhideWhenUsed/>
    <w:rsid w:val="008C10BA"/>
    <w:pPr>
      <w:keepNext/>
      <w:keepLines/>
      <w:numPr>
        <w:ilvl w:val="6"/>
        <w:numId w:val="3"/>
      </w:numPr>
      <w:spacing w:before="200"/>
      <w:outlineLvl w:val="6"/>
    </w:pPr>
    <w:rPr>
      <w:rFonts w:ascii="Calibri" w:eastAsiaTheme="majorEastAsia" w:hAnsi="Calibri" w:cstheme="majorBidi"/>
      <w:i/>
      <w:iCs/>
    </w:rPr>
  </w:style>
  <w:style w:type="paragraph" w:styleId="Heading8">
    <w:name w:val="heading 8"/>
    <w:basedOn w:val="Normal"/>
    <w:next w:val="Normal"/>
    <w:link w:val="Heading8Char"/>
    <w:uiPriority w:val="9"/>
    <w:unhideWhenUsed/>
    <w:rsid w:val="008C10BA"/>
    <w:pPr>
      <w:keepNext/>
      <w:keepLines/>
      <w:numPr>
        <w:ilvl w:val="7"/>
        <w:numId w:val="3"/>
      </w:numPr>
      <w:spacing w:before="200"/>
      <w:outlineLvl w:val="7"/>
    </w:pPr>
    <w:rPr>
      <w:rFonts w:ascii="Calibri" w:eastAsiaTheme="majorEastAsia" w:hAnsi="Calibri" w:cstheme="majorBidi"/>
      <w:sz w:val="20"/>
      <w:szCs w:val="20"/>
    </w:rPr>
  </w:style>
  <w:style w:type="paragraph" w:styleId="Heading9">
    <w:name w:val="heading 9"/>
    <w:basedOn w:val="Normal"/>
    <w:next w:val="Normal"/>
    <w:link w:val="Heading9Char"/>
    <w:uiPriority w:val="9"/>
    <w:unhideWhenUsed/>
    <w:rsid w:val="008C10BA"/>
    <w:pPr>
      <w:keepNext/>
      <w:keepLines/>
      <w:numPr>
        <w:ilvl w:val="8"/>
        <w:numId w:val="3"/>
      </w:numPr>
      <w:spacing w:before="200"/>
      <w:outlineLvl w:val="8"/>
    </w:pPr>
    <w:rPr>
      <w:rFonts w:ascii="Calibri" w:eastAsiaTheme="majorEastAsia" w:hAnsi="Calibri" w:cstheme="majorBidi"/>
      <w:i/>
      <w:iCs/>
      <w:color w:val="4E5053"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308"/>
    <w:rPr>
      <w:rFonts w:ascii="Calibri" w:eastAsiaTheme="majorEastAsia" w:hAnsi="Calibri" w:cstheme="majorBidi"/>
      <w:b/>
      <w:bCs/>
      <w:sz w:val="48"/>
      <w:szCs w:val="28"/>
    </w:rPr>
  </w:style>
  <w:style w:type="character" w:customStyle="1" w:styleId="Heading2Char">
    <w:name w:val="Heading 2 Char"/>
    <w:basedOn w:val="DefaultParagraphFont"/>
    <w:link w:val="Heading2"/>
    <w:uiPriority w:val="9"/>
    <w:rsid w:val="00793BCC"/>
    <w:rPr>
      <w:rFonts w:ascii="Calibri" w:eastAsiaTheme="majorEastAsia" w:hAnsi="Calibri" w:cstheme="majorBidi"/>
      <w:b/>
      <w:bCs/>
      <w:sz w:val="28"/>
      <w:szCs w:val="26"/>
    </w:rPr>
  </w:style>
  <w:style w:type="character" w:customStyle="1" w:styleId="Heading3Char">
    <w:name w:val="Heading 3 Char"/>
    <w:basedOn w:val="DefaultParagraphFont"/>
    <w:link w:val="Heading3"/>
    <w:uiPriority w:val="9"/>
    <w:rsid w:val="00793BCC"/>
    <w:rPr>
      <w:rFonts w:ascii="Calibri" w:eastAsiaTheme="majorEastAsia" w:hAnsi="Calibri" w:cstheme="majorBidi"/>
      <w:b/>
      <w:bCs/>
      <w:sz w:val="26"/>
      <w:szCs w:val="26"/>
    </w:rPr>
  </w:style>
  <w:style w:type="character" w:customStyle="1" w:styleId="Heading4Char">
    <w:name w:val="Heading 4 Char"/>
    <w:basedOn w:val="DefaultParagraphFont"/>
    <w:link w:val="Heading4"/>
    <w:uiPriority w:val="9"/>
    <w:rsid w:val="00793BCC"/>
    <w:rPr>
      <w:rFonts w:ascii="Calibri" w:eastAsiaTheme="majorEastAsia" w:hAnsi="Calibri" w:cstheme="majorBidi"/>
      <w:b/>
      <w:bCs/>
      <w:i/>
      <w:iCs/>
    </w:rPr>
  </w:style>
  <w:style w:type="character" w:customStyle="1" w:styleId="Heading5Char">
    <w:name w:val="Heading 5 Char"/>
    <w:basedOn w:val="DefaultParagraphFont"/>
    <w:link w:val="Heading5"/>
    <w:uiPriority w:val="9"/>
    <w:rsid w:val="008C10BA"/>
    <w:rPr>
      <w:rFonts w:ascii="Calibri" w:eastAsiaTheme="majorEastAsia" w:hAnsi="Calibri" w:cstheme="majorBidi"/>
      <w:i/>
    </w:rPr>
  </w:style>
  <w:style w:type="character" w:customStyle="1" w:styleId="Heading6Char">
    <w:name w:val="Heading 6 Char"/>
    <w:basedOn w:val="DefaultParagraphFont"/>
    <w:link w:val="Heading6"/>
    <w:uiPriority w:val="9"/>
    <w:rsid w:val="008C10BA"/>
    <w:rPr>
      <w:rFonts w:ascii="Calibri" w:eastAsiaTheme="majorEastAsia" w:hAnsi="Calibri" w:cstheme="majorBidi"/>
      <w:i/>
      <w:iCs/>
    </w:rPr>
  </w:style>
  <w:style w:type="character" w:customStyle="1" w:styleId="Heading7Char">
    <w:name w:val="Heading 7 Char"/>
    <w:basedOn w:val="DefaultParagraphFont"/>
    <w:link w:val="Heading7"/>
    <w:uiPriority w:val="9"/>
    <w:semiHidden/>
    <w:rsid w:val="008C10BA"/>
    <w:rPr>
      <w:rFonts w:ascii="Calibri" w:eastAsiaTheme="majorEastAsia" w:hAnsi="Calibri" w:cstheme="majorBidi"/>
      <w:i/>
      <w:iCs/>
    </w:rPr>
  </w:style>
  <w:style w:type="character" w:customStyle="1" w:styleId="Heading8Char">
    <w:name w:val="Heading 8 Char"/>
    <w:basedOn w:val="DefaultParagraphFont"/>
    <w:link w:val="Heading8"/>
    <w:uiPriority w:val="9"/>
    <w:rsid w:val="008C10BA"/>
    <w:rPr>
      <w:rFonts w:ascii="Calibri" w:eastAsiaTheme="majorEastAsia" w:hAnsi="Calibri" w:cstheme="majorBidi"/>
      <w:sz w:val="20"/>
      <w:szCs w:val="20"/>
    </w:rPr>
  </w:style>
  <w:style w:type="character" w:customStyle="1" w:styleId="Heading9Char">
    <w:name w:val="Heading 9 Char"/>
    <w:basedOn w:val="DefaultParagraphFont"/>
    <w:link w:val="Heading9"/>
    <w:uiPriority w:val="9"/>
    <w:semiHidden/>
    <w:rsid w:val="008C10BA"/>
    <w:rPr>
      <w:rFonts w:ascii="Calibri" w:eastAsiaTheme="majorEastAsia" w:hAnsi="Calibri" w:cstheme="majorBidi"/>
      <w:i/>
      <w:iCs/>
      <w:color w:val="4E5053" w:themeColor="text2"/>
      <w:sz w:val="20"/>
      <w:szCs w:val="20"/>
    </w:rPr>
  </w:style>
  <w:style w:type="paragraph" w:styleId="Caption">
    <w:name w:val="caption"/>
    <w:basedOn w:val="Normal"/>
    <w:next w:val="Normal"/>
    <w:uiPriority w:val="35"/>
    <w:unhideWhenUsed/>
    <w:qFormat/>
    <w:rsid w:val="007960C7"/>
    <w:pPr>
      <w:keepNext/>
      <w:spacing w:before="0" w:after="0" w:line="240" w:lineRule="auto"/>
    </w:pPr>
    <w:rPr>
      <w:b/>
      <w:bCs/>
    </w:rPr>
  </w:style>
  <w:style w:type="paragraph" w:styleId="Title">
    <w:name w:val="Title"/>
    <w:basedOn w:val="Normal"/>
    <w:next w:val="Normal"/>
    <w:link w:val="TitleChar"/>
    <w:uiPriority w:val="10"/>
    <w:rsid w:val="00A83EDE"/>
    <w:pPr>
      <w:pBdr>
        <w:bottom w:val="single" w:sz="8" w:space="4" w:color="68B937"/>
      </w:pBdr>
      <w:spacing w:after="300" w:line="240" w:lineRule="auto"/>
      <w:contextualSpacing/>
    </w:pPr>
    <w:rPr>
      <w:rFonts w:ascii="Calibri" w:eastAsiaTheme="majorEastAsia" w:hAnsi="Calibri" w:cstheme="majorBidi"/>
      <w:b/>
      <w:color w:val="EF7F04" w:themeColor="accent4"/>
      <w:spacing w:val="5"/>
      <w:kern w:val="28"/>
      <w:sz w:val="48"/>
      <w:szCs w:val="52"/>
    </w:rPr>
  </w:style>
  <w:style w:type="character" w:customStyle="1" w:styleId="TitleChar">
    <w:name w:val="Title Char"/>
    <w:basedOn w:val="DefaultParagraphFont"/>
    <w:link w:val="Title"/>
    <w:uiPriority w:val="10"/>
    <w:rsid w:val="00A83EDE"/>
    <w:rPr>
      <w:rFonts w:ascii="Calibri" w:eastAsiaTheme="majorEastAsia" w:hAnsi="Calibri" w:cstheme="majorBidi"/>
      <w:b/>
      <w:color w:val="EF7F04" w:themeColor="accent4"/>
      <w:spacing w:val="5"/>
      <w:kern w:val="28"/>
      <w:sz w:val="48"/>
      <w:szCs w:val="52"/>
    </w:rPr>
  </w:style>
  <w:style w:type="paragraph" w:styleId="Subtitle">
    <w:name w:val="Subtitle"/>
    <w:basedOn w:val="Normal"/>
    <w:next w:val="Normal"/>
    <w:link w:val="SubtitleChar"/>
    <w:uiPriority w:val="11"/>
    <w:rsid w:val="000E5B6C"/>
    <w:pPr>
      <w:numPr>
        <w:ilvl w:val="1"/>
      </w:numPr>
    </w:pPr>
    <w:rPr>
      <w:rFonts w:ascii="Calibri" w:eastAsiaTheme="majorEastAsia" w:hAnsi="Calibri" w:cstheme="majorBidi"/>
      <w:i/>
      <w:iCs/>
      <w:color w:val="auto"/>
      <w:spacing w:val="15"/>
      <w:sz w:val="24"/>
      <w:szCs w:val="24"/>
    </w:rPr>
  </w:style>
  <w:style w:type="character" w:customStyle="1" w:styleId="SubtitleChar">
    <w:name w:val="Subtitle Char"/>
    <w:basedOn w:val="DefaultParagraphFont"/>
    <w:link w:val="Subtitle"/>
    <w:uiPriority w:val="11"/>
    <w:rsid w:val="000E5B6C"/>
    <w:rPr>
      <w:rFonts w:ascii="Calibri" w:eastAsiaTheme="majorEastAsia" w:hAnsi="Calibri" w:cstheme="majorBidi"/>
      <w:i/>
      <w:iCs/>
      <w:spacing w:val="15"/>
      <w:sz w:val="24"/>
      <w:szCs w:val="24"/>
    </w:rPr>
  </w:style>
  <w:style w:type="character" w:styleId="Strong">
    <w:name w:val="Strong"/>
    <w:basedOn w:val="DefaultParagraphFont"/>
    <w:uiPriority w:val="22"/>
    <w:rsid w:val="00E5018E"/>
    <w:rPr>
      <w:b/>
      <w:bCs/>
    </w:rPr>
  </w:style>
  <w:style w:type="character" w:styleId="Emphasis">
    <w:name w:val="Emphasis"/>
    <w:basedOn w:val="DefaultParagraphFont"/>
    <w:uiPriority w:val="20"/>
    <w:rsid w:val="000E5B6C"/>
    <w:rPr>
      <w:rFonts w:ascii="Calibri" w:hAnsi="Calibri"/>
      <w:i/>
      <w:iCs/>
      <w:color w:val="auto"/>
      <w:sz w:val="22"/>
    </w:rPr>
  </w:style>
  <w:style w:type="paragraph" w:styleId="NoSpacing">
    <w:name w:val="No Spacing"/>
    <w:link w:val="NoSpacingChar"/>
    <w:uiPriority w:val="1"/>
    <w:rsid w:val="000E5B6C"/>
    <w:pPr>
      <w:spacing w:after="0" w:line="240" w:lineRule="auto"/>
    </w:pPr>
  </w:style>
  <w:style w:type="paragraph" w:styleId="ListParagraph">
    <w:name w:val="List Paragraph"/>
    <w:aliases w:val="Bullet1"/>
    <w:basedOn w:val="Normal"/>
    <w:link w:val="ListParagraphChar"/>
    <w:uiPriority w:val="10"/>
    <w:qFormat/>
    <w:rsid w:val="00AB00DC"/>
    <w:pPr>
      <w:numPr>
        <w:numId w:val="7"/>
      </w:numPr>
      <w:ind w:left="686" w:hanging="326"/>
    </w:pPr>
    <w:rPr>
      <w:rFonts w:eastAsiaTheme="majorEastAsia"/>
    </w:rPr>
  </w:style>
  <w:style w:type="paragraph" w:styleId="Quote">
    <w:name w:val="Quote"/>
    <w:basedOn w:val="Normal"/>
    <w:next w:val="Normal"/>
    <w:link w:val="QuoteChar"/>
    <w:uiPriority w:val="29"/>
    <w:rsid w:val="000E5B6C"/>
    <w:rPr>
      <w:i/>
      <w:iCs/>
      <w:color w:val="EF7F04"/>
    </w:rPr>
  </w:style>
  <w:style w:type="character" w:customStyle="1" w:styleId="QuoteChar">
    <w:name w:val="Quote Char"/>
    <w:basedOn w:val="DefaultParagraphFont"/>
    <w:link w:val="Quote"/>
    <w:uiPriority w:val="29"/>
    <w:rsid w:val="000E5B6C"/>
    <w:rPr>
      <w:i/>
      <w:iCs/>
      <w:color w:val="EF7F04"/>
    </w:rPr>
  </w:style>
  <w:style w:type="paragraph" w:styleId="IntenseQuote">
    <w:name w:val="Intense Quote"/>
    <w:basedOn w:val="Normal"/>
    <w:next w:val="Normal"/>
    <w:link w:val="IntenseQuoteChar"/>
    <w:uiPriority w:val="30"/>
    <w:rsid w:val="000E5B6C"/>
    <w:pPr>
      <w:pBdr>
        <w:bottom w:val="single" w:sz="4" w:space="4" w:color="68B937" w:themeColor="accent1"/>
      </w:pBdr>
      <w:spacing w:before="200" w:after="280"/>
      <w:ind w:left="936" w:right="936"/>
    </w:pPr>
    <w:rPr>
      <w:b/>
      <w:bCs/>
      <w:i/>
      <w:iCs/>
      <w:color w:val="EF7F04"/>
    </w:rPr>
  </w:style>
  <w:style w:type="character" w:customStyle="1" w:styleId="IntenseQuoteChar">
    <w:name w:val="Intense Quote Char"/>
    <w:basedOn w:val="DefaultParagraphFont"/>
    <w:link w:val="IntenseQuote"/>
    <w:uiPriority w:val="30"/>
    <w:rsid w:val="000E5B6C"/>
    <w:rPr>
      <w:b/>
      <w:bCs/>
      <w:i/>
      <w:iCs/>
      <w:color w:val="EF7F04"/>
    </w:rPr>
  </w:style>
  <w:style w:type="character" w:styleId="SubtleEmphasis">
    <w:name w:val="Subtle Emphasis"/>
    <w:basedOn w:val="DefaultParagraphFont"/>
    <w:uiPriority w:val="19"/>
    <w:rsid w:val="006562CA"/>
    <w:rPr>
      <w:rFonts w:ascii="Calibri" w:hAnsi="Calibri"/>
      <w:i/>
      <w:iCs/>
      <w:color w:val="4E5053"/>
    </w:rPr>
  </w:style>
  <w:style w:type="character" w:styleId="IntenseEmphasis">
    <w:name w:val="Intense Emphasis"/>
    <w:basedOn w:val="DefaultParagraphFont"/>
    <w:uiPriority w:val="21"/>
    <w:rsid w:val="000E5B6C"/>
    <w:rPr>
      <w:rFonts w:asciiTheme="minorHAnsi" w:hAnsiTheme="minorHAnsi"/>
      <w:b/>
      <w:bCs/>
      <w:i/>
      <w:iCs/>
      <w:color w:val="EF7F04" w:themeColor="accent4"/>
      <w:sz w:val="22"/>
    </w:rPr>
  </w:style>
  <w:style w:type="character" w:styleId="SubtleReference">
    <w:name w:val="Subtle Reference"/>
    <w:basedOn w:val="DefaultParagraphFont"/>
    <w:uiPriority w:val="31"/>
    <w:rsid w:val="008323B2"/>
    <w:rPr>
      <w:rFonts w:ascii="Calibri" w:hAnsi="Calibri"/>
      <w:smallCaps/>
      <w:color w:val="E52126"/>
      <w:u w:val="single"/>
    </w:rPr>
  </w:style>
  <w:style w:type="character" w:styleId="IntenseReference">
    <w:name w:val="Intense Reference"/>
    <w:basedOn w:val="DefaultParagraphFont"/>
    <w:uiPriority w:val="32"/>
    <w:rsid w:val="008323B2"/>
    <w:rPr>
      <w:rFonts w:ascii="Calibri" w:hAnsi="Calibri"/>
      <w:b/>
      <w:bCs/>
      <w:smallCaps/>
      <w:color w:val="E52126"/>
      <w:spacing w:val="5"/>
      <w:u w:val="single"/>
    </w:rPr>
  </w:style>
  <w:style w:type="character" w:styleId="BookTitle">
    <w:name w:val="Book Title"/>
    <w:basedOn w:val="DefaultParagraphFont"/>
    <w:uiPriority w:val="33"/>
    <w:rsid w:val="008323B2"/>
    <w:rPr>
      <w:rFonts w:ascii="Calibri" w:hAnsi="Calibri"/>
      <w:b/>
      <w:bCs/>
      <w:smallCaps/>
      <w:spacing w:val="5"/>
    </w:rPr>
  </w:style>
  <w:style w:type="paragraph" w:styleId="TOCHeading">
    <w:name w:val="TOC Heading"/>
    <w:basedOn w:val="Heading1"/>
    <w:next w:val="Normal"/>
    <w:uiPriority w:val="39"/>
    <w:unhideWhenUsed/>
    <w:qFormat/>
    <w:rsid w:val="002D13CD"/>
    <w:pPr>
      <w:pageBreakBefore w:val="0"/>
      <w:numPr>
        <w:numId w:val="0"/>
      </w:numPr>
      <w:spacing w:before="480" w:after="960"/>
      <w:outlineLvl w:val="9"/>
    </w:pPr>
    <w:rPr>
      <w:lang w:eastAsia="ja-JP"/>
    </w:rPr>
  </w:style>
  <w:style w:type="paragraph" w:styleId="BalloonText">
    <w:name w:val="Balloon Text"/>
    <w:basedOn w:val="Normal"/>
    <w:link w:val="BalloonTextChar"/>
    <w:uiPriority w:val="99"/>
    <w:semiHidden/>
    <w:unhideWhenUsed/>
    <w:rsid w:val="00E5018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18E"/>
    <w:rPr>
      <w:rFonts w:ascii="Tahoma" w:hAnsi="Tahoma" w:cs="Tahoma"/>
      <w:sz w:val="16"/>
      <w:szCs w:val="16"/>
    </w:rPr>
  </w:style>
  <w:style w:type="paragraph" w:customStyle="1" w:styleId="Coverproposalcode">
    <w:name w:val="Cover proposal code"/>
    <w:basedOn w:val="Normal"/>
    <w:uiPriority w:val="99"/>
    <w:rsid w:val="00611AE1"/>
    <w:pPr>
      <w:tabs>
        <w:tab w:val="num" w:pos="284"/>
      </w:tabs>
      <w:spacing w:before="60" w:after="60" w:line="240" w:lineRule="auto"/>
      <w:ind w:left="290" w:right="-5608" w:hanging="6"/>
    </w:pPr>
    <w:rPr>
      <w:rFonts w:ascii="Calibri" w:eastAsia="Times New Roman" w:hAnsi="Calibri" w:cs="Calibri"/>
      <w:b/>
      <w:bCs/>
      <w:color w:val="FFFFFF"/>
      <w:sz w:val="30"/>
      <w:szCs w:val="30"/>
      <w:lang w:eastAsia="ja-JP"/>
    </w:rPr>
  </w:style>
  <w:style w:type="paragraph" w:styleId="Header">
    <w:name w:val="header"/>
    <w:basedOn w:val="Normal"/>
    <w:link w:val="HeaderChar"/>
    <w:uiPriority w:val="99"/>
    <w:unhideWhenUsed/>
    <w:rsid w:val="004D0376"/>
    <w:pPr>
      <w:tabs>
        <w:tab w:val="center" w:pos="4680"/>
        <w:tab w:val="right" w:pos="9360"/>
      </w:tabs>
      <w:spacing w:line="240" w:lineRule="auto"/>
    </w:pPr>
  </w:style>
  <w:style w:type="character" w:customStyle="1" w:styleId="HeaderChar">
    <w:name w:val="Header Char"/>
    <w:basedOn w:val="DefaultParagraphFont"/>
    <w:link w:val="Header"/>
    <w:uiPriority w:val="99"/>
    <w:rsid w:val="004D0376"/>
    <w:rPr>
      <w:color w:val="4E5053"/>
    </w:rPr>
  </w:style>
  <w:style w:type="paragraph" w:styleId="Footer">
    <w:name w:val="footer"/>
    <w:basedOn w:val="Normal"/>
    <w:link w:val="FooterChar"/>
    <w:unhideWhenUsed/>
    <w:rsid w:val="00611AE1"/>
    <w:pPr>
      <w:tabs>
        <w:tab w:val="center" w:pos="4680"/>
        <w:tab w:val="right" w:pos="9360"/>
      </w:tabs>
      <w:spacing w:line="240" w:lineRule="auto"/>
    </w:pPr>
    <w:rPr>
      <w:rFonts w:ascii="Calibri" w:hAnsi="Calibri"/>
      <w:sz w:val="18"/>
    </w:rPr>
  </w:style>
  <w:style w:type="character" w:customStyle="1" w:styleId="FooterChar">
    <w:name w:val="Footer Char"/>
    <w:basedOn w:val="DefaultParagraphFont"/>
    <w:link w:val="Footer"/>
    <w:rsid w:val="00611AE1"/>
    <w:rPr>
      <w:rFonts w:ascii="Calibri" w:hAnsi="Calibri"/>
      <w:sz w:val="18"/>
    </w:rPr>
  </w:style>
  <w:style w:type="paragraph" w:styleId="TOC1">
    <w:name w:val="toc 1"/>
    <w:basedOn w:val="Normal"/>
    <w:next w:val="Normal"/>
    <w:autoRedefine/>
    <w:uiPriority w:val="39"/>
    <w:unhideWhenUsed/>
    <w:rsid w:val="003A6528"/>
    <w:pPr>
      <w:tabs>
        <w:tab w:val="left" w:pos="440"/>
        <w:tab w:val="right" w:leader="dot" w:pos="9072"/>
      </w:tabs>
      <w:spacing w:before="0" w:after="0" w:line="240" w:lineRule="auto"/>
    </w:pPr>
    <w:rPr>
      <w:rFonts w:ascii="Calibri" w:hAnsi="Calibri"/>
    </w:rPr>
  </w:style>
  <w:style w:type="paragraph" w:styleId="TOC2">
    <w:name w:val="toc 2"/>
    <w:basedOn w:val="Normal"/>
    <w:next w:val="Normal"/>
    <w:autoRedefine/>
    <w:uiPriority w:val="39"/>
    <w:unhideWhenUsed/>
    <w:rsid w:val="00FB3251"/>
    <w:pPr>
      <w:tabs>
        <w:tab w:val="right" w:leader="dot" w:pos="9072"/>
      </w:tabs>
      <w:spacing w:before="0" w:after="0" w:line="240" w:lineRule="auto"/>
      <w:ind w:left="1134" w:hanging="709"/>
    </w:pPr>
    <w:rPr>
      <w:rFonts w:ascii="Calibri" w:hAnsi="Calibri"/>
    </w:rPr>
  </w:style>
  <w:style w:type="paragraph" w:styleId="TOC3">
    <w:name w:val="toc 3"/>
    <w:basedOn w:val="Normal"/>
    <w:next w:val="Normal"/>
    <w:autoRedefine/>
    <w:uiPriority w:val="39"/>
    <w:unhideWhenUsed/>
    <w:rsid w:val="00FB3251"/>
    <w:pPr>
      <w:tabs>
        <w:tab w:val="left" w:pos="1985"/>
        <w:tab w:val="right" w:leader="dot" w:pos="9072"/>
      </w:tabs>
      <w:spacing w:before="0" w:after="0" w:line="240" w:lineRule="auto"/>
      <w:ind w:left="1985" w:hanging="851"/>
    </w:pPr>
    <w:rPr>
      <w:rFonts w:ascii="Calibri" w:hAnsi="Calibri"/>
    </w:rPr>
  </w:style>
  <w:style w:type="paragraph" w:styleId="TOC4">
    <w:name w:val="toc 4"/>
    <w:basedOn w:val="Normal"/>
    <w:next w:val="Normal"/>
    <w:autoRedefine/>
    <w:uiPriority w:val="39"/>
    <w:semiHidden/>
    <w:unhideWhenUsed/>
    <w:rsid w:val="003A6528"/>
    <w:pPr>
      <w:spacing w:before="0" w:after="0" w:line="240" w:lineRule="auto"/>
      <w:ind w:left="658"/>
    </w:pPr>
    <w:rPr>
      <w:rFonts w:ascii="Calibri" w:hAnsi="Calibri"/>
    </w:rPr>
  </w:style>
  <w:style w:type="paragraph" w:styleId="TOC5">
    <w:name w:val="toc 5"/>
    <w:basedOn w:val="Normal"/>
    <w:next w:val="Normal"/>
    <w:autoRedefine/>
    <w:uiPriority w:val="39"/>
    <w:semiHidden/>
    <w:unhideWhenUsed/>
    <w:rsid w:val="00470434"/>
    <w:pPr>
      <w:spacing w:after="100"/>
      <w:ind w:left="880"/>
    </w:pPr>
    <w:rPr>
      <w:rFonts w:ascii="Calibri" w:hAnsi="Calibri"/>
    </w:rPr>
  </w:style>
  <w:style w:type="paragraph" w:styleId="TOC6">
    <w:name w:val="toc 6"/>
    <w:basedOn w:val="Normal"/>
    <w:next w:val="Normal"/>
    <w:autoRedefine/>
    <w:uiPriority w:val="39"/>
    <w:semiHidden/>
    <w:unhideWhenUsed/>
    <w:rsid w:val="00470434"/>
    <w:pPr>
      <w:spacing w:after="100"/>
      <w:ind w:left="1100"/>
    </w:pPr>
  </w:style>
  <w:style w:type="table" w:styleId="TableGrid">
    <w:name w:val="Table Grid"/>
    <w:basedOn w:val="TableNormal"/>
    <w:uiPriority w:val="59"/>
    <w:rsid w:val="00B35375"/>
    <w:pPr>
      <w:spacing w:before="120" w:after="120" w:line="240" w:lineRule="auto"/>
      <w:jc w:val="left"/>
    </w:pPr>
    <w:tblPr>
      <w:tblBorders>
        <w:top w:val="single" w:sz="4" w:space="0" w:color="4E5053"/>
        <w:left w:val="single" w:sz="4" w:space="0" w:color="4E5053"/>
        <w:bottom w:val="single" w:sz="4" w:space="0" w:color="4E5053"/>
        <w:right w:val="single" w:sz="4" w:space="0" w:color="4E5053"/>
        <w:insideH w:val="single" w:sz="4" w:space="0" w:color="4E5053"/>
        <w:insideV w:val="single" w:sz="4" w:space="0" w:color="4E5053"/>
      </w:tblBorders>
    </w:tblPr>
    <w:tcPr>
      <w:shd w:val="clear" w:color="auto" w:fill="auto"/>
    </w:tcPr>
  </w:style>
  <w:style w:type="table" w:styleId="MediumShading2-Accent1">
    <w:name w:val="Medium Shading 2 Accent 1"/>
    <w:basedOn w:val="TableNormal"/>
    <w:uiPriority w:val="64"/>
    <w:rsid w:val="00E7260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8B93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8B937" w:themeFill="accent1"/>
      </w:tcPr>
    </w:tblStylePr>
    <w:tblStylePr w:type="lastCol">
      <w:rPr>
        <w:b/>
        <w:bCs/>
        <w:color w:val="FFFFFF" w:themeColor="background1"/>
      </w:rPr>
      <w:tblPr/>
      <w:tcPr>
        <w:tcBorders>
          <w:left w:val="nil"/>
          <w:right w:val="nil"/>
          <w:insideH w:val="nil"/>
          <w:insideV w:val="nil"/>
        </w:tcBorders>
        <w:shd w:val="clear" w:color="auto" w:fill="68B93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1">
    <w:name w:val="Light Shading Accent 1"/>
    <w:basedOn w:val="TableNormal"/>
    <w:uiPriority w:val="60"/>
    <w:rsid w:val="00576C38"/>
    <w:pPr>
      <w:spacing w:before="120" w:after="120" w:line="240" w:lineRule="auto"/>
      <w:jc w:val="left"/>
    </w:pPr>
    <w:tblPr>
      <w:tblStyleRowBandSize w:val="1"/>
      <w:tblStyleColBandSize w:val="1"/>
      <w:tbl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tblBorders>
    </w:tblPr>
    <w:tcPr>
      <w:shd w:val="clear" w:color="auto" w:fill="auto"/>
    </w:tcPr>
    <w:tblStylePr w:type="firstRow">
      <w:pPr>
        <w:wordWrap/>
        <w:spacing w:beforeLines="0" w:before="120" w:beforeAutospacing="0" w:afterLines="0" w:after="120" w:afterAutospacing="0" w:line="240" w:lineRule="auto"/>
        <w:jc w:val="left"/>
      </w:pPr>
      <w:rPr>
        <w:rFonts w:asciiTheme="minorHAnsi" w:hAnsiTheme="minorHAnsi"/>
        <w:b/>
        <w:bCs/>
        <w:color w:val="FFFFFF" w:themeColor="background1"/>
        <w:sz w:val="22"/>
      </w:rPr>
      <w:tblPr/>
      <w:tcPr>
        <w:tcBorders>
          <w:top w:val="nil"/>
          <w:left w:val="single" w:sz="4" w:space="0" w:color="68B937" w:themeColor="accent1"/>
          <w:bottom w:val="nil"/>
          <w:right w:val="nil"/>
          <w:insideH w:val="nil"/>
          <w:insideV w:val="nil"/>
          <w:tl2br w:val="nil"/>
          <w:tr2bl w:val="nil"/>
        </w:tcBorders>
        <w:shd w:val="clear" w:color="auto" w:fill="68B937" w:themeFill="accent1"/>
      </w:tcPr>
    </w:tblStylePr>
    <w:tblStylePr w:type="lastRow">
      <w:pPr>
        <w:spacing w:before="0" w:after="0" w:line="240" w:lineRule="auto"/>
      </w:pPr>
      <w:rPr>
        <w:b/>
        <w:bCs/>
      </w:rPr>
      <w:tblPr/>
      <w:tcPr>
        <w:tcBorders>
          <w:top w:val="single" w:sz="8" w:space="0" w:color="68B937" w:themeColor="accent1"/>
          <w:left w:val="nil"/>
          <w:bottom w:val="single" w:sz="8" w:space="0" w:color="68B937" w:themeColor="accent1"/>
          <w:right w:val="nil"/>
          <w:insideH w:val="nil"/>
          <w:insideV w:val="nil"/>
        </w:tcBorders>
      </w:tcPr>
    </w:tblStylePr>
    <w:tblStylePr w:type="firstCol">
      <w:rPr>
        <w:b w:val="0"/>
        <w:bCs/>
      </w:rPr>
    </w:tblStylePr>
    <w:tblStylePr w:type="lastCol">
      <w:rPr>
        <w:b w:val="0"/>
        <w:bCs/>
      </w:rPr>
    </w:tblStylePr>
  </w:style>
  <w:style w:type="table" w:styleId="LightShading-Accent2">
    <w:name w:val="Light Shading Accent 2"/>
    <w:basedOn w:val="TableNormal"/>
    <w:uiPriority w:val="60"/>
    <w:rsid w:val="00576C38"/>
    <w:pPr>
      <w:spacing w:before="120" w:after="120" w:line="240" w:lineRule="auto"/>
      <w:jc w:val="left"/>
    </w:pPr>
    <w:tblPr>
      <w:tblStyleRowBandSize w:val="1"/>
      <w:tblStyleColBandSize w:val="1"/>
      <w:tbl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00A6CB" w:themeFill="accent2"/>
      </w:tcPr>
    </w:tblStylePr>
    <w:tblStylePr w:type="lastRow">
      <w:pPr>
        <w:spacing w:before="0" w:after="0" w:line="240" w:lineRule="auto"/>
      </w:pPr>
      <w:rPr>
        <w:b/>
        <w:bCs/>
      </w:rPr>
      <w:tblPr/>
      <w:tcPr>
        <w:tcBorders>
          <w:top w:val="single" w:sz="8" w:space="0" w:color="00A6CB" w:themeColor="accent2"/>
          <w:left w:val="nil"/>
          <w:bottom w:val="single" w:sz="8" w:space="0" w:color="00A6CB" w:themeColor="accent2"/>
          <w:right w:val="nil"/>
          <w:insideH w:val="nil"/>
          <w:insideV w:val="nil"/>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576C38"/>
    <w:pPr>
      <w:spacing w:before="120" w:after="120" w:line="240" w:lineRule="auto"/>
      <w:jc w:val="left"/>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insideH w:val="single" w:sz="4" w:space="0" w:color="003569" w:themeColor="accent3"/>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003569" w:themeFill="accent3"/>
      </w:tcPr>
    </w:tblStylePr>
    <w:tblStylePr w:type="lastRow">
      <w:pPr>
        <w:spacing w:before="0" w:after="0" w:line="240" w:lineRule="auto"/>
      </w:pPr>
      <w:rPr>
        <w:b/>
        <w:bCs/>
      </w:rPr>
      <w:tblPr/>
      <w:tcPr>
        <w:tcBorders>
          <w:top w:val="single" w:sz="8" w:space="0" w:color="003569" w:themeColor="accent3"/>
          <w:left w:val="nil"/>
          <w:bottom w:val="single" w:sz="8" w:space="0" w:color="003569" w:themeColor="accent3"/>
          <w:right w:val="nil"/>
          <w:insideH w:val="nil"/>
          <w:insideV w:val="nil"/>
        </w:tcBorders>
      </w:tcPr>
    </w:tblStylePr>
    <w:tblStylePr w:type="firstCol">
      <w:rPr>
        <w:b w:val="0"/>
        <w:bCs/>
      </w:rPr>
    </w:tblStylePr>
    <w:tblStylePr w:type="lastCol">
      <w:rPr>
        <w:b w:val="0"/>
        <w:bCs/>
      </w:rPr>
    </w:tblStylePr>
  </w:style>
  <w:style w:type="table" w:styleId="LightShading-Accent4">
    <w:name w:val="Light Shading Accent 4"/>
    <w:basedOn w:val="TableNormal"/>
    <w:uiPriority w:val="60"/>
    <w:rsid w:val="00576C38"/>
    <w:pPr>
      <w:spacing w:before="120" w:after="120" w:line="240" w:lineRule="auto"/>
      <w:jc w:val="left"/>
    </w:pPr>
    <w:rPr>
      <w:color w:val="003569"/>
    </w:rPr>
    <w:tblPr>
      <w:tblStyleRowBandSize w:val="1"/>
      <w:tblStyleColBandSize w:val="1"/>
      <w:tblBorders>
        <w:top w:val="single" w:sz="4" w:space="0" w:color="EF7F04" w:themeColor="accent4"/>
        <w:left w:val="single" w:sz="4" w:space="0" w:color="EF7F04" w:themeColor="accent4"/>
        <w:bottom w:val="single" w:sz="4" w:space="0" w:color="EF7F04" w:themeColor="accent4"/>
        <w:right w:val="single" w:sz="4" w:space="0" w:color="EF7F04" w:themeColor="accent4"/>
        <w:insideH w:val="single" w:sz="4" w:space="0" w:color="EF7F04" w:themeColor="accent4"/>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EF7F04" w:themeFill="accent4"/>
      </w:tcPr>
    </w:tblStylePr>
    <w:tblStylePr w:type="lastRow">
      <w:pPr>
        <w:spacing w:before="0" w:after="0" w:line="240" w:lineRule="auto"/>
      </w:pPr>
      <w:rPr>
        <w:b/>
        <w:bCs/>
      </w:rPr>
      <w:tblPr/>
      <w:tcPr>
        <w:tcBorders>
          <w:top w:val="single" w:sz="8" w:space="0" w:color="EF7F04" w:themeColor="accent4"/>
          <w:left w:val="nil"/>
          <w:bottom w:val="single" w:sz="8" w:space="0" w:color="EF7F04" w:themeColor="accent4"/>
          <w:right w:val="nil"/>
          <w:insideH w:val="nil"/>
          <w:insideV w:val="nil"/>
        </w:tcBorders>
      </w:tcPr>
    </w:tblStylePr>
    <w:tblStylePr w:type="firstCol">
      <w:rPr>
        <w:b w:val="0"/>
        <w:bCs/>
      </w:rPr>
    </w:tblStylePr>
    <w:tblStylePr w:type="lastCol">
      <w:rPr>
        <w:b/>
        <w:bCs/>
      </w:rPr>
    </w:tblStylePr>
  </w:style>
  <w:style w:type="table" w:styleId="LightShading-Accent5">
    <w:name w:val="Light Shading Accent 5"/>
    <w:basedOn w:val="TableNormal"/>
    <w:uiPriority w:val="60"/>
    <w:rsid w:val="00576C38"/>
    <w:pPr>
      <w:spacing w:before="120" w:after="120" w:line="240" w:lineRule="auto"/>
      <w:jc w:val="left"/>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insideH w:val="single" w:sz="4" w:space="0" w:color="003569" w:themeColor="accent3"/>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4E5053" w:themeFill="text1"/>
      </w:tcPr>
    </w:tblStylePr>
    <w:tblStylePr w:type="lastRow">
      <w:pPr>
        <w:spacing w:before="0" w:after="0" w:line="240" w:lineRule="auto"/>
      </w:pPr>
      <w:rPr>
        <w:b/>
        <w:bCs/>
      </w:rPr>
      <w:tblPr/>
      <w:tcPr>
        <w:tcBorders>
          <w:top w:val="single" w:sz="8" w:space="0" w:color="008380" w:themeColor="accent5"/>
          <w:left w:val="nil"/>
          <w:bottom w:val="single" w:sz="8" w:space="0" w:color="008380" w:themeColor="accent5"/>
          <w:right w:val="nil"/>
          <w:insideH w:val="nil"/>
          <w:insideV w:val="nil"/>
        </w:tcBorders>
      </w:tcPr>
    </w:tblStylePr>
    <w:tblStylePr w:type="firstCol">
      <w:rPr>
        <w:b w:val="0"/>
        <w:bCs/>
      </w:rPr>
    </w:tblStylePr>
    <w:tblStylePr w:type="lastCol">
      <w:rPr>
        <w:b w:val="0"/>
        <w:bCs/>
      </w:rPr>
    </w:tblStylePr>
  </w:style>
  <w:style w:type="table" w:styleId="LightShading-Accent6">
    <w:name w:val="Light Shading Accent 6"/>
    <w:basedOn w:val="TableNormal"/>
    <w:uiPriority w:val="60"/>
    <w:rsid w:val="00576C38"/>
    <w:pPr>
      <w:spacing w:before="120" w:after="120" w:line="240" w:lineRule="auto"/>
      <w:jc w:val="left"/>
    </w:pPr>
    <w:tblPr>
      <w:tblStyleRowBandSize w:val="1"/>
      <w:tblStyleColBandSize w:val="1"/>
      <w:tblBorders>
        <w:top w:val="single" w:sz="4" w:space="0" w:color="FFBB2D" w:themeColor="accent6"/>
        <w:left w:val="single" w:sz="4" w:space="0" w:color="FFBB2D" w:themeColor="accent6"/>
        <w:bottom w:val="single" w:sz="4" w:space="0" w:color="FFBB2D" w:themeColor="accent6"/>
        <w:right w:val="single" w:sz="4" w:space="0" w:color="FFBB2D" w:themeColor="accent6"/>
        <w:insideH w:val="single" w:sz="4" w:space="0" w:color="FFBB2D" w:themeColor="accent6"/>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FFBB2D" w:themeFill="accent6"/>
      </w:tcPr>
    </w:tblStylePr>
    <w:tblStylePr w:type="lastRow">
      <w:pPr>
        <w:spacing w:before="0" w:after="0" w:line="240" w:lineRule="auto"/>
      </w:pPr>
      <w:rPr>
        <w:b/>
        <w:bCs/>
      </w:rPr>
      <w:tblPr/>
      <w:tcPr>
        <w:tcBorders>
          <w:top w:val="single" w:sz="8" w:space="0" w:color="FFBB2D" w:themeColor="accent6"/>
          <w:left w:val="nil"/>
          <w:bottom w:val="single" w:sz="8" w:space="0" w:color="FFBB2D" w:themeColor="accent6"/>
          <w:right w:val="nil"/>
          <w:insideH w:val="nil"/>
          <w:insideV w:val="nil"/>
        </w:tcBorders>
      </w:tcPr>
    </w:tblStylePr>
    <w:tblStylePr w:type="firstCol">
      <w:rPr>
        <w:b w:val="0"/>
        <w:bCs/>
      </w:rPr>
    </w:tblStylePr>
    <w:tblStylePr w:type="lastCol">
      <w:rPr>
        <w:b w:val="0"/>
        <w:bCs/>
      </w:rPr>
    </w:tblStylePr>
  </w:style>
  <w:style w:type="table" w:styleId="LightList">
    <w:name w:val="Light List"/>
    <w:basedOn w:val="TableNormal"/>
    <w:uiPriority w:val="61"/>
    <w:rsid w:val="00A97A46"/>
    <w:pPr>
      <w:spacing w:before="120" w:after="120" w:line="240" w:lineRule="auto"/>
      <w:jc w:val="left"/>
    </w:pPr>
    <w:tblPr>
      <w:tblStyleRowBandSize w:val="1"/>
      <w:tblStyleColBandSize w:val="1"/>
      <w:tblBorders>
        <w:top w:val="single" w:sz="4" w:space="0" w:color="4E5053" w:themeColor="text1"/>
        <w:left w:val="single" w:sz="4" w:space="0" w:color="4E5053" w:themeColor="text1"/>
        <w:bottom w:val="single" w:sz="4" w:space="0" w:color="4E5053" w:themeColor="text1"/>
        <w:right w:val="single" w:sz="4" w:space="0" w:color="4E5053" w:themeColor="text1"/>
        <w:insideH w:val="single" w:sz="4" w:space="0" w:color="4E5053" w:themeColor="text1"/>
        <w:insideV w:val="single" w:sz="4" w:space="0" w:color="4E5053" w:themeColor="text1"/>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insideH w:val="single" w:sz="4" w:space="0" w:color="FFFFFF" w:themeColor="background2"/>
          <w:insideV w:val="single" w:sz="4" w:space="0" w:color="FFFFFF" w:themeColor="background2"/>
        </w:tcBorders>
        <w:shd w:val="clear" w:color="auto" w:fill="4E5053" w:themeFill="text1"/>
      </w:tcPr>
    </w:tblStylePr>
    <w:tblStylePr w:type="lastRow">
      <w:pPr>
        <w:spacing w:before="0" w:after="0" w:line="240" w:lineRule="auto"/>
      </w:pPr>
      <w:rPr>
        <w:b/>
        <w:bCs/>
      </w:rPr>
      <w:tblPr/>
      <w:tcPr>
        <w:tcBorders>
          <w:top w:val="double" w:sz="6" w:space="0" w:color="4E5053" w:themeColor="text1"/>
          <w:left w:val="single" w:sz="8" w:space="0" w:color="4E5053" w:themeColor="text1"/>
          <w:bottom w:val="single" w:sz="8" w:space="0" w:color="4E5053" w:themeColor="text1"/>
          <w:right w:val="single" w:sz="8" w:space="0" w:color="4E5053" w:themeColor="text1"/>
        </w:tcBorders>
      </w:tcPr>
    </w:tblStylePr>
    <w:tblStylePr w:type="firstCol">
      <w:rPr>
        <w:b w:val="0"/>
        <w:bCs/>
      </w:rPr>
    </w:tblStylePr>
    <w:tblStylePr w:type="lastCol">
      <w:rPr>
        <w:b w:val="0"/>
        <w:bCs/>
      </w:rPr>
    </w:tblStylePr>
    <w:tblStylePr w:type="band1Vert">
      <w:tblPr/>
      <w:tcPr>
        <w:tcBorders>
          <w:top w:val="single" w:sz="8" w:space="0" w:color="4E5053" w:themeColor="text1"/>
          <w:left w:val="single" w:sz="8" w:space="0" w:color="4E5053" w:themeColor="text1"/>
          <w:bottom w:val="single" w:sz="8" w:space="0" w:color="4E5053" w:themeColor="text1"/>
          <w:right w:val="single" w:sz="8" w:space="0" w:color="4E5053" w:themeColor="text1"/>
        </w:tcBorders>
      </w:tcPr>
    </w:tblStylePr>
    <w:tblStylePr w:type="band1Horz">
      <w:tblPr/>
      <w:tcPr>
        <w:tcBorders>
          <w:top w:val="single" w:sz="8" w:space="0" w:color="4E5053" w:themeColor="text1"/>
          <w:left w:val="single" w:sz="8" w:space="0" w:color="4E5053" w:themeColor="text1"/>
          <w:bottom w:val="single" w:sz="8" w:space="0" w:color="4E5053" w:themeColor="text1"/>
          <w:right w:val="single" w:sz="8" w:space="0" w:color="4E5053" w:themeColor="text1"/>
        </w:tcBorders>
      </w:tcPr>
    </w:tblStylePr>
    <w:tblStylePr w:type="nwCell">
      <w:tblPr/>
      <w:tcPr>
        <w:tcBorders>
          <w:left w:val="single" w:sz="4" w:space="0" w:color="4E5053" w:themeColor="text1"/>
        </w:tcBorders>
      </w:tcPr>
    </w:tblStylePr>
  </w:style>
  <w:style w:type="paragraph" w:styleId="Index1">
    <w:name w:val="index 1"/>
    <w:basedOn w:val="Normal"/>
    <w:next w:val="Normal"/>
    <w:autoRedefine/>
    <w:uiPriority w:val="99"/>
    <w:semiHidden/>
    <w:unhideWhenUsed/>
    <w:rsid w:val="00470434"/>
    <w:pPr>
      <w:spacing w:line="240" w:lineRule="auto"/>
      <w:ind w:left="220" w:hanging="220"/>
    </w:pPr>
  </w:style>
  <w:style w:type="paragraph" w:styleId="TableofFigures">
    <w:name w:val="table of figures"/>
    <w:basedOn w:val="Normal"/>
    <w:next w:val="Normal"/>
    <w:uiPriority w:val="99"/>
    <w:semiHidden/>
    <w:unhideWhenUsed/>
    <w:rsid w:val="00A43DE9"/>
  </w:style>
  <w:style w:type="character" w:styleId="Hyperlink">
    <w:name w:val="Hyperlink"/>
    <w:basedOn w:val="DefaultParagraphFont"/>
    <w:uiPriority w:val="99"/>
    <w:unhideWhenUsed/>
    <w:rsid w:val="00516FE3"/>
    <w:rPr>
      <w:color w:val="00A6CB" w:themeColor="hyperlink"/>
      <w:u w:val="single"/>
    </w:rPr>
  </w:style>
  <w:style w:type="table" w:styleId="MediumGrid2">
    <w:name w:val="Medium Grid 2"/>
    <w:basedOn w:val="TableNormal"/>
    <w:uiPriority w:val="68"/>
    <w:rsid w:val="00E72602"/>
    <w:pPr>
      <w:spacing w:after="0" w:line="240" w:lineRule="auto"/>
    </w:pPr>
    <w:rPr>
      <w:rFonts w:asciiTheme="majorHAnsi" w:eastAsiaTheme="majorEastAsia" w:hAnsiTheme="majorHAnsi" w:cstheme="majorBidi"/>
    </w:rPr>
    <w:tblPr>
      <w:tblStyleRowBandSize w:val="1"/>
      <w:tblStyleColBandSize w:val="1"/>
      <w:tblBorders>
        <w:top w:val="single" w:sz="8" w:space="0" w:color="4E5053" w:themeColor="text1"/>
        <w:left w:val="single" w:sz="8" w:space="0" w:color="4E5053" w:themeColor="text1"/>
        <w:bottom w:val="single" w:sz="8" w:space="0" w:color="4E5053" w:themeColor="text1"/>
        <w:right w:val="single" w:sz="8" w:space="0" w:color="4E5053" w:themeColor="text1"/>
        <w:insideH w:val="single" w:sz="8" w:space="0" w:color="4E5053" w:themeColor="text1"/>
        <w:insideV w:val="single" w:sz="8" w:space="0" w:color="4E5053" w:themeColor="text1"/>
      </w:tblBorders>
    </w:tblPr>
    <w:tcPr>
      <w:shd w:val="clear" w:color="auto" w:fill="auto"/>
    </w:tcPr>
    <w:tblStylePr w:type="firstRow">
      <w:rPr>
        <w:b/>
        <w:bCs/>
        <w:color w:val="4E5053" w:themeColor="text1"/>
      </w:rPr>
      <w:tblPr/>
      <w:tcPr>
        <w:shd w:val="clear" w:color="auto" w:fill="EDEDEE" w:themeFill="text1" w:themeFillTint="19"/>
      </w:tcPr>
    </w:tblStylePr>
    <w:tblStylePr w:type="lastRow">
      <w:rPr>
        <w:b/>
        <w:bCs/>
        <w:color w:val="4E5053" w:themeColor="text1"/>
      </w:rPr>
      <w:tblPr/>
      <w:tcPr>
        <w:tcBorders>
          <w:top w:val="single" w:sz="12" w:space="0" w:color="4E5053" w:themeColor="text1"/>
          <w:left w:val="nil"/>
          <w:bottom w:val="nil"/>
          <w:right w:val="nil"/>
          <w:insideH w:val="nil"/>
          <w:insideV w:val="nil"/>
        </w:tcBorders>
        <w:shd w:val="clear" w:color="auto" w:fill="FFFFFF" w:themeFill="background1"/>
      </w:tcPr>
    </w:tblStylePr>
    <w:tblStylePr w:type="firstCol">
      <w:rPr>
        <w:b/>
        <w:bCs/>
        <w:color w:val="4E505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E5053" w:themeColor="text1"/>
      </w:rPr>
      <w:tblPr/>
      <w:tcPr>
        <w:tcBorders>
          <w:top w:val="nil"/>
          <w:left w:val="nil"/>
          <w:bottom w:val="nil"/>
          <w:right w:val="nil"/>
          <w:insideH w:val="nil"/>
          <w:insideV w:val="nil"/>
        </w:tcBorders>
        <w:shd w:val="clear" w:color="auto" w:fill="DADBDD" w:themeFill="text1" w:themeFillTint="33"/>
      </w:tcPr>
    </w:tblStylePr>
    <w:tblStylePr w:type="band1Vert">
      <w:tblPr/>
      <w:tcPr>
        <w:shd w:val="clear" w:color="auto" w:fill="A5A7AA" w:themeFill="text1" w:themeFillTint="7F"/>
      </w:tcPr>
    </w:tblStylePr>
    <w:tblStylePr w:type="band1Horz">
      <w:tblPr/>
      <w:tcPr>
        <w:tcBorders>
          <w:insideH w:val="single" w:sz="6" w:space="0" w:color="4E5053" w:themeColor="text1"/>
          <w:insideV w:val="single" w:sz="6" w:space="0" w:color="4E5053" w:themeColor="text1"/>
        </w:tcBorders>
        <w:shd w:val="clear" w:color="auto" w:fill="A5A7AA" w:themeFill="text1" w:themeFillTint="7F"/>
      </w:tcPr>
    </w:tblStylePr>
    <w:tblStylePr w:type="nwCell">
      <w:tblPr/>
      <w:tcPr>
        <w:shd w:val="clear" w:color="auto" w:fill="FFFFFF" w:themeFill="background1"/>
      </w:tcPr>
    </w:tblStylePr>
  </w:style>
  <w:style w:type="table" w:styleId="LightList-Accent1">
    <w:name w:val="Light List Accent 1"/>
    <w:basedOn w:val="TableNormal"/>
    <w:uiPriority w:val="61"/>
    <w:rsid w:val="00576C38"/>
    <w:pPr>
      <w:spacing w:after="0" w:line="240" w:lineRule="auto"/>
      <w:jc w:val="left"/>
    </w:pPr>
    <w:tblPr>
      <w:tblStyleRowBandSize w:val="1"/>
      <w:tblStyleColBandSize w:val="1"/>
      <w:tbl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rPr>
        <w:tblHeader/>
      </w:trPr>
      <w:tcPr>
        <w:tcBorders>
          <w:top w:val="nil"/>
          <w:left w:val="single" w:sz="4" w:space="0" w:color="FFFFFF" w:themeColor="background2"/>
          <w:bottom w:val="nil"/>
          <w:right w:val="nil"/>
          <w:insideH w:val="single" w:sz="4" w:space="0" w:color="FFFFFF" w:themeColor="background2"/>
          <w:insideV w:val="single" w:sz="4" w:space="0" w:color="FFFFFF" w:themeColor="background2"/>
        </w:tcBorders>
        <w:shd w:val="clear" w:color="auto" w:fill="68B937" w:themeFill="accent1"/>
        <w:vAlign w:val="center"/>
      </w:tcPr>
    </w:tblStylePr>
    <w:tblStylePr w:type="lastRow">
      <w:pPr>
        <w:spacing w:before="0" w:after="0" w:line="240" w:lineRule="auto"/>
      </w:pPr>
      <w:rPr>
        <w:b/>
        <w:bCs/>
      </w:rPr>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l2br w:val="nil"/>
          <w:tr2bl w:val="nil"/>
        </w:tcBorders>
      </w:tcPr>
    </w:tblStylePr>
    <w:tblStylePr w:type="firstCol">
      <w:rPr>
        <w:b w:val="0"/>
        <w:bCs/>
      </w:rPr>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lastCol">
      <w:rPr>
        <w:b w:val="0"/>
        <w:bCs/>
      </w:rPr>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band1Vert">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band2Vert">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band1Horz">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band2Horz">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neCell">
      <w:tblPr/>
      <w:tcPr>
        <w:tcBorders>
          <w:top w:val="nil"/>
          <w:left w:val="nil"/>
          <w:bottom w:val="nil"/>
          <w:right w:val="nil"/>
          <w:insideH w:val="nil"/>
          <w:insideV w:val="nil"/>
        </w:tcBorders>
      </w:tcPr>
    </w:tblStylePr>
    <w:tblStylePr w:type="nwCell">
      <w:tblPr/>
      <w:tcPr>
        <w:tcBorders>
          <w:top w:val="nil"/>
          <w:left w:val="single" w:sz="4" w:space="0" w:color="68B937" w:themeColor="accent1"/>
          <w:bottom w:val="nil"/>
          <w:right w:val="nil"/>
          <w:insideH w:val="nil"/>
          <w:insideV w:val="nil"/>
        </w:tcBorders>
      </w:tcPr>
    </w:tblStylePr>
    <w:tblStylePr w:type="seCell">
      <w:pPr>
        <w:wordWrap/>
        <w:contextualSpacing w:val="0"/>
        <w:mirrorIndents w:val="0"/>
      </w:pPr>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swCell">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style>
  <w:style w:type="table" w:styleId="MediumShading2-Accent2">
    <w:name w:val="Medium Shading 2 Accent 2"/>
    <w:basedOn w:val="TableNormal"/>
    <w:uiPriority w:val="64"/>
    <w:rsid w:val="00FD77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6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6CB" w:themeFill="accent2"/>
      </w:tcPr>
    </w:tblStylePr>
    <w:tblStylePr w:type="lastCol">
      <w:rPr>
        <w:b/>
        <w:bCs/>
        <w:color w:val="FFFFFF" w:themeColor="background1"/>
      </w:rPr>
      <w:tblPr/>
      <w:tcPr>
        <w:tcBorders>
          <w:left w:val="nil"/>
          <w:right w:val="nil"/>
          <w:insideH w:val="nil"/>
          <w:insideV w:val="nil"/>
        </w:tcBorders>
        <w:shd w:val="clear" w:color="auto" w:fill="00A6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
    <w:name w:val="Medium Grid 1"/>
    <w:basedOn w:val="TableNormal"/>
    <w:uiPriority w:val="67"/>
    <w:rsid w:val="00FD77E2"/>
    <w:pPr>
      <w:spacing w:after="0" w:line="240" w:lineRule="auto"/>
    </w:pPr>
    <w:tblPr>
      <w:tblStyleRowBandSize w:val="1"/>
      <w:tblStyleColBandSize w:val="1"/>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000000"/>
    </w:tcPr>
    <w:tblStylePr w:type="firstRow">
      <w:rPr>
        <w:b/>
        <w:bCs/>
      </w:rPr>
      <w:tblPr/>
      <w:tcPr>
        <w:shd w:val="clear" w:color="auto" w:fill="00A6CB"/>
      </w:tcPr>
    </w:tblStylePr>
    <w:tblStylePr w:type="lastRow">
      <w:rPr>
        <w:b/>
        <w:bCs/>
      </w:rPr>
      <w:tblPr/>
      <w:tcPr>
        <w:tcBorders>
          <w:top w:val="single" w:sz="18" w:space="0" w:color="787B7F" w:themeColor="text1" w:themeTint="BF"/>
        </w:tcBorders>
      </w:tcPr>
    </w:tblStylePr>
    <w:tblStylePr w:type="firstCol">
      <w:rPr>
        <w:b/>
        <w:bCs/>
      </w:rPr>
    </w:tblStylePr>
    <w:tblStylePr w:type="lastCol">
      <w:rPr>
        <w:b/>
        <w:bCs/>
      </w:rPr>
    </w:tblStylePr>
    <w:tblStylePr w:type="band1Vert">
      <w:rPr>
        <w:rFonts w:asciiTheme="minorHAnsi" w:hAnsiTheme="minorHAnsi"/>
      </w:rPr>
      <w:tblPr/>
      <w:tcPr>
        <w:shd w:val="clear" w:color="auto" w:fill="FFFFFF" w:themeFill="background1"/>
      </w:tcPr>
    </w:tblStylePr>
    <w:tblStylePr w:type="band1Horz">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FFFFFF" w:themeFill="background1"/>
      </w:tcPr>
    </w:tblStylePr>
    <w:tblStylePr w:type="band2Horz">
      <w:rPr>
        <w:rFonts w:asciiTheme="minorHAnsi" w:hAnsiTheme="minorHAnsi"/>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FFFFFF" w:themeFill="background1"/>
      </w:tcPr>
    </w:tblStylePr>
  </w:style>
  <w:style w:type="table" w:styleId="LightShading">
    <w:name w:val="Light Shading"/>
    <w:basedOn w:val="TableNormal"/>
    <w:uiPriority w:val="60"/>
    <w:rsid w:val="00B35375"/>
    <w:pPr>
      <w:spacing w:before="120" w:after="120" w:line="240" w:lineRule="auto"/>
      <w:jc w:val="left"/>
    </w:pPr>
    <w:rPr>
      <w:color w:val="008380"/>
    </w:rPr>
    <w:tblPr>
      <w:tblStyleRowBandSize w:val="1"/>
      <w:tblStyleColBandSize w:val="1"/>
    </w:tblPr>
    <w:tcPr>
      <w:shd w:val="clear" w:color="auto" w:fill="FFFFFF" w:themeFill="background1"/>
    </w:tcPr>
    <w:tblStylePr w:type="firstRow">
      <w:pPr>
        <w:wordWrap/>
        <w:spacing w:beforeLines="0" w:before="120" w:beforeAutospacing="0" w:afterLines="0" w:after="120" w:afterAutospacing="0" w:line="240" w:lineRule="auto"/>
        <w:jc w:val="left"/>
      </w:pPr>
      <w:rPr>
        <w:b/>
        <w:bCs/>
      </w:rPr>
      <w:tblPr/>
      <w:tcPr>
        <w:tcBorders>
          <w:top w:val="single" w:sz="2" w:space="0" w:color="008380"/>
          <w:left w:val="single" w:sz="2" w:space="0" w:color="008380"/>
          <w:bottom w:val="single" w:sz="2" w:space="0" w:color="008380"/>
          <w:right w:val="single" w:sz="2" w:space="0" w:color="008380"/>
          <w:insideH w:val="single" w:sz="2" w:space="0" w:color="008380"/>
          <w:insideV w:val="single" w:sz="2" w:space="0" w:color="008380"/>
        </w:tcBorders>
        <w:shd w:val="clear" w:color="auto" w:fill="FFFFFF" w:themeFill="background1"/>
      </w:tcPr>
    </w:tblStylePr>
    <w:tblStylePr w:type="lastRow">
      <w:pPr>
        <w:spacing w:before="0" w:after="0" w:line="240" w:lineRule="auto"/>
      </w:pPr>
      <w:rPr>
        <w:b/>
        <w:bCs/>
      </w:rPr>
      <w:tblPr/>
      <w:tcPr>
        <w:tcBorders>
          <w:top w:val="single" w:sz="8" w:space="0" w:color="4E5053" w:themeColor="text1"/>
          <w:left w:val="nil"/>
          <w:bottom w:val="single" w:sz="8" w:space="0" w:color="4E5053" w:themeColor="text1"/>
          <w:right w:val="nil"/>
          <w:insideH w:val="nil"/>
          <w:insideV w:val="nil"/>
        </w:tcBorders>
      </w:tcPr>
    </w:tblStylePr>
    <w:tblStylePr w:type="firstCol">
      <w:rPr>
        <w:b w:val="0"/>
        <w:bCs/>
      </w:rPr>
    </w:tblStylePr>
    <w:tblStylePr w:type="lastCol">
      <w:rPr>
        <w:b w:val="0"/>
        <w:bCs/>
      </w:rPr>
    </w:tblStylePr>
    <w:tblStylePr w:type="band1Vert">
      <w:rPr>
        <w:color w:val="008380"/>
      </w:rPr>
      <w:tblPr/>
      <w:tcPr>
        <w:tcBorders>
          <w:top w:val="nil"/>
          <w:left w:val="nil"/>
          <w:bottom w:val="nil"/>
          <w:right w:val="nil"/>
          <w:insideH w:val="nil"/>
          <w:insideV w:val="nil"/>
        </w:tcBorders>
        <w:shd w:val="clear" w:color="auto" w:fill="FFFFFF" w:themeFill="background1"/>
      </w:tcPr>
    </w:tblStylePr>
    <w:tblStylePr w:type="band2Vert">
      <w:tblPr/>
      <w:tcPr>
        <w:tcBorders>
          <w:top w:val="single" w:sz="2" w:space="0" w:color="008380"/>
          <w:left w:val="single" w:sz="2" w:space="0" w:color="008380"/>
          <w:bottom w:val="single" w:sz="2" w:space="0" w:color="008380"/>
          <w:right w:val="single" w:sz="2" w:space="0" w:color="008380"/>
          <w:insideH w:val="single" w:sz="2" w:space="0" w:color="008380"/>
          <w:insideV w:val="single" w:sz="2" w:space="0" w:color="008380"/>
        </w:tcBorders>
        <w:shd w:val="clear" w:color="auto" w:fill="FFFFFF" w:themeFill="background1"/>
      </w:tcPr>
    </w:tblStylePr>
    <w:tblStylePr w:type="band1Horz">
      <w:tblPr/>
      <w:tcPr>
        <w:tcBorders>
          <w:top w:val="single" w:sz="2" w:space="0" w:color="008380"/>
          <w:left w:val="single" w:sz="2" w:space="0" w:color="008380"/>
          <w:bottom w:val="single" w:sz="2" w:space="0" w:color="008380"/>
          <w:right w:val="single" w:sz="2" w:space="0" w:color="008380"/>
          <w:insideH w:val="single" w:sz="2" w:space="0" w:color="008380"/>
          <w:insideV w:val="single" w:sz="2" w:space="0" w:color="008380"/>
        </w:tcBorders>
        <w:shd w:val="clear" w:color="auto" w:fill="FFFFFF" w:themeFill="background1"/>
      </w:tcPr>
    </w:tblStylePr>
    <w:tblStylePr w:type="band2Horz">
      <w:tblPr/>
      <w:tcPr>
        <w:tcBorders>
          <w:top w:val="single" w:sz="2" w:space="0" w:color="008380"/>
          <w:left w:val="single" w:sz="2" w:space="0" w:color="008380"/>
          <w:bottom w:val="single" w:sz="2" w:space="0" w:color="008380"/>
          <w:right w:val="single" w:sz="2" w:space="0" w:color="008380"/>
          <w:insideH w:val="single" w:sz="2" w:space="0" w:color="008380"/>
          <w:insideV w:val="single" w:sz="2" w:space="0" w:color="008380"/>
        </w:tcBorders>
        <w:shd w:val="clear" w:color="auto" w:fill="FFFFFF" w:themeFill="background1"/>
      </w:tcPr>
    </w:tblStylePr>
  </w:style>
  <w:style w:type="table" w:styleId="LightList-Accent6">
    <w:name w:val="Light List Accent 6"/>
    <w:basedOn w:val="TableNormal"/>
    <w:uiPriority w:val="61"/>
    <w:rsid w:val="000A397B"/>
    <w:pPr>
      <w:spacing w:before="120" w:after="120" w:line="240" w:lineRule="auto"/>
      <w:jc w:val="left"/>
    </w:pPr>
    <w:tblPr>
      <w:tblStyleRowBandSize w:val="1"/>
      <w:tblStyleColBandSize w:val="1"/>
      <w:tblBorders>
        <w:top w:val="single" w:sz="8" w:space="0" w:color="FFBB2D" w:themeColor="accent6"/>
        <w:left w:val="single" w:sz="8" w:space="0" w:color="FFBB2D" w:themeColor="accent6"/>
        <w:bottom w:val="single" w:sz="8" w:space="0" w:color="FFBB2D" w:themeColor="accent6"/>
        <w:right w:val="single" w:sz="8" w:space="0" w:color="FFBB2D" w:themeColor="accent6"/>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FFBB2D" w:themeFill="accent6"/>
      </w:tcPr>
    </w:tblStylePr>
    <w:tblStylePr w:type="lastRow">
      <w:pPr>
        <w:spacing w:before="0" w:after="0" w:line="240" w:lineRule="auto"/>
      </w:pPr>
      <w:rPr>
        <w:b/>
        <w:bCs/>
      </w:rPr>
      <w:tblPr/>
      <w:tcPr>
        <w:tcBorders>
          <w:top w:val="double" w:sz="6" w:space="0" w:color="FFBB2D" w:themeColor="accent6"/>
          <w:left w:val="single" w:sz="8" w:space="0" w:color="FFBB2D" w:themeColor="accent6"/>
          <w:bottom w:val="single" w:sz="8" w:space="0" w:color="FFBB2D" w:themeColor="accent6"/>
          <w:right w:val="single" w:sz="8" w:space="0" w:color="FFBB2D" w:themeColor="accent6"/>
        </w:tcBorders>
      </w:tcPr>
    </w:tblStylePr>
    <w:tblStylePr w:type="firstCol">
      <w:rPr>
        <w:b w:val="0"/>
        <w:bCs/>
      </w:rPr>
    </w:tblStylePr>
    <w:tblStylePr w:type="lastCol">
      <w:rPr>
        <w:b w:val="0"/>
        <w:bCs/>
      </w:rPr>
    </w:tblStylePr>
    <w:tblStylePr w:type="band1Vert">
      <w:tblPr/>
      <w:tcPr>
        <w:tcBorders>
          <w:top w:val="single" w:sz="8" w:space="0" w:color="FFBB2D" w:themeColor="accent6"/>
          <w:left w:val="single" w:sz="8" w:space="0" w:color="FFBB2D" w:themeColor="accent6"/>
          <w:bottom w:val="single" w:sz="8" w:space="0" w:color="FFBB2D" w:themeColor="accent6"/>
          <w:right w:val="single" w:sz="8" w:space="0" w:color="FFBB2D" w:themeColor="accent6"/>
        </w:tcBorders>
      </w:tcPr>
    </w:tblStylePr>
    <w:tblStylePr w:type="band1Horz">
      <w:tblPr/>
      <w:tcPr>
        <w:tcBorders>
          <w:top w:val="single" w:sz="8" w:space="0" w:color="FFBB2D" w:themeColor="accent6"/>
          <w:left w:val="single" w:sz="8" w:space="0" w:color="FFBB2D" w:themeColor="accent6"/>
          <w:bottom w:val="single" w:sz="8" w:space="0" w:color="FFBB2D" w:themeColor="accent6"/>
          <w:right w:val="single" w:sz="8" w:space="0" w:color="FFBB2D" w:themeColor="accent6"/>
        </w:tcBorders>
      </w:tcPr>
    </w:tblStylePr>
  </w:style>
  <w:style w:type="table" w:styleId="LightGrid">
    <w:name w:val="Light Grid"/>
    <w:basedOn w:val="TableNormal"/>
    <w:uiPriority w:val="62"/>
    <w:rsid w:val="00B35375"/>
    <w:pPr>
      <w:spacing w:before="120" w:after="120" w:line="240" w:lineRule="auto"/>
      <w:jc w:val="left"/>
    </w:pPr>
    <w:tblPr>
      <w:tblStyleRowBandSize w:val="1"/>
      <w:tblStyleColBandSize w:val="1"/>
      <w:tblBorders>
        <w:top w:val="single" w:sz="8" w:space="0" w:color="4E5053" w:themeColor="text1"/>
        <w:left w:val="single" w:sz="8" w:space="0" w:color="4E5053" w:themeColor="text1"/>
        <w:bottom w:val="single" w:sz="8" w:space="0" w:color="4E5053" w:themeColor="text1"/>
        <w:right w:val="single" w:sz="8" w:space="0" w:color="4E5053" w:themeColor="text1"/>
        <w:insideH w:val="single" w:sz="8" w:space="0" w:color="4E5053" w:themeColor="text1"/>
        <w:insideV w:val="single" w:sz="8" w:space="0" w:color="4E5053" w:themeColor="text1"/>
      </w:tblBorders>
    </w:tblPr>
    <w:tblStylePr w:type="firstRow">
      <w:pPr>
        <w:wordWrap/>
        <w:spacing w:beforeLines="0" w:before="120" w:beforeAutospacing="0" w:afterLines="0" w:after="120" w:afterAutospacing="0" w:line="240" w:lineRule="auto"/>
        <w:jc w:val="left"/>
      </w:pPr>
      <w:rPr>
        <w:rFonts w:asciiTheme="minorHAnsi" w:eastAsiaTheme="majorEastAsia" w:hAnsiTheme="minorHAnsi" w:cstheme="majorBidi"/>
        <w:b/>
        <w:bCs/>
      </w:rPr>
      <w:tblPr/>
      <w:tcPr>
        <w:tcBorders>
          <w:top w:val="single" w:sz="8" w:space="0" w:color="4E5053" w:themeColor="text1"/>
          <w:left w:val="single" w:sz="8" w:space="0" w:color="4E5053" w:themeColor="text1"/>
          <w:bottom w:val="single" w:sz="18" w:space="0" w:color="4E5053" w:themeColor="text1"/>
          <w:right w:val="single" w:sz="8" w:space="0" w:color="4E5053" w:themeColor="text1"/>
          <w:insideH w:val="nil"/>
          <w:insideV w:val="single" w:sz="8" w:space="0" w:color="4E505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5053" w:themeColor="text1"/>
          <w:left w:val="single" w:sz="8" w:space="0" w:color="4E5053" w:themeColor="text1"/>
          <w:bottom w:val="single" w:sz="8" w:space="0" w:color="4E5053" w:themeColor="text1"/>
          <w:right w:val="single" w:sz="8" w:space="0" w:color="4E5053" w:themeColor="text1"/>
          <w:insideH w:val="nil"/>
          <w:insideV w:val="single" w:sz="8" w:space="0" w:color="4E5053" w:themeColor="text1"/>
        </w:tcBorders>
      </w:tcPr>
    </w:tblStylePr>
    <w:tblStylePr w:type="firstCol">
      <w:rPr>
        <w:rFonts w:asciiTheme="minorHAnsi" w:eastAsiaTheme="majorEastAsia" w:hAnsiTheme="minorHAnsi" w:cstheme="majorBidi"/>
        <w:b w:val="0"/>
        <w:bCs/>
      </w:rPr>
    </w:tblStylePr>
    <w:tblStylePr w:type="lastCol">
      <w:rPr>
        <w:rFonts w:asciiTheme="minorHAnsi" w:eastAsiaTheme="majorEastAsia" w:hAnsiTheme="minorHAnsi" w:cstheme="majorBidi"/>
        <w:b w:val="0"/>
        <w:bCs/>
      </w:rPr>
      <w:tblPr/>
      <w:tcPr>
        <w:tcBorders>
          <w:top w:val="single" w:sz="8" w:space="0" w:color="4E5053" w:themeColor="text1"/>
          <w:left w:val="single" w:sz="8" w:space="0" w:color="4E5053" w:themeColor="text1"/>
          <w:bottom w:val="single" w:sz="8" w:space="0" w:color="4E5053" w:themeColor="text1"/>
          <w:right w:val="single" w:sz="8" w:space="0" w:color="4E5053" w:themeColor="text1"/>
        </w:tcBorders>
      </w:tcPr>
    </w:tblStylePr>
    <w:tblStylePr w:type="band1Vert">
      <w:tblPr/>
      <w:tcPr>
        <w:shd w:val="clear" w:color="auto" w:fill="FFFFFF" w:themeFill="background1"/>
      </w:tcPr>
    </w:tblStylePr>
    <w:tblStylePr w:type="band1Horz">
      <w:tblPr/>
      <w:tcPr>
        <w:shd w:val="clear" w:color="auto" w:fill="FFFFFF" w:themeFill="background1"/>
      </w:tcPr>
    </w:tblStylePr>
    <w:tblStylePr w:type="band2Horz">
      <w:tblPr/>
      <w:tcPr>
        <w:tcBorders>
          <w:top w:val="single" w:sz="8" w:space="0" w:color="4E5053" w:themeColor="text1"/>
          <w:left w:val="single" w:sz="8" w:space="0" w:color="4E5053" w:themeColor="text1"/>
          <w:bottom w:val="single" w:sz="8" w:space="0" w:color="4E5053" w:themeColor="text1"/>
          <w:right w:val="single" w:sz="8" w:space="0" w:color="4E5053" w:themeColor="text1"/>
          <w:insideV w:val="single" w:sz="8" w:space="0" w:color="4E5053" w:themeColor="text1"/>
        </w:tcBorders>
      </w:tcPr>
    </w:tblStylePr>
  </w:style>
  <w:style w:type="table" w:styleId="MediumShading1">
    <w:name w:val="Medium Shading 1"/>
    <w:basedOn w:val="TableNormal"/>
    <w:uiPriority w:val="63"/>
    <w:rsid w:val="00607D05"/>
    <w:pPr>
      <w:spacing w:before="120" w:after="120" w:line="240" w:lineRule="auto"/>
      <w:jc w:val="left"/>
    </w:pPr>
    <w:tblPr>
      <w:tblStyleRowBandSize w:val="1"/>
      <w:tblStyleColBandSize w:val="1"/>
      <w:tblBorders>
        <w:top w:val="single" w:sz="8" w:space="0" w:color="787B7F" w:themeColor="text1" w:themeTint="BF"/>
        <w:left w:val="single" w:sz="8" w:space="0" w:color="787B7F" w:themeColor="text1" w:themeTint="BF"/>
        <w:bottom w:val="single" w:sz="8" w:space="0" w:color="787B7F" w:themeColor="text1" w:themeTint="BF"/>
        <w:right w:val="single" w:sz="8" w:space="0" w:color="787B7F" w:themeColor="text1" w:themeTint="BF"/>
        <w:insideH w:val="single" w:sz="8" w:space="0" w:color="787B7F" w:themeColor="text1"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787B7F" w:themeColor="text1" w:themeTint="BF"/>
          <w:left w:val="single" w:sz="8" w:space="0" w:color="787B7F" w:themeColor="text1" w:themeTint="BF"/>
          <w:bottom w:val="single" w:sz="8" w:space="0" w:color="787B7F" w:themeColor="text1" w:themeTint="BF"/>
          <w:right w:val="single" w:sz="8" w:space="0" w:color="787B7F" w:themeColor="text1" w:themeTint="BF"/>
          <w:insideH w:val="nil"/>
          <w:insideV w:val="nil"/>
        </w:tcBorders>
        <w:shd w:val="clear" w:color="auto" w:fill="4E5053" w:themeFill="text1"/>
      </w:tcPr>
    </w:tblStylePr>
    <w:tblStylePr w:type="lastRow">
      <w:pPr>
        <w:spacing w:before="0" w:after="0" w:line="240" w:lineRule="auto"/>
      </w:pPr>
      <w:rPr>
        <w:b/>
        <w:bCs/>
      </w:rPr>
      <w:tblPr/>
      <w:tcPr>
        <w:tcBorders>
          <w:top w:val="double" w:sz="6" w:space="0" w:color="787B7F" w:themeColor="text1" w:themeTint="BF"/>
          <w:left w:val="single" w:sz="8" w:space="0" w:color="787B7F" w:themeColor="text1" w:themeTint="BF"/>
          <w:bottom w:val="single" w:sz="8" w:space="0" w:color="787B7F" w:themeColor="text1" w:themeTint="BF"/>
          <w:right w:val="single" w:sz="8" w:space="0" w:color="787B7F" w:themeColor="text1" w:themeTint="BF"/>
          <w:insideH w:val="nil"/>
          <w:insideV w:val="nil"/>
        </w:tcBorders>
      </w:tcPr>
    </w:tblStylePr>
    <w:tblStylePr w:type="firstCol">
      <w:rPr>
        <w:b w:val="0"/>
        <w:bCs/>
      </w:rPr>
    </w:tblStylePr>
    <w:tblStylePr w:type="lastCol">
      <w:rPr>
        <w:b w:val="0"/>
        <w:bCs/>
      </w:rPr>
    </w:tblStylePr>
    <w:tblStylePr w:type="band1Vert">
      <w:tblPr/>
      <w:tcPr>
        <w:shd w:val="clear" w:color="auto" w:fill="D2D3D5" w:themeFill="text1" w:themeFillTint="3F"/>
      </w:tcPr>
    </w:tblStylePr>
    <w:tblStylePr w:type="band1Horz">
      <w:tblPr/>
      <w:tcPr>
        <w:tcBorders>
          <w:insideH w:val="nil"/>
          <w:insideV w:val="nil"/>
        </w:tcBorders>
        <w:shd w:val="clear" w:color="auto" w:fill="D2D3D5" w:themeFill="text1"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07D05"/>
    <w:pPr>
      <w:spacing w:before="120" w:after="120" w:line="240" w:lineRule="auto"/>
      <w:jc w:val="left"/>
    </w:pPr>
    <w:tblPr>
      <w:tblStyleRowBandSize w:val="1"/>
      <w:tblStyleColBandSize w:val="1"/>
      <w:tblBorders>
        <w:top w:val="single" w:sz="8" w:space="0" w:color="0067CE" w:themeColor="accent3" w:themeTint="BF"/>
        <w:left w:val="single" w:sz="8" w:space="0" w:color="0067CE" w:themeColor="accent3" w:themeTint="BF"/>
        <w:bottom w:val="single" w:sz="8" w:space="0" w:color="0067CE" w:themeColor="accent3" w:themeTint="BF"/>
        <w:right w:val="single" w:sz="8" w:space="0" w:color="0067CE" w:themeColor="accent3" w:themeTint="BF"/>
        <w:insideH w:val="single" w:sz="8" w:space="0" w:color="0067CE" w:themeColor="accent3"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0067CE" w:themeColor="accent3" w:themeTint="BF"/>
          <w:left w:val="single" w:sz="8" w:space="0" w:color="0067CE" w:themeColor="accent3" w:themeTint="BF"/>
          <w:bottom w:val="single" w:sz="8" w:space="0" w:color="0067CE" w:themeColor="accent3" w:themeTint="BF"/>
          <w:right w:val="single" w:sz="8" w:space="0" w:color="0067CE" w:themeColor="accent3" w:themeTint="BF"/>
          <w:insideH w:val="nil"/>
          <w:insideV w:val="nil"/>
        </w:tcBorders>
        <w:shd w:val="clear" w:color="auto" w:fill="003569" w:themeFill="accent3"/>
      </w:tcPr>
    </w:tblStylePr>
    <w:tblStylePr w:type="lastRow">
      <w:pPr>
        <w:spacing w:before="0" w:after="0" w:line="240" w:lineRule="auto"/>
      </w:pPr>
      <w:rPr>
        <w:b/>
        <w:bCs/>
      </w:rPr>
      <w:tblPr/>
      <w:tcPr>
        <w:tcBorders>
          <w:top w:val="double" w:sz="6" w:space="0" w:color="0067CE" w:themeColor="accent3" w:themeTint="BF"/>
          <w:left w:val="single" w:sz="8" w:space="0" w:color="0067CE" w:themeColor="accent3" w:themeTint="BF"/>
          <w:bottom w:val="single" w:sz="8" w:space="0" w:color="0067CE" w:themeColor="accent3" w:themeTint="BF"/>
          <w:right w:val="single" w:sz="8" w:space="0" w:color="0067CE" w:themeColor="accent3" w:themeTint="BF"/>
          <w:insideH w:val="nil"/>
          <w:insideV w:val="nil"/>
        </w:tcBorders>
      </w:tcPr>
    </w:tblStylePr>
    <w:tblStylePr w:type="firstCol">
      <w:rPr>
        <w:b w:val="0"/>
        <w:bCs/>
      </w:rPr>
    </w:tblStylePr>
    <w:tblStylePr w:type="lastCol">
      <w:rPr>
        <w:b w:val="0"/>
        <w:bCs/>
      </w:rPr>
    </w:tblStylePr>
    <w:tblStylePr w:type="band1Vert">
      <w:tblPr/>
      <w:tcPr>
        <w:shd w:val="clear" w:color="auto" w:fill="9ACDFF" w:themeFill="accent3" w:themeFillTint="3F"/>
      </w:tcPr>
    </w:tblStylePr>
    <w:tblStylePr w:type="band1Horz">
      <w:tblPr/>
      <w:tcPr>
        <w:tcBorders>
          <w:insideH w:val="nil"/>
          <w:insideV w:val="nil"/>
        </w:tcBorders>
        <w:shd w:val="clear" w:color="auto" w:fill="9AC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07D05"/>
    <w:pPr>
      <w:spacing w:before="120" w:after="120" w:line="240" w:lineRule="auto"/>
      <w:jc w:val="left"/>
    </w:pPr>
    <w:tblPr>
      <w:tblStyleRowBandSize w:val="1"/>
      <w:tblStyleColBandSize w:val="1"/>
      <w:tblBorders>
        <w:top w:val="single" w:sz="8" w:space="0" w:color="FB9F3A" w:themeColor="accent4" w:themeTint="BF"/>
        <w:left w:val="single" w:sz="8" w:space="0" w:color="FB9F3A" w:themeColor="accent4" w:themeTint="BF"/>
        <w:bottom w:val="single" w:sz="8" w:space="0" w:color="FB9F3A" w:themeColor="accent4" w:themeTint="BF"/>
        <w:right w:val="single" w:sz="8" w:space="0" w:color="FB9F3A" w:themeColor="accent4" w:themeTint="BF"/>
        <w:insideH w:val="single" w:sz="8" w:space="0" w:color="FB9F3A" w:themeColor="accent4"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FB9F3A" w:themeColor="accent4" w:themeTint="BF"/>
          <w:left w:val="single" w:sz="8" w:space="0" w:color="FB9F3A" w:themeColor="accent4" w:themeTint="BF"/>
          <w:bottom w:val="single" w:sz="8" w:space="0" w:color="FB9F3A" w:themeColor="accent4" w:themeTint="BF"/>
          <w:right w:val="single" w:sz="8" w:space="0" w:color="FB9F3A" w:themeColor="accent4" w:themeTint="BF"/>
          <w:insideH w:val="nil"/>
          <w:insideV w:val="nil"/>
        </w:tcBorders>
        <w:shd w:val="clear" w:color="auto" w:fill="EF7F04" w:themeFill="accent4"/>
      </w:tcPr>
    </w:tblStylePr>
    <w:tblStylePr w:type="lastRow">
      <w:pPr>
        <w:spacing w:before="0" w:after="0" w:line="240" w:lineRule="auto"/>
      </w:pPr>
      <w:rPr>
        <w:b/>
        <w:bCs/>
      </w:rPr>
      <w:tblPr/>
      <w:tcPr>
        <w:tcBorders>
          <w:top w:val="double" w:sz="6" w:space="0" w:color="FB9F3A" w:themeColor="accent4" w:themeTint="BF"/>
          <w:left w:val="single" w:sz="8" w:space="0" w:color="FB9F3A" w:themeColor="accent4" w:themeTint="BF"/>
          <w:bottom w:val="single" w:sz="8" w:space="0" w:color="FB9F3A" w:themeColor="accent4" w:themeTint="BF"/>
          <w:right w:val="single" w:sz="8" w:space="0" w:color="FB9F3A" w:themeColor="accent4" w:themeTint="BF"/>
          <w:insideH w:val="nil"/>
          <w:insideV w:val="nil"/>
        </w:tcBorders>
      </w:tcPr>
    </w:tblStylePr>
    <w:tblStylePr w:type="firstCol">
      <w:rPr>
        <w:b w:val="0"/>
        <w:bCs/>
      </w:rPr>
    </w:tblStylePr>
    <w:tblStylePr w:type="lastCol">
      <w:rPr>
        <w:b w:val="0"/>
        <w:bCs/>
      </w:rPr>
    </w:tblStylePr>
    <w:tblStylePr w:type="band1Vert">
      <w:tblPr/>
      <w:tcPr>
        <w:shd w:val="clear" w:color="auto" w:fill="FEDFBE" w:themeFill="accent4" w:themeFillTint="3F"/>
      </w:tcPr>
    </w:tblStylePr>
    <w:tblStylePr w:type="band1Horz">
      <w:tblPr/>
      <w:tcPr>
        <w:tcBorders>
          <w:insideH w:val="nil"/>
          <w:insideV w:val="nil"/>
        </w:tcBorders>
        <w:shd w:val="clear" w:color="auto" w:fill="FEDFBE" w:themeFill="accent4" w:themeFillTint="3F"/>
      </w:tcPr>
    </w:tblStylePr>
    <w:tblStylePr w:type="band2Horz">
      <w:tblPr/>
      <w:tcPr>
        <w:tcBorders>
          <w:insideH w:val="nil"/>
          <w:insideV w:val="nil"/>
        </w:tcBorders>
      </w:tcPr>
    </w:tblStylePr>
  </w:style>
  <w:style w:type="table" w:styleId="MediumList2-Accent6">
    <w:name w:val="Medium List 2 Accent 6"/>
    <w:basedOn w:val="TableNormal"/>
    <w:uiPriority w:val="66"/>
    <w:rsid w:val="008F2536"/>
    <w:pPr>
      <w:spacing w:after="0" w:line="240" w:lineRule="auto"/>
    </w:pPr>
    <w:rPr>
      <w:rFonts w:asciiTheme="majorHAnsi" w:eastAsiaTheme="majorEastAsia" w:hAnsiTheme="majorHAnsi" w:cstheme="majorBidi"/>
    </w:rPr>
    <w:tblPr>
      <w:tblStyleRowBandSize w:val="1"/>
      <w:tblStyleColBandSize w:val="1"/>
      <w:tblBorders>
        <w:top w:val="single" w:sz="8" w:space="0" w:color="FFBB2D" w:themeColor="accent6"/>
        <w:left w:val="single" w:sz="8" w:space="0" w:color="FFBB2D" w:themeColor="accent6"/>
        <w:bottom w:val="single" w:sz="8" w:space="0" w:color="FFBB2D" w:themeColor="accent6"/>
        <w:right w:val="single" w:sz="8" w:space="0" w:color="FFBB2D" w:themeColor="accent6"/>
      </w:tblBorders>
    </w:tblPr>
    <w:tblStylePr w:type="firstRow">
      <w:rPr>
        <w:sz w:val="24"/>
        <w:szCs w:val="24"/>
      </w:rPr>
      <w:tblPr/>
      <w:tcPr>
        <w:tcBorders>
          <w:top w:val="nil"/>
          <w:left w:val="nil"/>
          <w:bottom w:val="single" w:sz="24" w:space="0" w:color="FFBB2D" w:themeColor="accent6"/>
          <w:right w:val="nil"/>
          <w:insideH w:val="nil"/>
          <w:insideV w:val="nil"/>
        </w:tcBorders>
        <w:shd w:val="clear" w:color="auto" w:fill="FFFFFF" w:themeFill="background1"/>
      </w:tcPr>
    </w:tblStylePr>
    <w:tblStylePr w:type="lastRow">
      <w:tblPr/>
      <w:tcPr>
        <w:tcBorders>
          <w:top w:val="single" w:sz="8" w:space="0" w:color="FFBB2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BB2D" w:themeColor="accent6"/>
          <w:insideH w:val="nil"/>
          <w:insideV w:val="nil"/>
        </w:tcBorders>
        <w:shd w:val="clear" w:color="auto" w:fill="FFFFFF" w:themeFill="background1"/>
      </w:tcPr>
    </w:tblStylePr>
    <w:tblStylePr w:type="lastCol">
      <w:tblPr/>
      <w:tcPr>
        <w:tcBorders>
          <w:top w:val="nil"/>
          <w:left w:val="single" w:sz="8" w:space="0" w:color="FFBB2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ECB" w:themeFill="accent6" w:themeFillTint="3F"/>
      </w:tcPr>
    </w:tblStylePr>
    <w:tblStylePr w:type="band1Horz">
      <w:tblPr/>
      <w:tcPr>
        <w:tcBorders>
          <w:top w:val="nil"/>
          <w:bottom w:val="nil"/>
          <w:insideH w:val="nil"/>
          <w:insideV w:val="nil"/>
        </w:tcBorders>
        <w:shd w:val="clear" w:color="auto" w:fill="FFEEC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Accent2">
    <w:name w:val="Colorful Grid Accent 2"/>
    <w:basedOn w:val="TableNormal"/>
    <w:uiPriority w:val="73"/>
    <w:rsid w:val="008F2536"/>
    <w:pPr>
      <w:spacing w:after="0" w:line="240" w:lineRule="auto"/>
    </w:pPr>
    <w:tblPr>
      <w:tblStyleRowBandSize w:val="1"/>
      <w:tblStyleColBandSize w:val="1"/>
      <w:tblBorders>
        <w:insideH w:val="single" w:sz="4" w:space="0" w:color="FFFFFF" w:themeColor="background1"/>
      </w:tblBorders>
    </w:tblPr>
    <w:tcPr>
      <w:shd w:val="clear" w:color="auto" w:fill="C1F3FF" w:themeFill="accent2" w:themeFillTint="33"/>
    </w:tcPr>
    <w:tblStylePr w:type="firstRow">
      <w:rPr>
        <w:b/>
        <w:bCs/>
      </w:rPr>
      <w:tblPr/>
      <w:tcPr>
        <w:shd w:val="clear" w:color="auto" w:fill="84E8FF" w:themeFill="accent2" w:themeFillTint="66"/>
      </w:tcPr>
    </w:tblStylePr>
    <w:tblStylePr w:type="lastRow">
      <w:rPr>
        <w:b/>
        <w:bCs/>
        <w:color w:val="4E5053" w:themeColor="text1"/>
      </w:rPr>
      <w:tblPr/>
      <w:tcPr>
        <w:shd w:val="clear" w:color="auto" w:fill="84E8FF" w:themeFill="accent2" w:themeFillTint="66"/>
      </w:tcPr>
    </w:tblStylePr>
    <w:tblStylePr w:type="firstCol">
      <w:rPr>
        <w:color w:val="FFFFFF" w:themeColor="background1"/>
      </w:rPr>
      <w:tblPr/>
      <w:tcPr>
        <w:shd w:val="clear" w:color="auto" w:fill="007B98" w:themeFill="accent2" w:themeFillShade="BF"/>
      </w:tcPr>
    </w:tblStylePr>
    <w:tblStylePr w:type="lastCol">
      <w:rPr>
        <w:color w:val="FFFFFF" w:themeColor="background1"/>
      </w:rPr>
      <w:tblPr/>
      <w:tcPr>
        <w:shd w:val="clear" w:color="auto" w:fill="007B98" w:themeFill="accent2" w:themeFillShade="BF"/>
      </w:tcPr>
    </w:tblStylePr>
    <w:tblStylePr w:type="band1Vert">
      <w:tblPr/>
      <w:tcPr>
        <w:shd w:val="clear" w:color="auto" w:fill="66E2FF" w:themeFill="accent2" w:themeFillTint="7F"/>
      </w:tcPr>
    </w:tblStylePr>
    <w:tblStylePr w:type="band1Horz">
      <w:tblPr/>
      <w:tcPr>
        <w:shd w:val="clear" w:color="auto" w:fill="66E2FF" w:themeFill="accent2" w:themeFillTint="7F"/>
      </w:tcPr>
    </w:tblStylePr>
  </w:style>
  <w:style w:type="table" w:styleId="LightGrid-Accent5">
    <w:name w:val="Light Grid Accent 5"/>
    <w:basedOn w:val="TableNormal"/>
    <w:uiPriority w:val="62"/>
    <w:rsid w:val="00B35375"/>
    <w:pPr>
      <w:spacing w:before="120" w:after="120" w:line="240" w:lineRule="auto"/>
      <w:jc w:val="left"/>
    </w:pPr>
    <w:tblPr>
      <w:tblStyleRowBandSize w:val="1"/>
      <w:tblStyleColBandSize w:val="1"/>
      <w:tblBorders>
        <w:top w:val="single" w:sz="8" w:space="0" w:color="008380" w:themeColor="accent5"/>
        <w:left w:val="single" w:sz="8" w:space="0" w:color="008380" w:themeColor="accent5"/>
        <w:bottom w:val="single" w:sz="8" w:space="0" w:color="008380" w:themeColor="accent5"/>
        <w:right w:val="single" w:sz="8" w:space="0" w:color="008380" w:themeColor="accent5"/>
        <w:insideH w:val="single" w:sz="8" w:space="0" w:color="008380" w:themeColor="accent5"/>
        <w:insideV w:val="single" w:sz="8" w:space="0" w:color="008380" w:themeColor="accent5"/>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008380" w:themeColor="accent5"/>
          <w:left w:val="single" w:sz="8" w:space="0" w:color="008380" w:themeColor="accent5"/>
          <w:bottom w:val="single" w:sz="18" w:space="0" w:color="008380" w:themeColor="accent5"/>
          <w:right w:val="single" w:sz="8" w:space="0" w:color="008380" w:themeColor="accent5"/>
          <w:insideH w:val="nil"/>
          <w:insideV w:val="single" w:sz="8" w:space="0" w:color="00838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380" w:themeColor="accent5"/>
          <w:left w:val="single" w:sz="8" w:space="0" w:color="008380" w:themeColor="accent5"/>
          <w:bottom w:val="single" w:sz="8" w:space="0" w:color="008380" w:themeColor="accent5"/>
          <w:right w:val="single" w:sz="8" w:space="0" w:color="008380" w:themeColor="accent5"/>
          <w:insideH w:val="nil"/>
          <w:insideV w:val="single" w:sz="8" w:space="0" w:color="008380" w:themeColor="accent5"/>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008380" w:themeColor="accent5"/>
          <w:left w:val="single" w:sz="8" w:space="0" w:color="008380" w:themeColor="accent5"/>
          <w:bottom w:val="single" w:sz="8" w:space="0" w:color="008380" w:themeColor="accent5"/>
          <w:right w:val="single" w:sz="8" w:space="0" w:color="008380" w:themeColor="accent5"/>
        </w:tcBorders>
      </w:tcPr>
    </w:tblStylePr>
    <w:tblStylePr w:type="band1Vert">
      <w:tblPr/>
      <w:tcPr>
        <w:tcBorders>
          <w:top w:val="single" w:sz="8" w:space="0" w:color="008380" w:themeColor="accent5"/>
          <w:left w:val="single" w:sz="8" w:space="0" w:color="008380" w:themeColor="accent5"/>
          <w:bottom w:val="single" w:sz="8" w:space="0" w:color="008380" w:themeColor="accent5"/>
          <w:right w:val="single" w:sz="8" w:space="0" w:color="008380" w:themeColor="accent5"/>
        </w:tcBorders>
        <w:shd w:val="clear" w:color="auto" w:fill="A1FFFC" w:themeFill="accent5" w:themeFillTint="3F"/>
      </w:tcPr>
    </w:tblStylePr>
    <w:tblStylePr w:type="band1Horz">
      <w:tblPr/>
      <w:tcPr>
        <w:tcBorders>
          <w:top w:val="single" w:sz="8" w:space="0" w:color="008380" w:themeColor="accent5"/>
          <w:left w:val="single" w:sz="8" w:space="0" w:color="008380" w:themeColor="accent5"/>
          <w:bottom w:val="single" w:sz="8" w:space="0" w:color="008380" w:themeColor="accent5"/>
          <w:right w:val="single" w:sz="8" w:space="0" w:color="008380" w:themeColor="accent5"/>
          <w:insideV w:val="single" w:sz="8" w:space="0" w:color="008380" w:themeColor="accent5"/>
        </w:tcBorders>
        <w:shd w:val="clear" w:color="auto" w:fill="A1FFFC" w:themeFill="accent5" w:themeFillTint="3F"/>
      </w:tcPr>
    </w:tblStylePr>
    <w:tblStylePr w:type="band2Horz">
      <w:tblPr/>
      <w:tcPr>
        <w:tcBorders>
          <w:top w:val="single" w:sz="8" w:space="0" w:color="008380" w:themeColor="accent5"/>
          <w:left w:val="single" w:sz="8" w:space="0" w:color="008380" w:themeColor="accent5"/>
          <w:bottom w:val="single" w:sz="8" w:space="0" w:color="008380" w:themeColor="accent5"/>
          <w:right w:val="single" w:sz="8" w:space="0" w:color="008380" w:themeColor="accent5"/>
          <w:insideV w:val="single" w:sz="8" w:space="0" w:color="008380" w:themeColor="accent5"/>
        </w:tcBorders>
      </w:tcPr>
    </w:tblStylePr>
  </w:style>
  <w:style w:type="table" w:styleId="LightList-Accent4">
    <w:name w:val="Light List Accent 4"/>
    <w:basedOn w:val="TableNormal"/>
    <w:uiPriority w:val="61"/>
    <w:rsid w:val="00576C38"/>
    <w:pPr>
      <w:spacing w:before="120" w:after="120" w:line="240" w:lineRule="auto"/>
      <w:jc w:val="left"/>
    </w:pPr>
    <w:tblPr>
      <w:tblStyleRowBandSize w:val="1"/>
      <w:tblStyleColBandSize w:val="1"/>
      <w:tblBorders>
        <w:top w:val="single" w:sz="4" w:space="0" w:color="EF7F04" w:themeColor="accent4"/>
        <w:left w:val="single" w:sz="4" w:space="0" w:color="EF7F04" w:themeColor="accent4"/>
        <w:bottom w:val="single" w:sz="4" w:space="0" w:color="EF7F04" w:themeColor="accent4"/>
        <w:right w:val="single" w:sz="4" w:space="0" w:color="EF7F04" w:themeColor="accent4"/>
        <w:insideH w:val="single" w:sz="4" w:space="0" w:color="EF7F04" w:themeColor="accent4"/>
        <w:insideV w:val="single" w:sz="4" w:space="0" w:color="EF7F04" w:themeColor="accent4"/>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rPr>
        <w:tblHeader/>
      </w:trPr>
      <w:tcPr>
        <w:tcBorders>
          <w:insideH w:val="single" w:sz="4" w:space="0" w:color="FFFFFF" w:themeColor="background1"/>
          <w:insideV w:val="single" w:sz="4" w:space="0" w:color="FFFFFF" w:themeColor="background1"/>
        </w:tcBorders>
        <w:shd w:val="clear" w:color="auto" w:fill="EF7F04" w:themeFill="accent4"/>
      </w:tcPr>
    </w:tblStylePr>
    <w:tblStylePr w:type="lastRow">
      <w:pPr>
        <w:spacing w:before="0" w:after="0" w:line="240" w:lineRule="auto"/>
      </w:pPr>
      <w:rPr>
        <w:b/>
        <w:bCs/>
      </w:rPr>
      <w:tblPr/>
      <w:tcPr>
        <w:tcBorders>
          <w:top w:val="double" w:sz="6" w:space="0" w:color="EF7F04" w:themeColor="accent4"/>
          <w:left w:val="single" w:sz="8" w:space="0" w:color="EF7F04" w:themeColor="accent4"/>
          <w:bottom w:val="single" w:sz="8" w:space="0" w:color="EF7F04" w:themeColor="accent4"/>
          <w:right w:val="single" w:sz="8" w:space="0" w:color="EF7F04" w:themeColor="accent4"/>
        </w:tcBorders>
      </w:tcPr>
    </w:tblStylePr>
    <w:tblStylePr w:type="firstCol">
      <w:rPr>
        <w:b w:val="0"/>
        <w:bCs/>
      </w:rPr>
    </w:tblStylePr>
    <w:tblStylePr w:type="lastCol">
      <w:rPr>
        <w:b w:val="0"/>
        <w:bCs/>
      </w:rPr>
    </w:tblStylePr>
    <w:tblStylePr w:type="band1Vert">
      <w:tblPr/>
      <w:tcPr>
        <w:tcBorders>
          <w:top w:val="single" w:sz="8" w:space="0" w:color="EF7F04" w:themeColor="accent4"/>
          <w:left w:val="single" w:sz="8" w:space="0" w:color="EF7F04" w:themeColor="accent4"/>
          <w:bottom w:val="single" w:sz="8" w:space="0" w:color="EF7F04" w:themeColor="accent4"/>
          <w:right w:val="single" w:sz="8" w:space="0" w:color="EF7F04" w:themeColor="accent4"/>
        </w:tcBorders>
      </w:tcPr>
    </w:tblStylePr>
    <w:tblStylePr w:type="band1Horz">
      <w:tblPr/>
      <w:tcPr>
        <w:tcBorders>
          <w:top w:val="single" w:sz="8" w:space="0" w:color="EF7F04" w:themeColor="accent4"/>
          <w:left w:val="single" w:sz="8" w:space="0" w:color="EF7F04" w:themeColor="accent4"/>
          <w:bottom w:val="single" w:sz="8" w:space="0" w:color="EF7F04" w:themeColor="accent4"/>
          <w:right w:val="single" w:sz="8" w:space="0" w:color="EF7F04" w:themeColor="accent4"/>
        </w:tcBorders>
      </w:tcPr>
    </w:tblStylePr>
    <w:tblStylePr w:type="nwCell">
      <w:tblPr/>
      <w:tcPr>
        <w:tcBorders>
          <w:left w:val="single" w:sz="4" w:space="0" w:color="EF7F04" w:themeColor="accent4"/>
        </w:tcBorders>
      </w:tcPr>
    </w:tblStylePr>
  </w:style>
  <w:style w:type="table" w:styleId="MediumShading2-Accent6">
    <w:name w:val="Medium Shading 2 Accent 6"/>
    <w:basedOn w:val="TableNormal"/>
    <w:uiPriority w:val="64"/>
    <w:rsid w:val="0057056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BB2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BB2D" w:themeFill="accent6"/>
      </w:tcPr>
    </w:tblStylePr>
    <w:tblStylePr w:type="lastCol">
      <w:rPr>
        <w:b/>
        <w:bCs/>
        <w:color w:val="FFFFFF" w:themeColor="background1"/>
      </w:rPr>
      <w:tblPr/>
      <w:tcPr>
        <w:tcBorders>
          <w:left w:val="nil"/>
          <w:right w:val="nil"/>
          <w:insideH w:val="nil"/>
          <w:insideV w:val="nil"/>
        </w:tcBorders>
        <w:shd w:val="clear" w:color="auto" w:fill="FFBB2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2">
    <w:name w:val="Light List Accent 2"/>
    <w:basedOn w:val="TableNormal"/>
    <w:uiPriority w:val="61"/>
    <w:rsid w:val="00576C38"/>
    <w:pPr>
      <w:spacing w:before="120" w:after="120" w:line="240" w:lineRule="auto"/>
      <w:jc w:val="left"/>
    </w:pPr>
    <w:tblPr>
      <w:tblStyleRowBandSize w:val="1"/>
      <w:tblStyleColBandSize w:val="1"/>
      <w:tbl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rPr>
        <w:tblHeader/>
      </w:tr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FFFFFF" w:themeColor="background1"/>
          <w:insideV w:val="single" w:sz="4" w:space="0" w:color="FFFFFF" w:themeColor="background1"/>
          <w:tl2br w:val="nil"/>
          <w:tr2bl w:val="nil"/>
        </w:tcBorders>
        <w:shd w:val="clear" w:color="auto" w:fill="00A6CB" w:themeFill="accent2"/>
      </w:tcPr>
    </w:tblStylePr>
    <w:tblStylePr w:type="lastRow">
      <w:pPr>
        <w:spacing w:before="0" w:after="0" w:line="240" w:lineRule="auto"/>
      </w:pPr>
      <w:rPr>
        <w:b/>
        <w:bCs/>
      </w:rPr>
      <w:tblPr/>
      <w:tcPr>
        <w:tcBorders>
          <w:top w:val="single" w:sz="4" w:space="0" w:color="00A6CB" w:themeColor="accent2"/>
          <w:left w:val="single" w:sz="4" w:space="0" w:color="00A6CB" w:themeColor="accent2"/>
          <w:bottom w:val="single" w:sz="4" w:space="0" w:color="00A6CB" w:themeColor="accent2"/>
          <w:right w:val="single" w:sz="4" w:space="0" w:color="00A6CB" w:themeColor="accent2"/>
        </w:tcBorders>
      </w:tcPr>
    </w:tblStylePr>
    <w:tblStylePr w:type="firstCol">
      <w:rPr>
        <w:b w:val="0"/>
        <w:bCs/>
      </w:rPr>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lastCol">
      <w:rPr>
        <w:b w:val="0"/>
        <w:bCs/>
      </w:rPr>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band1Vert">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band2Vert">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band1Horz">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band2Horz">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neCell">
      <w:tblPr/>
      <w:tcPr>
        <w:tcBorders>
          <w:top w:val="nil"/>
          <w:left w:val="nil"/>
          <w:bottom w:val="nil"/>
          <w:right w:val="nil"/>
          <w:insideH w:val="nil"/>
          <w:insideV w:val="nil"/>
        </w:tcBorders>
      </w:tcPr>
    </w:tblStylePr>
    <w:tblStylePr w:type="nwCell">
      <w:tblPr/>
      <w:tcPr>
        <w:tcBorders>
          <w:left w:val="single" w:sz="4" w:space="0" w:color="00A6CB" w:themeColor="accent2"/>
        </w:tcBorders>
      </w:tcPr>
    </w:tblStylePr>
    <w:tblStylePr w:type="seCell">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swCell">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style>
  <w:style w:type="table" w:styleId="LightGrid-Accent3">
    <w:name w:val="Light Grid Accent 3"/>
    <w:basedOn w:val="TableNormal"/>
    <w:uiPriority w:val="62"/>
    <w:rsid w:val="00B35375"/>
    <w:pPr>
      <w:spacing w:before="120" w:after="120" w:line="240" w:lineRule="auto"/>
      <w:jc w:val="left"/>
    </w:pPr>
    <w:tblPr>
      <w:tblStyleRowBandSize w:val="1"/>
      <w:tblStyleColBandSize w:val="1"/>
      <w:tblBorders>
        <w:top w:val="single" w:sz="8" w:space="0" w:color="003569" w:themeColor="accent3"/>
        <w:left w:val="single" w:sz="8" w:space="0" w:color="003569" w:themeColor="accent3"/>
        <w:bottom w:val="single" w:sz="8" w:space="0" w:color="003569" w:themeColor="accent3"/>
        <w:right w:val="single" w:sz="8" w:space="0" w:color="003569" w:themeColor="accent3"/>
        <w:insideH w:val="single" w:sz="8" w:space="0" w:color="003569" w:themeColor="accent3"/>
        <w:insideV w:val="single" w:sz="8" w:space="0" w:color="003569" w:themeColor="accent3"/>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003569" w:themeColor="accent3"/>
          <w:left w:val="single" w:sz="8" w:space="0" w:color="003569" w:themeColor="accent3"/>
          <w:bottom w:val="single" w:sz="18" w:space="0" w:color="003569" w:themeColor="accent3"/>
          <w:right w:val="single" w:sz="8" w:space="0" w:color="003569" w:themeColor="accent3"/>
          <w:insideH w:val="nil"/>
          <w:insideV w:val="single" w:sz="8" w:space="0" w:color="00356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69" w:themeColor="accent3"/>
          <w:left w:val="single" w:sz="8" w:space="0" w:color="003569" w:themeColor="accent3"/>
          <w:bottom w:val="single" w:sz="8" w:space="0" w:color="003569" w:themeColor="accent3"/>
          <w:right w:val="single" w:sz="8" w:space="0" w:color="003569" w:themeColor="accent3"/>
          <w:insideH w:val="nil"/>
          <w:insideV w:val="single" w:sz="8" w:space="0" w:color="003569" w:themeColor="accent3"/>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band1Vert">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shd w:val="clear" w:color="auto" w:fill="9ACDFF" w:themeFill="accent3" w:themeFillTint="3F"/>
      </w:tcPr>
    </w:tblStylePr>
    <w:tblStylePr w:type="band1Horz">
      <w:tblPr/>
      <w:tcPr>
        <w:tcBorders>
          <w:top w:val="single" w:sz="8" w:space="0" w:color="003569" w:themeColor="accent3"/>
          <w:left w:val="single" w:sz="8" w:space="0" w:color="003569" w:themeColor="accent3"/>
          <w:bottom w:val="single" w:sz="8" w:space="0" w:color="003569" w:themeColor="accent3"/>
          <w:right w:val="single" w:sz="8" w:space="0" w:color="003569" w:themeColor="accent3"/>
          <w:insideV w:val="single" w:sz="8" w:space="0" w:color="003569" w:themeColor="accent3"/>
        </w:tcBorders>
        <w:shd w:val="clear" w:color="auto" w:fill="9ACDFF" w:themeFill="accent3" w:themeFillTint="3F"/>
      </w:tcPr>
    </w:tblStylePr>
    <w:tblStylePr w:type="band2Horz">
      <w:tblPr/>
      <w:tcPr>
        <w:tcBorders>
          <w:top w:val="single" w:sz="8" w:space="0" w:color="003569" w:themeColor="accent3"/>
          <w:left w:val="single" w:sz="8" w:space="0" w:color="003569" w:themeColor="accent3"/>
          <w:bottom w:val="single" w:sz="8" w:space="0" w:color="003569" w:themeColor="accent3"/>
          <w:right w:val="single" w:sz="8" w:space="0" w:color="003569" w:themeColor="accent3"/>
          <w:insideV w:val="single" w:sz="8" w:space="0" w:color="003569" w:themeColor="accent3"/>
        </w:tcBorders>
      </w:tcPr>
    </w:tblStylePr>
  </w:style>
  <w:style w:type="table" w:styleId="LightList-Accent3">
    <w:name w:val="Light List Accent 3"/>
    <w:basedOn w:val="TableNormal"/>
    <w:uiPriority w:val="61"/>
    <w:rsid w:val="00BB6262"/>
    <w:pPr>
      <w:spacing w:before="120" w:after="120" w:line="240" w:lineRule="auto"/>
      <w:jc w:val="left"/>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insideH w:val="single" w:sz="4" w:space="0" w:color="003569" w:themeColor="accent3"/>
        <w:insideV w:val="single" w:sz="4" w:space="0" w:color="003569" w:themeColor="accent3"/>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cPr>
        <w:tcBorders>
          <w:top w:val="nil"/>
          <w:left w:val="nil"/>
          <w:insideH w:val="single" w:sz="4" w:space="0" w:color="FFFFFF" w:themeColor="background1"/>
          <w:insideV w:val="single" w:sz="4" w:space="0" w:color="FFFFFF" w:themeColor="background1"/>
        </w:tcBorders>
        <w:shd w:val="clear" w:color="auto" w:fill="003569" w:themeFill="accent3"/>
      </w:tcPr>
    </w:tblStylePr>
    <w:tblStylePr w:type="lastRow">
      <w:pPr>
        <w:spacing w:before="0" w:after="0" w:line="240" w:lineRule="auto"/>
      </w:pPr>
      <w:rPr>
        <w:b/>
        <w:bCs/>
      </w:rPr>
      <w:tblPr/>
      <w:tcPr>
        <w:tcBorders>
          <w:top w:val="double" w:sz="6" w:space="0" w:color="003569" w:themeColor="accent3"/>
          <w:left w:val="single" w:sz="8" w:space="0" w:color="003569" w:themeColor="accent3"/>
          <w:bottom w:val="single" w:sz="8" w:space="0" w:color="003569" w:themeColor="accent3"/>
          <w:right w:val="single" w:sz="8" w:space="0" w:color="003569" w:themeColor="accent3"/>
        </w:tcBorders>
      </w:tcPr>
    </w:tblStylePr>
    <w:tblStylePr w:type="firstCol">
      <w:rPr>
        <w:b w:val="0"/>
        <w:bCs/>
      </w:rPr>
    </w:tblStylePr>
    <w:tblStylePr w:type="lastCol">
      <w:rPr>
        <w:b w:val="0"/>
        <w:bCs/>
      </w:rPr>
    </w:tblStylePr>
    <w:tblStylePr w:type="band1Vert">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band1Horz">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nwCell">
      <w:tblPr/>
      <w:tcPr>
        <w:tcBorders>
          <w:top w:val="nil"/>
          <w:left w:val="single" w:sz="4" w:space="0" w:color="003569" w:themeColor="accent3"/>
          <w:bottom w:val="nil"/>
          <w:right w:val="nil"/>
          <w:insideH w:val="nil"/>
          <w:insideV w:val="nil"/>
        </w:tcBorders>
      </w:tcPr>
    </w:tblStylePr>
  </w:style>
  <w:style w:type="numbering" w:customStyle="1" w:styleId="AVbulletstyle-green">
    <w:name w:val="AV bullet style - green"/>
    <w:uiPriority w:val="99"/>
    <w:rsid w:val="00731989"/>
    <w:pPr>
      <w:numPr>
        <w:numId w:val="1"/>
      </w:numPr>
    </w:pPr>
  </w:style>
  <w:style w:type="paragraph" w:customStyle="1" w:styleId="Bullet2">
    <w:name w:val="Bullet2"/>
    <w:basedOn w:val="Normal"/>
    <w:link w:val="Bullet2Char"/>
    <w:uiPriority w:val="10"/>
    <w:qFormat/>
    <w:rsid w:val="00AB00DC"/>
    <w:pPr>
      <w:numPr>
        <w:numId w:val="6"/>
      </w:numPr>
      <w:ind w:left="1036" w:hanging="322"/>
    </w:pPr>
  </w:style>
  <w:style w:type="character" w:customStyle="1" w:styleId="ListParagraphChar">
    <w:name w:val="List Paragraph Char"/>
    <w:aliases w:val="Bullet1 Char"/>
    <w:basedOn w:val="DefaultParagraphFont"/>
    <w:link w:val="ListParagraph"/>
    <w:uiPriority w:val="10"/>
    <w:rsid w:val="00AB00DC"/>
    <w:rPr>
      <w:rFonts w:eastAsiaTheme="majorEastAsia"/>
      <w:lang w:val="en-GB"/>
    </w:rPr>
  </w:style>
  <w:style w:type="paragraph" w:customStyle="1" w:styleId="Bullet3">
    <w:name w:val="Bullet3"/>
    <w:basedOn w:val="Bullet2"/>
    <w:link w:val="Bullet3Char"/>
    <w:uiPriority w:val="10"/>
    <w:qFormat/>
    <w:rsid w:val="00AB00DC"/>
    <w:pPr>
      <w:numPr>
        <w:ilvl w:val="2"/>
      </w:numPr>
      <w:ind w:left="1344" w:hanging="266"/>
    </w:pPr>
  </w:style>
  <w:style w:type="character" w:customStyle="1" w:styleId="Bullet2Char">
    <w:name w:val="Bullet2 Char"/>
    <w:basedOn w:val="DefaultParagraphFont"/>
    <w:link w:val="Bullet2"/>
    <w:uiPriority w:val="10"/>
    <w:rsid w:val="00AB00DC"/>
    <w:rPr>
      <w:lang w:val="en-GB"/>
    </w:rPr>
  </w:style>
  <w:style w:type="paragraph" w:customStyle="1" w:styleId="Bullet4">
    <w:name w:val="Bullet4"/>
    <w:basedOn w:val="Bullet3"/>
    <w:link w:val="Bullet4Char"/>
    <w:uiPriority w:val="10"/>
    <w:qFormat/>
    <w:rsid w:val="00AB00DC"/>
    <w:pPr>
      <w:numPr>
        <w:ilvl w:val="0"/>
        <w:numId w:val="8"/>
      </w:numPr>
      <w:ind w:left="1610" w:hanging="238"/>
    </w:pPr>
  </w:style>
  <w:style w:type="character" w:customStyle="1" w:styleId="Bullet3Char">
    <w:name w:val="Bullet3 Char"/>
    <w:basedOn w:val="Bullet2Char"/>
    <w:link w:val="Bullet3"/>
    <w:uiPriority w:val="10"/>
    <w:rsid w:val="00AB00DC"/>
    <w:rPr>
      <w:lang w:val="en-GB"/>
    </w:rPr>
  </w:style>
  <w:style w:type="paragraph" w:customStyle="1" w:styleId="Bullet5">
    <w:name w:val="Bullet5"/>
    <w:basedOn w:val="Bullet4"/>
    <w:link w:val="Bullet5Char"/>
    <w:uiPriority w:val="10"/>
    <w:rsid w:val="00731989"/>
    <w:pPr>
      <w:numPr>
        <w:ilvl w:val="4"/>
      </w:numPr>
    </w:pPr>
  </w:style>
  <w:style w:type="character" w:customStyle="1" w:styleId="Bullet4Char">
    <w:name w:val="Bullet4 Char"/>
    <w:basedOn w:val="Bullet3Char"/>
    <w:link w:val="Bullet4"/>
    <w:uiPriority w:val="10"/>
    <w:rsid w:val="00AB00DC"/>
    <w:rPr>
      <w:lang w:val="en-GB"/>
    </w:rPr>
  </w:style>
  <w:style w:type="character" w:customStyle="1" w:styleId="NoSpacingChar">
    <w:name w:val="No Spacing Char"/>
    <w:basedOn w:val="DefaultParagraphFont"/>
    <w:link w:val="NoSpacing"/>
    <w:uiPriority w:val="1"/>
    <w:rsid w:val="00F4457C"/>
    <w:rPr>
      <w:color w:val="4E5053"/>
    </w:rPr>
  </w:style>
  <w:style w:type="character" w:customStyle="1" w:styleId="Bullet5Char">
    <w:name w:val="Bullet5 Char"/>
    <w:basedOn w:val="Bullet4Char"/>
    <w:link w:val="Bullet5"/>
    <w:uiPriority w:val="10"/>
    <w:rsid w:val="00731989"/>
    <w:rPr>
      <w:lang w:val="en-GB"/>
    </w:rPr>
  </w:style>
  <w:style w:type="paragraph" w:customStyle="1" w:styleId="BasicParagraph">
    <w:name w:val="[Basic Paragraph]"/>
    <w:basedOn w:val="Normal"/>
    <w:uiPriority w:val="99"/>
    <w:rsid w:val="00DB634A"/>
    <w:pPr>
      <w:widowControl w:val="0"/>
      <w:autoSpaceDE w:val="0"/>
      <w:autoSpaceDN w:val="0"/>
      <w:adjustRightInd w:val="0"/>
      <w:spacing w:after="0" w:line="288" w:lineRule="auto"/>
      <w:jc w:val="left"/>
      <w:textAlignment w:val="center"/>
    </w:pPr>
    <w:rPr>
      <w:rFonts w:ascii="Times-Italic" w:hAnsi="Times-Italic" w:cs="Times-Italic"/>
      <w:color w:val="000000"/>
      <w:sz w:val="24"/>
      <w:szCs w:val="24"/>
    </w:rPr>
  </w:style>
  <w:style w:type="paragraph" w:customStyle="1" w:styleId="BodyText1">
    <w:name w:val="Body Text1"/>
    <w:rsid w:val="00E4005B"/>
    <w:pPr>
      <w:spacing w:line="240" w:lineRule="auto"/>
    </w:pPr>
    <w:rPr>
      <w:bCs/>
    </w:rPr>
  </w:style>
  <w:style w:type="table" w:styleId="MediumShading1-Accent1">
    <w:name w:val="Medium Shading 1 Accent 1"/>
    <w:basedOn w:val="TableNormal"/>
    <w:uiPriority w:val="63"/>
    <w:rsid w:val="00835897"/>
    <w:pPr>
      <w:spacing w:before="120" w:after="120" w:line="240" w:lineRule="auto"/>
      <w:jc w:val="left"/>
    </w:pPr>
    <w:tblPr>
      <w:tblStyleRowBandSize w:val="1"/>
      <w:tblStyleColBandSize w:val="1"/>
      <w:tblBorders>
        <w:top w:val="single" w:sz="8" w:space="0" w:color="8CD063" w:themeColor="accent1" w:themeTint="BF"/>
        <w:left w:val="single" w:sz="8" w:space="0" w:color="8CD063" w:themeColor="accent1" w:themeTint="BF"/>
        <w:bottom w:val="single" w:sz="8" w:space="0" w:color="8CD063" w:themeColor="accent1" w:themeTint="BF"/>
        <w:right w:val="single" w:sz="8" w:space="0" w:color="8CD063" w:themeColor="accent1" w:themeTint="BF"/>
        <w:insideH w:val="single" w:sz="8" w:space="0" w:color="8CD063" w:themeColor="accent1"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8CD063" w:themeColor="accent1" w:themeTint="BF"/>
          <w:left w:val="single" w:sz="8" w:space="0" w:color="8CD063" w:themeColor="accent1" w:themeTint="BF"/>
          <w:bottom w:val="single" w:sz="8" w:space="0" w:color="8CD063" w:themeColor="accent1" w:themeTint="BF"/>
          <w:right w:val="single" w:sz="8" w:space="0" w:color="8CD063" w:themeColor="accent1" w:themeTint="BF"/>
          <w:insideH w:val="nil"/>
          <w:insideV w:val="nil"/>
        </w:tcBorders>
        <w:shd w:val="clear" w:color="auto" w:fill="68B937" w:themeFill="accent1"/>
      </w:tcPr>
    </w:tblStylePr>
    <w:tblStylePr w:type="lastRow">
      <w:pPr>
        <w:spacing w:before="0" w:after="0" w:line="240" w:lineRule="auto"/>
      </w:pPr>
      <w:rPr>
        <w:b/>
        <w:bCs/>
      </w:rPr>
      <w:tblPr/>
      <w:tcPr>
        <w:tcBorders>
          <w:top w:val="double" w:sz="6" w:space="0" w:color="8CD063" w:themeColor="accent1" w:themeTint="BF"/>
          <w:left w:val="single" w:sz="8" w:space="0" w:color="8CD063" w:themeColor="accent1" w:themeTint="BF"/>
          <w:bottom w:val="single" w:sz="8" w:space="0" w:color="8CD063" w:themeColor="accent1" w:themeTint="BF"/>
          <w:right w:val="single" w:sz="8" w:space="0" w:color="8CD063" w:themeColor="accent1" w:themeTint="BF"/>
          <w:insideH w:val="nil"/>
          <w:insideV w:val="nil"/>
        </w:tcBorders>
      </w:tcPr>
    </w:tblStylePr>
    <w:tblStylePr w:type="firstCol">
      <w:rPr>
        <w:b w:val="0"/>
        <w:bCs/>
      </w:rPr>
    </w:tblStylePr>
    <w:tblStylePr w:type="lastCol">
      <w:rPr>
        <w:b w:val="0"/>
        <w:bCs/>
      </w:rPr>
    </w:tblStylePr>
    <w:tblStylePr w:type="band1Vert">
      <w:tblPr/>
      <w:tcPr>
        <w:shd w:val="clear" w:color="auto" w:fill="D9EFCB" w:themeFill="accent1" w:themeFillTint="3F"/>
      </w:tcPr>
    </w:tblStylePr>
    <w:tblStylePr w:type="band1Horz">
      <w:tblPr/>
      <w:tcPr>
        <w:tcBorders>
          <w:insideH w:val="nil"/>
          <w:insideV w:val="nil"/>
        </w:tcBorders>
        <w:shd w:val="clear" w:color="auto" w:fill="D9EFCB"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rsid w:val="00B35375"/>
    <w:pPr>
      <w:spacing w:before="120" w:after="120" w:line="240" w:lineRule="auto"/>
      <w:jc w:val="left"/>
    </w:pPr>
    <w:tblPr>
      <w:tblStyleRowBandSize w:val="1"/>
      <w:tblStyleColBandSize w:val="1"/>
      <w:tblBorders>
        <w:top w:val="single" w:sz="8" w:space="0" w:color="68B937" w:themeColor="accent1"/>
        <w:left w:val="single" w:sz="8" w:space="0" w:color="68B937" w:themeColor="accent1"/>
        <w:bottom w:val="single" w:sz="8" w:space="0" w:color="68B937" w:themeColor="accent1"/>
        <w:right w:val="single" w:sz="8" w:space="0" w:color="68B937" w:themeColor="accent1"/>
        <w:insideH w:val="single" w:sz="8" w:space="0" w:color="68B937" w:themeColor="accent1"/>
        <w:insideV w:val="single" w:sz="8" w:space="0" w:color="68B937" w:themeColor="accent1"/>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68B937" w:themeColor="accent1"/>
          <w:left w:val="single" w:sz="8" w:space="0" w:color="68B937" w:themeColor="accent1"/>
          <w:bottom w:val="single" w:sz="18" w:space="0" w:color="68B937" w:themeColor="accent1"/>
          <w:right w:val="single" w:sz="8" w:space="0" w:color="68B937" w:themeColor="accent1"/>
          <w:insideH w:val="nil"/>
          <w:insideV w:val="single" w:sz="8" w:space="0" w:color="68B93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8B937" w:themeColor="accent1"/>
          <w:left w:val="single" w:sz="8" w:space="0" w:color="68B937" w:themeColor="accent1"/>
          <w:bottom w:val="single" w:sz="8" w:space="0" w:color="68B937" w:themeColor="accent1"/>
          <w:right w:val="single" w:sz="8" w:space="0" w:color="68B937" w:themeColor="accent1"/>
          <w:insideH w:val="nil"/>
          <w:insideV w:val="single" w:sz="8" w:space="0" w:color="68B937" w:themeColor="accent1"/>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68B937" w:themeColor="accent1"/>
          <w:left w:val="single" w:sz="8" w:space="0" w:color="68B937" w:themeColor="accent1"/>
          <w:bottom w:val="single" w:sz="8" w:space="0" w:color="68B937" w:themeColor="accent1"/>
          <w:right w:val="single" w:sz="8" w:space="0" w:color="68B937" w:themeColor="accent1"/>
        </w:tcBorders>
      </w:tcPr>
    </w:tblStylePr>
    <w:tblStylePr w:type="band1Vert">
      <w:tblPr/>
      <w:tcPr>
        <w:tcBorders>
          <w:top w:val="single" w:sz="8" w:space="0" w:color="68B937" w:themeColor="accent1"/>
          <w:left w:val="single" w:sz="8" w:space="0" w:color="68B937" w:themeColor="accent1"/>
          <w:bottom w:val="single" w:sz="8" w:space="0" w:color="68B937" w:themeColor="accent1"/>
          <w:right w:val="single" w:sz="8" w:space="0" w:color="68B937" w:themeColor="accent1"/>
        </w:tcBorders>
        <w:shd w:val="clear" w:color="auto" w:fill="D9EFCB" w:themeFill="accent1" w:themeFillTint="3F"/>
      </w:tcPr>
    </w:tblStylePr>
    <w:tblStylePr w:type="band1Horz">
      <w:tblPr/>
      <w:tcPr>
        <w:tcBorders>
          <w:top w:val="single" w:sz="8" w:space="0" w:color="68B937" w:themeColor="accent1"/>
          <w:left w:val="single" w:sz="8" w:space="0" w:color="68B937" w:themeColor="accent1"/>
          <w:bottom w:val="single" w:sz="8" w:space="0" w:color="68B937" w:themeColor="accent1"/>
          <w:right w:val="single" w:sz="8" w:space="0" w:color="68B937" w:themeColor="accent1"/>
          <w:insideV w:val="single" w:sz="8" w:space="0" w:color="68B937" w:themeColor="accent1"/>
        </w:tcBorders>
        <w:shd w:val="clear" w:color="auto" w:fill="D9EFCB" w:themeFill="accent1" w:themeFillTint="3F"/>
      </w:tcPr>
    </w:tblStylePr>
    <w:tblStylePr w:type="band2Horz">
      <w:tblPr/>
      <w:tcPr>
        <w:tcBorders>
          <w:top w:val="single" w:sz="8" w:space="0" w:color="68B937" w:themeColor="accent1"/>
          <w:left w:val="single" w:sz="8" w:space="0" w:color="68B937" w:themeColor="accent1"/>
          <w:bottom w:val="single" w:sz="8" w:space="0" w:color="68B937" w:themeColor="accent1"/>
          <w:right w:val="single" w:sz="8" w:space="0" w:color="68B937" w:themeColor="accent1"/>
          <w:insideV w:val="single" w:sz="8" w:space="0" w:color="68B937" w:themeColor="accent1"/>
        </w:tcBorders>
      </w:tcPr>
    </w:tblStylePr>
  </w:style>
  <w:style w:type="table" w:styleId="LightGrid-Accent2">
    <w:name w:val="Light Grid Accent 2"/>
    <w:basedOn w:val="TableNormal"/>
    <w:uiPriority w:val="62"/>
    <w:rsid w:val="00B35375"/>
    <w:pPr>
      <w:spacing w:before="120" w:after="120" w:line="240" w:lineRule="auto"/>
      <w:jc w:val="left"/>
    </w:pPr>
    <w:tblPr>
      <w:tblStyleRowBandSize w:val="1"/>
      <w:tblStyleColBandSize w:val="1"/>
      <w:tblBorders>
        <w:top w:val="single" w:sz="8" w:space="0" w:color="00A6CB" w:themeColor="accent2"/>
        <w:left w:val="single" w:sz="8" w:space="0" w:color="00A6CB" w:themeColor="accent2"/>
        <w:bottom w:val="single" w:sz="8" w:space="0" w:color="00A6CB" w:themeColor="accent2"/>
        <w:right w:val="single" w:sz="8" w:space="0" w:color="00A6CB" w:themeColor="accent2"/>
        <w:insideH w:val="single" w:sz="8" w:space="0" w:color="00A6CB" w:themeColor="accent2"/>
        <w:insideV w:val="single" w:sz="8" w:space="0" w:color="00A6CB" w:themeColor="accent2"/>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00A6CB" w:themeColor="accent2"/>
          <w:left w:val="single" w:sz="8" w:space="0" w:color="00A6CB" w:themeColor="accent2"/>
          <w:bottom w:val="single" w:sz="18" w:space="0" w:color="00A6CB" w:themeColor="accent2"/>
          <w:right w:val="single" w:sz="8" w:space="0" w:color="00A6CB" w:themeColor="accent2"/>
          <w:insideH w:val="nil"/>
          <w:insideV w:val="single" w:sz="8" w:space="0" w:color="00A6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6CB" w:themeColor="accent2"/>
          <w:left w:val="single" w:sz="8" w:space="0" w:color="00A6CB" w:themeColor="accent2"/>
          <w:bottom w:val="single" w:sz="8" w:space="0" w:color="00A6CB" w:themeColor="accent2"/>
          <w:right w:val="single" w:sz="8" w:space="0" w:color="00A6CB" w:themeColor="accent2"/>
          <w:insideH w:val="nil"/>
          <w:insideV w:val="single" w:sz="8" w:space="0" w:color="00A6CB" w:themeColor="accent2"/>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00A6CB" w:themeColor="accent2"/>
          <w:left w:val="single" w:sz="8" w:space="0" w:color="00A6CB" w:themeColor="accent2"/>
          <w:bottom w:val="single" w:sz="8" w:space="0" w:color="00A6CB" w:themeColor="accent2"/>
          <w:right w:val="single" w:sz="8" w:space="0" w:color="00A6CB" w:themeColor="accent2"/>
        </w:tcBorders>
      </w:tcPr>
    </w:tblStylePr>
    <w:tblStylePr w:type="band1Vert">
      <w:tblPr/>
      <w:tcPr>
        <w:tcBorders>
          <w:top w:val="single" w:sz="8" w:space="0" w:color="00A6CB" w:themeColor="accent2"/>
          <w:left w:val="single" w:sz="8" w:space="0" w:color="00A6CB" w:themeColor="accent2"/>
          <w:bottom w:val="single" w:sz="8" w:space="0" w:color="00A6CB" w:themeColor="accent2"/>
          <w:right w:val="single" w:sz="8" w:space="0" w:color="00A6CB" w:themeColor="accent2"/>
        </w:tcBorders>
        <w:shd w:val="clear" w:color="auto" w:fill="B3F0FF" w:themeFill="accent2" w:themeFillTint="3F"/>
      </w:tcPr>
    </w:tblStylePr>
    <w:tblStylePr w:type="band1Horz">
      <w:tblPr/>
      <w:tcPr>
        <w:tcBorders>
          <w:top w:val="single" w:sz="8" w:space="0" w:color="00A6CB" w:themeColor="accent2"/>
          <w:left w:val="single" w:sz="8" w:space="0" w:color="00A6CB" w:themeColor="accent2"/>
          <w:bottom w:val="single" w:sz="8" w:space="0" w:color="00A6CB" w:themeColor="accent2"/>
          <w:right w:val="single" w:sz="8" w:space="0" w:color="00A6CB" w:themeColor="accent2"/>
          <w:insideV w:val="single" w:sz="8" w:space="0" w:color="00A6CB" w:themeColor="accent2"/>
        </w:tcBorders>
        <w:shd w:val="clear" w:color="auto" w:fill="B3F0FF" w:themeFill="accent2" w:themeFillTint="3F"/>
      </w:tcPr>
    </w:tblStylePr>
    <w:tblStylePr w:type="band2Horz">
      <w:tblPr/>
      <w:tcPr>
        <w:tcBorders>
          <w:top w:val="single" w:sz="8" w:space="0" w:color="00A6CB" w:themeColor="accent2"/>
          <w:left w:val="single" w:sz="8" w:space="0" w:color="00A6CB" w:themeColor="accent2"/>
          <w:bottom w:val="single" w:sz="8" w:space="0" w:color="00A6CB" w:themeColor="accent2"/>
          <w:right w:val="single" w:sz="8" w:space="0" w:color="00A6CB" w:themeColor="accent2"/>
          <w:insideV w:val="single" w:sz="8" w:space="0" w:color="00A6CB" w:themeColor="accent2"/>
        </w:tcBorders>
      </w:tcPr>
    </w:tblStylePr>
  </w:style>
  <w:style w:type="table" w:styleId="LightGrid-Accent4">
    <w:name w:val="Light Grid Accent 4"/>
    <w:basedOn w:val="TableNormal"/>
    <w:uiPriority w:val="62"/>
    <w:rsid w:val="00B35375"/>
    <w:pPr>
      <w:spacing w:before="120" w:after="120" w:line="240" w:lineRule="auto"/>
      <w:jc w:val="left"/>
    </w:pPr>
    <w:tblPr>
      <w:tblStyleRowBandSize w:val="1"/>
      <w:tblStyleColBandSize w:val="1"/>
      <w:tblBorders>
        <w:top w:val="single" w:sz="8" w:space="0" w:color="EF7F04" w:themeColor="accent4"/>
        <w:left w:val="single" w:sz="8" w:space="0" w:color="EF7F04" w:themeColor="accent4"/>
        <w:bottom w:val="single" w:sz="8" w:space="0" w:color="EF7F04" w:themeColor="accent4"/>
        <w:right w:val="single" w:sz="8" w:space="0" w:color="EF7F04" w:themeColor="accent4"/>
        <w:insideH w:val="single" w:sz="8" w:space="0" w:color="EF7F04" w:themeColor="accent4"/>
        <w:insideV w:val="single" w:sz="8" w:space="0" w:color="EF7F04" w:themeColor="accent4"/>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EF7F04" w:themeColor="accent4"/>
          <w:left w:val="single" w:sz="8" w:space="0" w:color="EF7F04" w:themeColor="accent4"/>
          <w:bottom w:val="single" w:sz="18" w:space="0" w:color="EF7F04" w:themeColor="accent4"/>
          <w:right w:val="single" w:sz="8" w:space="0" w:color="EF7F04" w:themeColor="accent4"/>
          <w:insideH w:val="nil"/>
          <w:insideV w:val="single" w:sz="8" w:space="0" w:color="EF7F0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7F04" w:themeColor="accent4"/>
          <w:left w:val="single" w:sz="8" w:space="0" w:color="EF7F04" w:themeColor="accent4"/>
          <w:bottom w:val="single" w:sz="8" w:space="0" w:color="EF7F04" w:themeColor="accent4"/>
          <w:right w:val="single" w:sz="8" w:space="0" w:color="EF7F04" w:themeColor="accent4"/>
          <w:insideH w:val="nil"/>
          <w:insideV w:val="single" w:sz="8" w:space="0" w:color="EF7F04" w:themeColor="accent4"/>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EF7F04" w:themeColor="accent4"/>
          <w:left w:val="single" w:sz="8" w:space="0" w:color="EF7F04" w:themeColor="accent4"/>
          <w:bottom w:val="single" w:sz="8" w:space="0" w:color="EF7F04" w:themeColor="accent4"/>
          <w:right w:val="single" w:sz="8" w:space="0" w:color="EF7F04" w:themeColor="accent4"/>
        </w:tcBorders>
      </w:tcPr>
    </w:tblStylePr>
    <w:tblStylePr w:type="band1Vert">
      <w:tblPr/>
      <w:tcPr>
        <w:tcBorders>
          <w:top w:val="single" w:sz="8" w:space="0" w:color="EF7F04" w:themeColor="accent4"/>
          <w:left w:val="single" w:sz="8" w:space="0" w:color="EF7F04" w:themeColor="accent4"/>
          <w:bottom w:val="single" w:sz="8" w:space="0" w:color="EF7F04" w:themeColor="accent4"/>
          <w:right w:val="single" w:sz="8" w:space="0" w:color="EF7F04" w:themeColor="accent4"/>
        </w:tcBorders>
        <w:shd w:val="clear" w:color="auto" w:fill="FEDFBE" w:themeFill="accent4" w:themeFillTint="3F"/>
      </w:tcPr>
    </w:tblStylePr>
    <w:tblStylePr w:type="band1Horz">
      <w:tblPr/>
      <w:tcPr>
        <w:tcBorders>
          <w:top w:val="single" w:sz="8" w:space="0" w:color="EF7F04" w:themeColor="accent4"/>
          <w:left w:val="single" w:sz="8" w:space="0" w:color="EF7F04" w:themeColor="accent4"/>
          <w:bottom w:val="single" w:sz="8" w:space="0" w:color="EF7F04" w:themeColor="accent4"/>
          <w:right w:val="single" w:sz="8" w:space="0" w:color="EF7F04" w:themeColor="accent4"/>
          <w:insideV w:val="single" w:sz="8" w:space="0" w:color="EF7F04" w:themeColor="accent4"/>
        </w:tcBorders>
        <w:shd w:val="clear" w:color="auto" w:fill="FEDFBE" w:themeFill="accent4" w:themeFillTint="3F"/>
      </w:tcPr>
    </w:tblStylePr>
    <w:tblStylePr w:type="band2Horz">
      <w:tblPr/>
      <w:tcPr>
        <w:tcBorders>
          <w:top w:val="single" w:sz="8" w:space="0" w:color="EF7F04" w:themeColor="accent4"/>
          <w:left w:val="single" w:sz="8" w:space="0" w:color="EF7F04" w:themeColor="accent4"/>
          <w:bottom w:val="single" w:sz="8" w:space="0" w:color="EF7F04" w:themeColor="accent4"/>
          <w:right w:val="single" w:sz="8" w:space="0" w:color="EF7F04" w:themeColor="accent4"/>
          <w:insideV w:val="single" w:sz="8" w:space="0" w:color="EF7F04" w:themeColor="accent4"/>
        </w:tcBorders>
      </w:tcPr>
    </w:tblStylePr>
  </w:style>
  <w:style w:type="table" w:styleId="LightGrid-Accent6">
    <w:name w:val="Light Grid Accent 6"/>
    <w:basedOn w:val="TableNormal"/>
    <w:uiPriority w:val="62"/>
    <w:rsid w:val="00B35375"/>
    <w:pPr>
      <w:spacing w:before="120" w:after="120" w:line="240" w:lineRule="auto"/>
      <w:jc w:val="left"/>
    </w:pPr>
    <w:tblPr>
      <w:tblStyleRowBandSize w:val="1"/>
      <w:tblStyleColBandSize w:val="1"/>
      <w:tblBorders>
        <w:top w:val="single" w:sz="8" w:space="0" w:color="FFBB2D" w:themeColor="accent6"/>
        <w:left w:val="single" w:sz="8" w:space="0" w:color="FFBB2D" w:themeColor="accent6"/>
        <w:bottom w:val="single" w:sz="8" w:space="0" w:color="FFBB2D" w:themeColor="accent6"/>
        <w:right w:val="single" w:sz="8" w:space="0" w:color="FFBB2D" w:themeColor="accent6"/>
        <w:insideH w:val="single" w:sz="8" w:space="0" w:color="FFBB2D" w:themeColor="accent6"/>
        <w:insideV w:val="single" w:sz="8" w:space="0" w:color="FFBB2D" w:themeColor="accent6"/>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FFBB2D" w:themeColor="accent6"/>
          <w:left w:val="single" w:sz="8" w:space="0" w:color="FFBB2D" w:themeColor="accent6"/>
          <w:bottom w:val="single" w:sz="18" w:space="0" w:color="FFBB2D" w:themeColor="accent6"/>
          <w:right w:val="single" w:sz="8" w:space="0" w:color="FFBB2D" w:themeColor="accent6"/>
          <w:insideH w:val="nil"/>
          <w:insideV w:val="single" w:sz="8" w:space="0" w:color="FFBB2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BB2D" w:themeColor="accent6"/>
          <w:left w:val="single" w:sz="8" w:space="0" w:color="FFBB2D" w:themeColor="accent6"/>
          <w:bottom w:val="single" w:sz="8" w:space="0" w:color="FFBB2D" w:themeColor="accent6"/>
          <w:right w:val="single" w:sz="8" w:space="0" w:color="FFBB2D" w:themeColor="accent6"/>
          <w:insideH w:val="nil"/>
          <w:insideV w:val="single" w:sz="8" w:space="0" w:color="FFBB2D" w:themeColor="accent6"/>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FFBB2D" w:themeColor="accent6"/>
          <w:left w:val="single" w:sz="8" w:space="0" w:color="FFBB2D" w:themeColor="accent6"/>
          <w:bottom w:val="single" w:sz="8" w:space="0" w:color="FFBB2D" w:themeColor="accent6"/>
          <w:right w:val="single" w:sz="8" w:space="0" w:color="FFBB2D" w:themeColor="accent6"/>
        </w:tcBorders>
      </w:tcPr>
    </w:tblStylePr>
    <w:tblStylePr w:type="band1Vert">
      <w:tblPr/>
      <w:tcPr>
        <w:tcBorders>
          <w:top w:val="single" w:sz="8" w:space="0" w:color="FFBB2D" w:themeColor="accent6"/>
          <w:left w:val="single" w:sz="8" w:space="0" w:color="FFBB2D" w:themeColor="accent6"/>
          <w:bottom w:val="single" w:sz="8" w:space="0" w:color="FFBB2D" w:themeColor="accent6"/>
          <w:right w:val="single" w:sz="8" w:space="0" w:color="FFBB2D" w:themeColor="accent6"/>
        </w:tcBorders>
        <w:shd w:val="clear" w:color="auto" w:fill="FFEECB" w:themeFill="accent6" w:themeFillTint="3F"/>
      </w:tcPr>
    </w:tblStylePr>
    <w:tblStylePr w:type="band1Horz">
      <w:tblPr/>
      <w:tcPr>
        <w:tcBorders>
          <w:top w:val="single" w:sz="8" w:space="0" w:color="FFBB2D" w:themeColor="accent6"/>
          <w:left w:val="single" w:sz="8" w:space="0" w:color="FFBB2D" w:themeColor="accent6"/>
          <w:bottom w:val="single" w:sz="8" w:space="0" w:color="FFBB2D" w:themeColor="accent6"/>
          <w:right w:val="single" w:sz="8" w:space="0" w:color="FFBB2D" w:themeColor="accent6"/>
          <w:insideV w:val="single" w:sz="8" w:space="0" w:color="FFBB2D" w:themeColor="accent6"/>
        </w:tcBorders>
        <w:shd w:val="clear" w:color="auto" w:fill="FFEECB" w:themeFill="accent6" w:themeFillTint="3F"/>
      </w:tcPr>
    </w:tblStylePr>
    <w:tblStylePr w:type="band2Horz">
      <w:tblPr/>
      <w:tcPr>
        <w:tcBorders>
          <w:top w:val="single" w:sz="8" w:space="0" w:color="FFBB2D" w:themeColor="accent6"/>
          <w:left w:val="single" w:sz="8" w:space="0" w:color="FFBB2D" w:themeColor="accent6"/>
          <w:bottom w:val="single" w:sz="8" w:space="0" w:color="FFBB2D" w:themeColor="accent6"/>
          <w:right w:val="single" w:sz="8" w:space="0" w:color="FFBB2D" w:themeColor="accent6"/>
          <w:insideV w:val="single" w:sz="8" w:space="0" w:color="FFBB2D" w:themeColor="accent6"/>
        </w:tcBorders>
      </w:tcPr>
    </w:tblStylePr>
  </w:style>
  <w:style w:type="table" w:styleId="MediumShading1-Accent2">
    <w:name w:val="Medium Shading 1 Accent 2"/>
    <w:basedOn w:val="TableNormal"/>
    <w:uiPriority w:val="63"/>
    <w:rsid w:val="00835897"/>
    <w:pPr>
      <w:spacing w:before="120" w:after="120" w:line="240" w:lineRule="auto"/>
      <w:jc w:val="left"/>
    </w:pPr>
    <w:tblPr>
      <w:tblStyleRowBandSize w:val="1"/>
      <w:tblStyleColBandSize w:val="1"/>
      <w:tblBorders>
        <w:top w:val="single" w:sz="8" w:space="0" w:color="19D4FF" w:themeColor="accent2" w:themeTint="BF"/>
        <w:left w:val="single" w:sz="8" w:space="0" w:color="19D4FF" w:themeColor="accent2" w:themeTint="BF"/>
        <w:bottom w:val="single" w:sz="8" w:space="0" w:color="19D4FF" w:themeColor="accent2" w:themeTint="BF"/>
        <w:right w:val="single" w:sz="8" w:space="0" w:color="19D4FF" w:themeColor="accent2" w:themeTint="BF"/>
        <w:insideH w:val="single" w:sz="8" w:space="0" w:color="19D4FF" w:themeColor="accent2"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19D4FF" w:themeColor="accent2" w:themeTint="BF"/>
          <w:left w:val="single" w:sz="8" w:space="0" w:color="19D4FF" w:themeColor="accent2" w:themeTint="BF"/>
          <w:bottom w:val="single" w:sz="8" w:space="0" w:color="19D4FF" w:themeColor="accent2" w:themeTint="BF"/>
          <w:right w:val="single" w:sz="8" w:space="0" w:color="19D4FF" w:themeColor="accent2" w:themeTint="BF"/>
          <w:insideH w:val="nil"/>
          <w:insideV w:val="nil"/>
        </w:tcBorders>
        <w:shd w:val="clear" w:color="auto" w:fill="00A6CB" w:themeFill="accent2"/>
      </w:tcPr>
    </w:tblStylePr>
    <w:tblStylePr w:type="lastRow">
      <w:pPr>
        <w:spacing w:before="0" w:after="0" w:line="240" w:lineRule="auto"/>
      </w:pPr>
      <w:rPr>
        <w:b/>
        <w:bCs/>
      </w:rPr>
      <w:tblPr/>
      <w:tcPr>
        <w:tcBorders>
          <w:top w:val="double" w:sz="6" w:space="0" w:color="19D4FF" w:themeColor="accent2" w:themeTint="BF"/>
          <w:left w:val="single" w:sz="8" w:space="0" w:color="19D4FF" w:themeColor="accent2" w:themeTint="BF"/>
          <w:bottom w:val="single" w:sz="8" w:space="0" w:color="19D4FF" w:themeColor="accent2" w:themeTint="BF"/>
          <w:right w:val="single" w:sz="8" w:space="0" w:color="19D4FF" w:themeColor="accent2" w:themeTint="BF"/>
          <w:insideH w:val="nil"/>
          <w:insideV w:val="nil"/>
        </w:tcBorders>
      </w:tcPr>
    </w:tblStylePr>
    <w:tblStylePr w:type="firstCol">
      <w:rPr>
        <w:b w:val="0"/>
        <w:bCs/>
      </w:rPr>
    </w:tblStylePr>
    <w:tblStylePr w:type="lastCol">
      <w:rPr>
        <w:b w:val="0"/>
        <w:bCs/>
      </w:rPr>
    </w:tblStylePr>
    <w:tblStylePr w:type="band1Vert">
      <w:tblPr/>
      <w:tcPr>
        <w:shd w:val="clear" w:color="auto" w:fill="B3F0FF" w:themeFill="accent2" w:themeFillTint="3F"/>
      </w:tcPr>
    </w:tblStylePr>
    <w:tblStylePr w:type="band1Horz">
      <w:tblPr/>
      <w:tcPr>
        <w:tcBorders>
          <w:insideH w:val="nil"/>
          <w:insideV w:val="nil"/>
        </w:tcBorders>
        <w:shd w:val="clear" w:color="auto" w:fill="B3F0FF" w:themeFill="accent2"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35897"/>
    <w:pPr>
      <w:spacing w:before="120" w:after="120" w:line="240" w:lineRule="auto"/>
      <w:jc w:val="left"/>
    </w:pPr>
    <w:tblPr>
      <w:tblStyleRowBandSize w:val="1"/>
      <w:tblStyleColBandSize w:val="1"/>
      <w:tblBorders>
        <w:top w:val="single" w:sz="8" w:space="0" w:color="00E2DC" w:themeColor="accent5" w:themeTint="BF"/>
        <w:left w:val="single" w:sz="8" w:space="0" w:color="00E2DC" w:themeColor="accent5" w:themeTint="BF"/>
        <w:bottom w:val="single" w:sz="8" w:space="0" w:color="00E2DC" w:themeColor="accent5" w:themeTint="BF"/>
        <w:right w:val="single" w:sz="8" w:space="0" w:color="00E2DC" w:themeColor="accent5" w:themeTint="BF"/>
        <w:insideH w:val="single" w:sz="8" w:space="0" w:color="00E2DC" w:themeColor="accent5"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00E2DC" w:themeColor="accent5" w:themeTint="BF"/>
          <w:left w:val="single" w:sz="8" w:space="0" w:color="00E2DC" w:themeColor="accent5" w:themeTint="BF"/>
          <w:bottom w:val="single" w:sz="8" w:space="0" w:color="00E2DC" w:themeColor="accent5" w:themeTint="BF"/>
          <w:right w:val="single" w:sz="8" w:space="0" w:color="00E2DC" w:themeColor="accent5" w:themeTint="BF"/>
          <w:insideH w:val="nil"/>
          <w:insideV w:val="nil"/>
        </w:tcBorders>
        <w:shd w:val="clear" w:color="auto" w:fill="008380" w:themeFill="accent5"/>
      </w:tcPr>
    </w:tblStylePr>
    <w:tblStylePr w:type="lastRow">
      <w:pPr>
        <w:spacing w:before="0" w:after="0" w:line="240" w:lineRule="auto"/>
      </w:pPr>
      <w:rPr>
        <w:b/>
        <w:bCs/>
      </w:rPr>
      <w:tblPr/>
      <w:tcPr>
        <w:tcBorders>
          <w:top w:val="double" w:sz="6" w:space="0" w:color="00E2DC" w:themeColor="accent5" w:themeTint="BF"/>
          <w:left w:val="single" w:sz="8" w:space="0" w:color="00E2DC" w:themeColor="accent5" w:themeTint="BF"/>
          <w:bottom w:val="single" w:sz="8" w:space="0" w:color="00E2DC" w:themeColor="accent5" w:themeTint="BF"/>
          <w:right w:val="single" w:sz="8" w:space="0" w:color="00E2DC" w:themeColor="accent5" w:themeTint="BF"/>
          <w:insideH w:val="nil"/>
          <w:insideV w:val="nil"/>
        </w:tcBorders>
      </w:tcPr>
    </w:tblStylePr>
    <w:tblStylePr w:type="firstCol">
      <w:rPr>
        <w:b w:val="0"/>
        <w:bCs/>
      </w:rPr>
    </w:tblStylePr>
    <w:tblStylePr w:type="lastCol">
      <w:rPr>
        <w:b w:val="0"/>
        <w:bCs/>
      </w:rPr>
      <w:tblPr/>
      <w:tcPr>
        <w:tcBorders>
          <w:top w:val="single" w:sz="4" w:space="0" w:color="auto"/>
          <w:left w:val="single" w:sz="4" w:space="0" w:color="auto"/>
          <w:bottom w:val="single" w:sz="4" w:space="0" w:color="auto"/>
          <w:right w:val="single" w:sz="4" w:space="0" w:color="auto"/>
          <w:insideH w:val="single" w:sz="4" w:space="0" w:color="auto"/>
          <w:insideV w:val="nil"/>
          <w:tl2br w:val="nil"/>
          <w:tr2bl w:val="nil"/>
        </w:tcBorders>
      </w:tcPr>
    </w:tblStylePr>
    <w:tblStylePr w:type="band1Vert">
      <w:tblPr/>
      <w:tcPr>
        <w:shd w:val="clear" w:color="auto" w:fill="A1FFFC" w:themeFill="accent5" w:themeFillTint="3F"/>
      </w:tcPr>
    </w:tblStylePr>
    <w:tblStylePr w:type="band1Horz">
      <w:tblPr/>
      <w:tcPr>
        <w:tcBorders>
          <w:insideH w:val="nil"/>
          <w:insideV w:val="nil"/>
        </w:tcBorders>
        <w:shd w:val="clear" w:color="auto" w:fill="A1FF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46888"/>
    <w:pPr>
      <w:spacing w:before="120" w:after="120" w:line="240" w:lineRule="auto"/>
      <w:jc w:val="left"/>
    </w:pPr>
    <w:tblPr>
      <w:tblStyleRowBandSize w:val="1"/>
      <w:tblStyleColBandSize w:val="1"/>
      <w:tblBorders>
        <w:top w:val="single" w:sz="8" w:space="0" w:color="FFCB61" w:themeColor="accent6" w:themeTint="BF"/>
        <w:left w:val="single" w:sz="8" w:space="0" w:color="FFCB61" w:themeColor="accent6" w:themeTint="BF"/>
        <w:bottom w:val="single" w:sz="8" w:space="0" w:color="FFCB61" w:themeColor="accent6" w:themeTint="BF"/>
        <w:right w:val="single" w:sz="8" w:space="0" w:color="FFCB61" w:themeColor="accent6" w:themeTint="BF"/>
        <w:insideH w:val="single" w:sz="8" w:space="0" w:color="FFCB61" w:themeColor="accent6"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FFCB61" w:themeColor="accent6" w:themeTint="BF"/>
          <w:left w:val="single" w:sz="8" w:space="0" w:color="FFCB61" w:themeColor="accent6" w:themeTint="BF"/>
          <w:bottom w:val="single" w:sz="8" w:space="0" w:color="FFCB61" w:themeColor="accent6" w:themeTint="BF"/>
          <w:right w:val="single" w:sz="8" w:space="0" w:color="FFCB61" w:themeColor="accent6" w:themeTint="BF"/>
          <w:insideH w:val="nil"/>
          <w:insideV w:val="nil"/>
        </w:tcBorders>
        <w:shd w:val="clear" w:color="auto" w:fill="FFBB2D" w:themeFill="accent6"/>
      </w:tcPr>
    </w:tblStylePr>
    <w:tblStylePr w:type="lastRow">
      <w:pPr>
        <w:spacing w:before="0" w:after="0" w:line="240" w:lineRule="auto"/>
      </w:pPr>
      <w:rPr>
        <w:b/>
        <w:bCs/>
      </w:rPr>
      <w:tblPr/>
      <w:tcPr>
        <w:tcBorders>
          <w:top w:val="double" w:sz="6" w:space="0" w:color="FFCB61" w:themeColor="accent6" w:themeTint="BF"/>
          <w:left w:val="single" w:sz="8" w:space="0" w:color="FFCB61" w:themeColor="accent6" w:themeTint="BF"/>
          <w:bottom w:val="single" w:sz="8" w:space="0" w:color="FFCB61" w:themeColor="accent6" w:themeTint="BF"/>
          <w:right w:val="single" w:sz="8" w:space="0" w:color="FFCB61" w:themeColor="accent6" w:themeTint="BF"/>
          <w:insideH w:val="nil"/>
          <w:insideV w:val="nil"/>
        </w:tcBorders>
      </w:tcPr>
    </w:tblStylePr>
    <w:tblStylePr w:type="firstCol">
      <w:rPr>
        <w:b w:val="0"/>
        <w:bCs/>
      </w:rPr>
    </w:tblStylePr>
    <w:tblStylePr w:type="lastCol">
      <w:rPr>
        <w:b w:val="0"/>
        <w:bCs/>
      </w:rPr>
    </w:tblStylePr>
    <w:tblStylePr w:type="band1Vert">
      <w:tblPr/>
      <w:tcPr>
        <w:shd w:val="clear" w:color="auto" w:fill="FFEECB" w:themeFill="accent6" w:themeFillTint="3F"/>
      </w:tcPr>
    </w:tblStylePr>
    <w:tblStylePr w:type="band1Horz">
      <w:tblPr/>
      <w:tcPr>
        <w:tcBorders>
          <w:insideH w:val="nil"/>
          <w:insideV w:val="nil"/>
        </w:tcBorders>
        <w:shd w:val="clear" w:color="auto" w:fill="FFEECB" w:themeFill="accent6" w:themeFillTint="3F"/>
      </w:tcPr>
    </w:tblStylePr>
    <w:tblStylePr w:type="band2Horz">
      <w:tblPr/>
      <w:tcPr>
        <w:tcBorders>
          <w:insideH w:val="nil"/>
          <w:insideV w:val="nil"/>
        </w:tcBorders>
      </w:tcPr>
    </w:tblStylePr>
  </w:style>
  <w:style w:type="paragraph" w:customStyle="1" w:styleId="Table-Normal">
    <w:name w:val="Table - Normal"/>
    <w:basedOn w:val="Normal"/>
    <w:qFormat/>
    <w:rsid w:val="004C61C5"/>
    <w:pPr>
      <w:spacing w:before="0" w:after="0" w:line="240" w:lineRule="auto"/>
      <w:jc w:val="left"/>
    </w:pPr>
    <w:rPr>
      <w:bCs/>
    </w:rPr>
  </w:style>
  <w:style w:type="paragraph" w:styleId="EndnoteText">
    <w:name w:val="endnote text"/>
    <w:basedOn w:val="Normal"/>
    <w:link w:val="EndnoteTextChar"/>
    <w:uiPriority w:val="99"/>
    <w:unhideWhenUsed/>
    <w:qFormat/>
    <w:rsid w:val="00FF7B16"/>
    <w:pPr>
      <w:spacing w:before="0" w:after="0" w:line="240" w:lineRule="auto"/>
    </w:pPr>
    <w:rPr>
      <w:sz w:val="18"/>
      <w:szCs w:val="20"/>
    </w:rPr>
  </w:style>
  <w:style w:type="character" w:customStyle="1" w:styleId="EndnoteTextChar">
    <w:name w:val="Endnote Text Char"/>
    <w:basedOn w:val="DefaultParagraphFont"/>
    <w:link w:val="EndnoteText"/>
    <w:uiPriority w:val="99"/>
    <w:rsid w:val="00FF7B16"/>
    <w:rPr>
      <w:sz w:val="18"/>
      <w:szCs w:val="20"/>
      <w:lang w:val="en-GB"/>
    </w:rPr>
  </w:style>
  <w:style w:type="paragraph" w:styleId="FootnoteText">
    <w:name w:val="footnote text"/>
    <w:basedOn w:val="Normal"/>
    <w:link w:val="FootnoteTextChar"/>
    <w:uiPriority w:val="99"/>
    <w:semiHidden/>
    <w:unhideWhenUsed/>
    <w:rsid w:val="00FF7B16"/>
    <w:pPr>
      <w:spacing w:before="0" w:after="0" w:line="240" w:lineRule="auto"/>
    </w:pPr>
    <w:rPr>
      <w:sz w:val="18"/>
      <w:szCs w:val="20"/>
    </w:rPr>
  </w:style>
  <w:style w:type="character" w:customStyle="1" w:styleId="FootnoteTextChar">
    <w:name w:val="Footnote Text Char"/>
    <w:basedOn w:val="DefaultParagraphFont"/>
    <w:link w:val="FootnoteText"/>
    <w:uiPriority w:val="99"/>
    <w:semiHidden/>
    <w:rsid w:val="00FF7B16"/>
    <w:rPr>
      <w:sz w:val="18"/>
      <w:szCs w:val="20"/>
      <w:lang w:val="en-GB"/>
    </w:rPr>
  </w:style>
  <w:style w:type="character" w:styleId="FootnoteReference">
    <w:name w:val="footnote reference"/>
    <w:basedOn w:val="DefaultParagraphFont"/>
    <w:uiPriority w:val="99"/>
    <w:semiHidden/>
    <w:unhideWhenUsed/>
    <w:rsid w:val="00FF7B16"/>
    <w:rPr>
      <w:rFonts w:asciiTheme="minorHAnsi" w:hAnsiTheme="minorHAnsi"/>
      <w:vertAlign w:val="superscript"/>
    </w:rPr>
  </w:style>
  <w:style w:type="paragraph" w:customStyle="1" w:styleId="Table-Bullet2">
    <w:name w:val="Table-Bullet2"/>
    <w:basedOn w:val="Bullet2"/>
    <w:qFormat/>
    <w:rsid w:val="00F06DAC"/>
    <w:pPr>
      <w:numPr>
        <w:numId w:val="4"/>
      </w:numPr>
      <w:spacing w:before="0" w:after="0" w:line="240" w:lineRule="auto"/>
      <w:ind w:hanging="349"/>
      <w:jc w:val="left"/>
    </w:pPr>
  </w:style>
  <w:style w:type="paragraph" w:customStyle="1" w:styleId="Table-Bullet1">
    <w:name w:val="Table-Bullet1"/>
    <w:basedOn w:val="Table-Bullet2"/>
    <w:qFormat/>
    <w:rsid w:val="00F06DAC"/>
    <w:pPr>
      <w:numPr>
        <w:numId w:val="5"/>
      </w:numPr>
      <w:ind w:left="284"/>
    </w:pPr>
  </w:style>
  <w:style w:type="table" w:styleId="LightList-Accent5">
    <w:name w:val="Light List Accent 5"/>
    <w:basedOn w:val="TableNormal"/>
    <w:uiPriority w:val="61"/>
    <w:rsid w:val="000A397B"/>
    <w:pPr>
      <w:spacing w:after="0" w:line="240" w:lineRule="auto"/>
    </w:pPr>
    <w:tblPr>
      <w:tblStyleRowBandSize w:val="1"/>
      <w:tblStyleColBandSize w:val="1"/>
      <w:tblBorders>
        <w:top w:val="single" w:sz="4" w:space="0" w:color="008380" w:themeColor="accent5"/>
        <w:left w:val="single" w:sz="4" w:space="0" w:color="008380" w:themeColor="accent5"/>
        <w:bottom w:val="single" w:sz="4" w:space="0" w:color="008380" w:themeColor="accent5"/>
        <w:right w:val="single" w:sz="4" w:space="0" w:color="008380" w:themeColor="accent5"/>
        <w:insideH w:val="single" w:sz="4" w:space="0" w:color="008380" w:themeColor="accent5"/>
        <w:insideV w:val="single" w:sz="4" w:space="0" w:color="008380" w:themeColor="accent5"/>
      </w:tblBorders>
    </w:tblPr>
    <w:tblStylePr w:type="firstRow">
      <w:pPr>
        <w:spacing w:before="0" w:after="0" w:line="240" w:lineRule="auto"/>
      </w:pPr>
      <w:rPr>
        <w:b/>
        <w:bCs/>
        <w:color w:val="FFFFFF" w:themeColor="background1"/>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008380" w:themeFill="accent5"/>
      </w:tcPr>
    </w:tblStylePr>
    <w:tblStylePr w:type="lastRow">
      <w:pPr>
        <w:spacing w:before="0" w:after="0" w:line="240" w:lineRule="auto"/>
      </w:pPr>
      <w:rPr>
        <w:b/>
        <w:bCs/>
      </w:rPr>
      <w:tblPr/>
      <w:tcPr>
        <w:tcBorders>
          <w:top w:val="double" w:sz="6" w:space="0" w:color="008380" w:themeColor="accent5"/>
          <w:left w:val="single" w:sz="8" w:space="0" w:color="008380" w:themeColor="accent5"/>
          <w:bottom w:val="single" w:sz="8" w:space="0" w:color="008380" w:themeColor="accent5"/>
          <w:right w:val="single" w:sz="8" w:space="0" w:color="008380" w:themeColor="accent5"/>
        </w:tcBorders>
      </w:tcPr>
    </w:tblStylePr>
    <w:tblStylePr w:type="firstCol">
      <w:rPr>
        <w:b/>
        <w:bCs/>
      </w:rPr>
    </w:tblStylePr>
    <w:tblStylePr w:type="lastCol">
      <w:rPr>
        <w:b/>
        <w:bCs/>
      </w:rPr>
    </w:tblStylePr>
    <w:tblStylePr w:type="band1Vert">
      <w:tblPr/>
      <w:tcPr>
        <w:tcBorders>
          <w:top w:val="single" w:sz="8" w:space="0" w:color="008380" w:themeColor="accent5"/>
          <w:left w:val="single" w:sz="8" w:space="0" w:color="008380" w:themeColor="accent5"/>
          <w:bottom w:val="single" w:sz="8" w:space="0" w:color="008380" w:themeColor="accent5"/>
          <w:right w:val="single" w:sz="8" w:space="0" w:color="008380" w:themeColor="accent5"/>
        </w:tcBorders>
      </w:tcPr>
    </w:tblStylePr>
    <w:tblStylePr w:type="band1Horz">
      <w:tblPr/>
      <w:tcPr>
        <w:tcBorders>
          <w:top w:val="single" w:sz="8" w:space="0" w:color="008380" w:themeColor="accent5"/>
          <w:left w:val="single" w:sz="8" w:space="0" w:color="008380" w:themeColor="accent5"/>
          <w:bottom w:val="single" w:sz="8" w:space="0" w:color="008380" w:themeColor="accent5"/>
          <w:right w:val="single" w:sz="8" w:space="0" w:color="008380" w:themeColor="accent5"/>
        </w:tcBorders>
      </w:tcPr>
    </w:tblStylePr>
  </w:style>
  <w:style w:type="paragraph" w:customStyle="1" w:styleId="Footertext">
    <w:name w:val="Footer text"/>
    <w:basedOn w:val="Footer"/>
    <w:link w:val="FootertextChar"/>
    <w:rsid w:val="002D13CD"/>
    <w:rPr>
      <w:rFonts w:eastAsiaTheme="minorHAnsi"/>
      <w:color w:val="4E5053"/>
    </w:rPr>
  </w:style>
  <w:style w:type="character" w:customStyle="1" w:styleId="FootertextChar">
    <w:name w:val="Footer text Char"/>
    <w:basedOn w:val="FooterChar"/>
    <w:link w:val="Footertext"/>
    <w:rsid w:val="002D13CD"/>
    <w:rPr>
      <w:rFonts w:ascii="Calibri" w:eastAsiaTheme="minorHAnsi" w:hAnsi="Calibri"/>
      <w:color w:val="4E5053"/>
      <w:sz w:val="18"/>
      <w:lang w:val="en-GB"/>
    </w:rPr>
  </w:style>
  <w:style w:type="paragraph" w:customStyle="1" w:styleId="Heading1nonumbering">
    <w:name w:val="Heading 1 no numbering"/>
    <w:basedOn w:val="Heading1"/>
    <w:next w:val="Normal"/>
    <w:rsid w:val="00645C3C"/>
    <w:pPr>
      <w:numPr>
        <w:numId w:val="0"/>
      </w:numPr>
      <w:pBdr>
        <w:bottom w:val="single" w:sz="4" w:space="1" w:color="003569" w:themeColor="accent3"/>
      </w:pBdr>
    </w:pPr>
  </w:style>
  <w:style w:type="paragraph" w:customStyle="1" w:styleId="AbbreviationList">
    <w:name w:val="Abbreviation List"/>
    <w:basedOn w:val="Normal"/>
    <w:rsid w:val="00645C3C"/>
    <w:pPr>
      <w:ind w:left="1440" w:hanging="1440"/>
    </w:pPr>
  </w:style>
  <w:style w:type="paragraph" w:customStyle="1" w:styleId="AdministrativePage">
    <w:name w:val="Administrative Page"/>
    <w:basedOn w:val="Normal"/>
    <w:rsid w:val="00645C3C"/>
    <w:pPr>
      <w:ind w:left="2880" w:hanging="2880"/>
    </w:pPr>
  </w:style>
  <w:style w:type="table" w:customStyle="1" w:styleId="ListTable3-Accent31">
    <w:name w:val="List Table 3 - Accent 31"/>
    <w:basedOn w:val="TableNormal"/>
    <w:uiPriority w:val="48"/>
    <w:rsid w:val="00DD33E4"/>
    <w:pPr>
      <w:spacing w:after="0" w:line="240" w:lineRule="auto"/>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tblBorders>
    </w:tblPr>
    <w:tblStylePr w:type="firstRow">
      <w:rPr>
        <w:b/>
        <w:bCs/>
        <w:color w:val="FFFFFF" w:themeColor="background1"/>
      </w:rPr>
      <w:tblPr/>
      <w:tcPr>
        <w:shd w:val="clear" w:color="auto" w:fill="003569" w:themeFill="accent3"/>
      </w:tcPr>
    </w:tblStylePr>
    <w:tblStylePr w:type="lastRow">
      <w:rPr>
        <w:b/>
        <w:bCs/>
      </w:rPr>
      <w:tblPr/>
      <w:tcPr>
        <w:tcBorders>
          <w:top w:val="double" w:sz="4" w:space="0" w:color="00356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569" w:themeColor="accent3"/>
          <w:right w:val="single" w:sz="4" w:space="0" w:color="003569" w:themeColor="accent3"/>
        </w:tcBorders>
      </w:tcPr>
    </w:tblStylePr>
    <w:tblStylePr w:type="band1Horz">
      <w:tblPr/>
      <w:tcPr>
        <w:tcBorders>
          <w:top w:val="single" w:sz="4" w:space="0" w:color="003569" w:themeColor="accent3"/>
          <w:bottom w:val="single" w:sz="4" w:space="0" w:color="00356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569" w:themeColor="accent3"/>
          <w:left w:val="nil"/>
        </w:tcBorders>
      </w:tcPr>
    </w:tblStylePr>
    <w:tblStylePr w:type="swCell">
      <w:tblPr/>
      <w:tcPr>
        <w:tcBorders>
          <w:top w:val="double" w:sz="4" w:space="0" w:color="003569" w:themeColor="accent3"/>
          <w:right w:val="nil"/>
        </w:tcBorders>
      </w:tcPr>
    </w:tblStylePr>
  </w:style>
  <w:style w:type="table" w:customStyle="1" w:styleId="GridTable4-Accent31">
    <w:name w:val="Grid Table 4 - Accent 31"/>
    <w:basedOn w:val="TableNormal"/>
    <w:uiPriority w:val="49"/>
    <w:rsid w:val="00DD33E4"/>
    <w:pPr>
      <w:spacing w:after="0" w:line="240" w:lineRule="auto"/>
    </w:pPr>
    <w:tblPr>
      <w:tblStyleRowBandSize w:val="1"/>
      <w:tblStyleColBandSize w:val="1"/>
      <w:tblBorders>
        <w:top w:val="single" w:sz="4" w:space="0" w:color="0C85FF" w:themeColor="accent3" w:themeTint="99"/>
        <w:left w:val="single" w:sz="4" w:space="0" w:color="0C85FF" w:themeColor="accent3" w:themeTint="99"/>
        <w:bottom w:val="single" w:sz="4" w:space="0" w:color="0C85FF" w:themeColor="accent3" w:themeTint="99"/>
        <w:right w:val="single" w:sz="4" w:space="0" w:color="0C85FF" w:themeColor="accent3" w:themeTint="99"/>
        <w:insideH w:val="single" w:sz="4" w:space="0" w:color="0C85FF" w:themeColor="accent3" w:themeTint="99"/>
        <w:insideV w:val="single" w:sz="4" w:space="0" w:color="0C85FF" w:themeColor="accent3" w:themeTint="99"/>
      </w:tblBorders>
    </w:tblPr>
    <w:tblStylePr w:type="firstRow">
      <w:rPr>
        <w:b/>
        <w:bCs/>
        <w:color w:val="FFFFFF" w:themeColor="background1"/>
      </w:rPr>
      <w:tblPr/>
      <w:tcPr>
        <w:tcBorders>
          <w:top w:val="single" w:sz="4" w:space="0" w:color="003569" w:themeColor="accent3"/>
          <w:left w:val="single" w:sz="4" w:space="0" w:color="003569" w:themeColor="accent3"/>
          <w:bottom w:val="single" w:sz="4" w:space="0" w:color="003569" w:themeColor="accent3"/>
          <w:right w:val="single" w:sz="4" w:space="0" w:color="003569" w:themeColor="accent3"/>
          <w:insideH w:val="nil"/>
          <w:insideV w:val="nil"/>
        </w:tcBorders>
        <w:shd w:val="clear" w:color="auto" w:fill="003569" w:themeFill="accent3"/>
      </w:tcPr>
    </w:tblStylePr>
    <w:tblStylePr w:type="lastRow">
      <w:rPr>
        <w:b/>
        <w:bCs/>
      </w:rPr>
      <w:tblPr/>
      <w:tcPr>
        <w:tcBorders>
          <w:top w:val="double" w:sz="4" w:space="0" w:color="003569" w:themeColor="accent3"/>
        </w:tcBorders>
      </w:tcPr>
    </w:tblStylePr>
    <w:tblStylePr w:type="firstCol">
      <w:rPr>
        <w:b/>
        <w:bCs/>
      </w:rPr>
    </w:tblStylePr>
    <w:tblStylePr w:type="lastCol">
      <w:rPr>
        <w:b/>
        <w:bCs/>
      </w:rPr>
    </w:tblStylePr>
    <w:tblStylePr w:type="band1Vert">
      <w:tblPr/>
      <w:tcPr>
        <w:shd w:val="clear" w:color="auto" w:fill="AED6FF" w:themeFill="accent3" w:themeFillTint="33"/>
      </w:tcPr>
    </w:tblStylePr>
    <w:tblStylePr w:type="band1Horz">
      <w:tblPr/>
      <w:tcPr>
        <w:shd w:val="clear" w:color="auto" w:fill="AED6FF" w:themeFill="accent3" w:themeFillTint="33"/>
      </w:tcPr>
    </w:tblStylePr>
  </w:style>
  <w:style w:type="table" w:customStyle="1" w:styleId="GridTable41">
    <w:name w:val="Grid Table 41"/>
    <w:basedOn w:val="TableNormal"/>
    <w:uiPriority w:val="49"/>
    <w:rsid w:val="00DD33E4"/>
    <w:pPr>
      <w:spacing w:after="0" w:line="240" w:lineRule="auto"/>
    </w:pPr>
    <w:tblPr>
      <w:tblStyleRowBandSize w:val="1"/>
      <w:tblStyleColBandSize w:val="1"/>
      <w:tblBorders>
        <w:top w:val="single" w:sz="4" w:space="0" w:color="929599" w:themeColor="text1" w:themeTint="99"/>
        <w:left w:val="single" w:sz="4" w:space="0" w:color="929599" w:themeColor="text1" w:themeTint="99"/>
        <w:bottom w:val="single" w:sz="4" w:space="0" w:color="929599" w:themeColor="text1" w:themeTint="99"/>
        <w:right w:val="single" w:sz="4" w:space="0" w:color="929599" w:themeColor="text1" w:themeTint="99"/>
        <w:insideH w:val="single" w:sz="4" w:space="0" w:color="929599" w:themeColor="text1" w:themeTint="99"/>
        <w:insideV w:val="single" w:sz="4" w:space="0" w:color="929599" w:themeColor="text1" w:themeTint="99"/>
      </w:tblBorders>
    </w:tblPr>
    <w:tblStylePr w:type="firstRow">
      <w:rPr>
        <w:b/>
        <w:bCs/>
        <w:color w:val="FFFFFF" w:themeColor="background1"/>
      </w:rPr>
      <w:tblPr/>
      <w:tcPr>
        <w:tcBorders>
          <w:top w:val="single" w:sz="4" w:space="0" w:color="4E5053" w:themeColor="text1"/>
          <w:left w:val="single" w:sz="4" w:space="0" w:color="4E5053" w:themeColor="text1"/>
          <w:bottom w:val="single" w:sz="4" w:space="0" w:color="4E5053" w:themeColor="text1"/>
          <w:right w:val="single" w:sz="4" w:space="0" w:color="4E5053" w:themeColor="text1"/>
          <w:insideH w:val="nil"/>
          <w:insideV w:val="nil"/>
        </w:tcBorders>
        <w:shd w:val="clear" w:color="auto" w:fill="4E5053" w:themeFill="text1"/>
      </w:tcPr>
    </w:tblStylePr>
    <w:tblStylePr w:type="lastRow">
      <w:rPr>
        <w:b/>
        <w:bCs/>
      </w:rPr>
      <w:tblPr/>
      <w:tcPr>
        <w:tcBorders>
          <w:top w:val="double" w:sz="4" w:space="0" w:color="4E5053" w:themeColor="text1"/>
        </w:tcBorders>
      </w:tcPr>
    </w:tblStylePr>
    <w:tblStylePr w:type="firstCol">
      <w:rPr>
        <w:b/>
        <w:bCs/>
      </w:rPr>
    </w:tblStylePr>
    <w:tblStylePr w:type="lastCol">
      <w:rPr>
        <w:b/>
        <w:bCs/>
      </w:rPr>
    </w:tblStylePr>
    <w:tblStylePr w:type="band1Vert">
      <w:tblPr/>
      <w:tcPr>
        <w:shd w:val="clear" w:color="auto" w:fill="DADBDD" w:themeFill="text1" w:themeFillTint="33"/>
      </w:tcPr>
    </w:tblStylePr>
    <w:tblStylePr w:type="band1Horz">
      <w:tblPr/>
      <w:tcPr>
        <w:shd w:val="clear" w:color="auto" w:fill="DADBDD" w:themeFill="text1" w:themeFillTint="33"/>
      </w:tcPr>
    </w:tblStylePr>
  </w:style>
  <w:style w:type="character" w:customStyle="1" w:styleId="ui-provider">
    <w:name w:val="ui-provider"/>
    <w:basedOn w:val="DefaultParagraphFont"/>
    <w:rsid w:val="006C3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8602449">
      <w:bodyDiv w:val="1"/>
      <w:marLeft w:val="0"/>
      <w:marRight w:val="0"/>
      <w:marTop w:val="0"/>
      <w:marBottom w:val="0"/>
      <w:divBdr>
        <w:top w:val="none" w:sz="0" w:space="0" w:color="auto"/>
        <w:left w:val="none" w:sz="0" w:space="0" w:color="auto"/>
        <w:bottom w:val="none" w:sz="0" w:space="0" w:color="auto"/>
        <w:right w:val="none" w:sz="0" w:space="0" w:color="auto"/>
      </w:divBdr>
      <w:divsChild>
        <w:div w:id="1916931704">
          <w:marLeft w:val="1123"/>
          <w:marRight w:val="0"/>
          <w:marTop w:val="144"/>
          <w:marBottom w:val="0"/>
          <w:divBdr>
            <w:top w:val="none" w:sz="0" w:space="0" w:color="auto"/>
            <w:left w:val="none" w:sz="0" w:space="0" w:color="auto"/>
            <w:bottom w:val="none" w:sz="0" w:space="0" w:color="auto"/>
            <w:right w:val="none" w:sz="0" w:space="0" w:color="auto"/>
          </w:divBdr>
        </w:div>
        <w:div w:id="1622153101">
          <w:marLeft w:val="1555"/>
          <w:marRight w:val="0"/>
          <w:marTop w:val="125"/>
          <w:marBottom w:val="0"/>
          <w:divBdr>
            <w:top w:val="none" w:sz="0" w:space="0" w:color="auto"/>
            <w:left w:val="none" w:sz="0" w:space="0" w:color="auto"/>
            <w:bottom w:val="none" w:sz="0" w:space="0" w:color="auto"/>
            <w:right w:val="none" w:sz="0" w:space="0" w:color="auto"/>
          </w:divBdr>
        </w:div>
        <w:div w:id="841824102">
          <w:marLeft w:val="2117"/>
          <w:marRight w:val="0"/>
          <w:marTop w:val="106"/>
          <w:marBottom w:val="0"/>
          <w:divBdr>
            <w:top w:val="none" w:sz="0" w:space="0" w:color="auto"/>
            <w:left w:val="none" w:sz="0" w:space="0" w:color="auto"/>
            <w:bottom w:val="none" w:sz="0" w:space="0" w:color="auto"/>
            <w:right w:val="none" w:sz="0" w:space="0" w:color="auto"/>
          </w:divBdr>
        </w:div>
        <w:div w:id="27416812">
          <w:marLeft w:val="2520"/>
          <w:marRight w:val="0"/>
          <w:marTop w:val="86"/>
          <w:marBottom w:val="0"/>
          <w:divBdr>
            <w:top w:val="none" w:sz="0" w:space="0" w:color="auto"/>
            <w:left w:val="none" w:sz="0" w:space="0" w:color="auto"/>
            <w:bottom w:val="none" w:sz="0" w:space="0" w:color="auto"/>
            <w:right w:val="none" w:sz="0" w:space="0" w:color="auto"/>
          </w:divBdr>
        </w:div>
        <w:div w:id="1855798552">
          <w:marLeft w:val="3240"/>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nathanisilverberg@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I:\SHARED\Global\Templates\Reports\PCO%20EU%20Report%20Template%20v4_0.dotx" TargetMode="External"/></Relationships>
</file>

<file path=word/theme/theme1.xml><?xml version="1.0" encoding="utf-8"?>
<a:theme xmlns:a="http://schemas.openxmlformats.org/drawingml/2006/main" name="Adelphi">
  <a:themeElements>
    <a:clrScheme name="Adelphi">
      <a:dk1>
        <a:srgbClr val="4E5053"/>
      </a:dk1>
      <a:lt1>
        <a:srgbClr val="FFFFFF"/>
      </a:lt1>
      <a:dk2>
        <a:srgbClr val="4E5053"/>
      </a:dk2>
      <a:lt2>
        <a:srgbClr val="FFFFFF"/>
      </a:lt2>
      <a:accent1>
        <a:srgbClr val="68B937"/>
      </a:accent1>
      <a:accent2>
        <a:srgbClr val="00A6CB"/>
      </a:accent2>
      <a:accent3>
        <a:srgbClr val="003569"/>
      </a:accent3>
      <a:accent4>
        <a:srgbClr val="EF7F04"/>
      </a:accent4>
      <a:accent5>
        <a:srgbClr val="008380"/>
      </a:accent5>
      <a:accent6>
        <a:srgbClr val="FFBB2D"/>
      </a:accent6>
      <a:hlink>
        <a:srgbClr val="00A6CB"/>
      </a:hlink>
      <a:folHlink>
        <a:srgbClr val="FF6433"/>
      </a:folHlink>
    </a:clrScheme>
    <a:fontScheme name="Adelphi Values font">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3">
            <a:shade val="50000"/>
          </a:schemeClr>
        </a:lnRef>
        <a:fillRef idx="1">
          <a:schemeClr val="accent3"/>
        </a:fillRef>
        <a:effectRef idx="0">
          <a:schemeClr val="accent3"/>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1EC29-8784-443B-A7E7-DF4868DCB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PCO EU Report Template v4_0.dotx</Template>
  <TotalTime>23</TotalTime>
  <Pages>5</Pages>
  <Words>1160</Words>
  <Characters>6614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adelphi</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Alyson Young (Adelphi Values)</dc:creator>
  <cp:lastModifiedBy>Priyanka Ramesh</cp:lastModifiedBy>
  <cp:revision>6</cp:revision>
  <cp:lastPrinted>2013-06-06T13:04:00Z</cp:lastPrinted>
  <dcterms:created xsi:type="dcterms:W3CDTF">2023-12-12T12:22:00Z</dcterms:created>
  <dcterms:modified xsi:type="dcterms:W3CDTF">2024-02-11T06:46:00Z</dcterms:modified>
</cp:coreProperties>
</file>