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88E94A" w14:textId="77777777" w:rsidR="00E64266" w:rsidRPr="00534815" w:rsidRDefault="00534815">
      <w:pPr>
        <w:rPr>
          <w:rFonts w:ascii="Times New Roman" w:eastAsia="Times New Roman" w:hAnsi="Times New Roman" w:cs="Times New Roman"/>
          <w:b/>
          <w:sz w:val="21"/>
          <w:szCs w:val="21"/>
          <w:lang w:eastAsia="en-GB"/>
        </w:rPr>
      </w:pPr>
      <w:r w:rsidRPr="00534815">
        <w:rPr>
          <w:rFonts w:ascii="Times New Roman" w:eastAsia="Times New Roman" w:hAnsi="Times New Roman" w:cs="Times New Roman"/>
          <w:b/>
          <w:sz w:val="21"/>
          <w:szCs w:val="21"/>
          <w:lang w:eastAsia="en-GB"/>
        </w:rPr>
        <w:t>STROBE-MR checklist of re</w:t>
      </w:r>
      <w:bookmarkStart w:id="0" w:name="_GoBack"/>
      <w:bookmarkEnd w:id="0"/>
      <w:r w:rsidRPr="00534815">
        <w:rPr>
          <w:rFonts w:ascii="Times New Roman" w:eastAsia="Times New Roman" w:hAnsi="Times New Roman" w:cs="Times New Roman"/>
          <w:b/>
          <w:sz w:val="21"/>
          <w:szCs w:val="21"/>
          <w:lang w:eastAsia="en-GB"/>
        </w:rPr>
        <w:t>commended items to address in reports of Mendelian randomization studies</w:t>
      </w:r>
      <w:r w:rsidRPr="00534815">
        <w:rPr>
          <w:rFonts w:ascii="Times New Roman" w:eastAsia="Times New Roman" w:hAnsi="Times New Roman" w:cs="Times New Roman"/>
          <w:b/>
          <w:sz w:val="21"/>
          <w:szCs w:val="21"/>
          <w:lang w:eastAsia="en-GB"/>
        </w:rPr>
        <w:fldChar w:fldCharType="begin" w:fldLock="1"/>
      </w:r>
      <w:r w:rsidRPr="00534815">
        <w:rPr>
          <w:rFonts w:ascii="Times New Roman" w:eastAsia="Times New Roman" w:hAnsi="Times New Roman" w:cs="Times New Roman"/>
          <w:b/>
          <w:sz w:val="21"/>
          <w:szCs w:val="21"/>
          <w:lang w:eastAsia="en-GB"/>
        </w:rPr>
        <w:instrText xml:space="preserve">ADDIN CSL_CITATION </w:instrText>
      </w:r>
      <w:r w:rsidRPr="00534815">
        <w:rPr>
          <w:rFonts w:ascii="Times New Roman" w:eastAsia="Times New Roman" w:hAnsi="Times New Roman" w:cs="Times New Roman"/>
          <w:b/>
          <w:sz w:val="21"/>
          <w:szCs w:val="21"/>
          <w:lang w:eastAsia="en-GB"/>
        </w:rPr>
        <w:instrText>{"citationItems":[{"id":"ITEM-1","itemData":{"author":[{"dropping-particle":"","family":"Skrivankova","given":"V W","non-dropping-particle":"","parse-names":false,"suffix":""},{"dropping-particle":"","family":"Richmond","given":"R C","non-dropping-particle</w:instrText>
      </w:r>
      <w:r w:rsidRPr="00534815">
        <w:rPr>
          <w:rFonts w:ascii="Times New Roman" w:eastAsia="Times New Roman" w:hAnsi="Times New Roman" w:cs="Times New Roman"/>
          <w:b/>
          <w:sz w:val="21"/>
          <w:szCs w:val="21"/>
          <w:lang w:eastAsia="en-GB"/>
        </w:rPr>
        <w:instrText>":"","parse-names":false,"suffix":""},{"dropping-particle":"","family":"Woolf","given":"B A R","non-dropping-particle":"","parse-names":false,"suffix":""},{"dropping-particle":"","family":"Yarmolinsky","given":"J","non-dropping-particle":"","parse-names":f</w:instrText>
      </w:r>
      <w:r w:rsidRPr="00534815">
        <w:rPr>
          <w:rFonts w:ascii="Times New Roman" w:eastAsia="Times New Roman" w:hAnsi="Times New Roman" w:cs="Times New Roman"/>
          <w:b/>
          <w:sz w:val="21"/>
          <w:szCs w:val="21"/>
          <w:lang w:eastAsia="en-GB"/>
        </w:rPr>
        <w:instrText>alse,"suffix":""},{"dropping-particle":"","family":"Davies","given":"N M","non-dropping-particle":"","parse-names":false,"suffix":""},{"dropping-particle":"","family":"Swanson","given":"S A","non-dropping-particle":"","parse-names":false,"suffix":""},{"dro</w:instrText>
      </w:r>
      <w:r w:rsidRPr="00534815">
        <w:rPr>
          <w:rFonts w:ascii="Times New Roman" w:eastAsia="Times New Roman" w:hAnsi="Times New Roman" w:cs="Times New Roman"/>
          <w:b/>
          <w:sz w:val="21"/>
          <w:szCs w:val="21"/>
          <w:lang w:eastAsia="en-GB"/>
        </w:rPr>
        <w:instrText>pping-particle":"","family":"VanderWeele","given":"T J","non-dropping-particle":"","parse-names":false,"suffix":""},{"dropping-particle":"","family":"Higgins","given":"J P H","non-dropping-particle":"","parse-names":false,"suffix":""},{"dropping-particle":</w:instrText>
      </w:r>
      <w:r w:rsidRPr="00534815">
        <w:rPr>
          <w:rFonts w:ascii="Times New Roman" w:eastAsia="Times New Roman" w:hAnsi="Times New Roman" w:cs="Times New Roman"/>
          <w:b/>
          <w:sz w:val="21"/>
          <w:szCs w:val="21"/>
          <w:lang w:eastAsia="en-GB"/>
        </w:rPr>
        <w:instrText>"","family":"Timpson","given":"N J","non-dropping-particle":"","parse-names":false,"suffix":""},{"dropping-particle":"","family":"Dimou","given":"N","non-dropping-particle":"","parse-names":false,"suffix":""},{"dropping-particle":"","family":"Langenberg","</w:instrText>
      </w:r>
      <w:r w:rsidRPr="00534815">
        <w:rPr>
          <w:rFonts w:ascii="Times New Roman" w:eastAsia="Times New Roman" w:hAnsi="Times New Roman" w:cs="Times New Roman"/>
          <w:b/>
          <w:sz w:val="21"/>
          <w:szCs w:val="21"/>
          <w:lang w:eastAsia="en-GB"/>
        </w:rPr>
        <w:instrText>given":"C","non-dropping-particle":"","parse-names":false,"suffix":""},{"dropping-particle":"","family":"Loder","given":"E W","non-dropping-particle":"","parse-names":false,"suffix":""},{"dropping-particle":"","family":"Golub","given":"R","non-dropping-par</w:instrText>
      </w:r>
      <w:r w:rsidRPr="00534815">
        <w:rPr>
          <w:rFonts w:ascii="Times New Roman" w:eastAsia="Times New Roman" w:hAnsi="Times New Roman" w:cs="Times New Roman"/>
          <w:b/>
          <w:sz w:val="21"/>
          <w:szCs w:val="21"/>
          <w:lang w:eastAsia="en-GB"/>
        </w:rPr>
        <w:instrText>ticle":"","parse-names":false,"suffix":""},{"dropping-particle":"","family":"Gallo","given":"V","non-dropping-particle":"","parse-names":false,"suffix":""},{"dropping-particle":"","family":"Tybjaerg-Hansen","given":"A","non-dropping-particle":"","parse-nam</w:instrText>
      </w:r>
      <w:r w:rsidRPr="00534815">
        <w:rPr>
          <w:rFonts w:ascii="Times New Roman" w:eastAsia="Times New Roman" w:hAnsi="Times New Roman" w:cs="Times New Roman"/>
          <w:b/>
          <w:sz w:val="21"/>
          <w:szCs w:val="21"/>
          <w:lang w:eastAsia="en-GB"/>
        </w:rPr>
        <w:instrText>es":false,"suffix":""},{"dropping-particle":"","family":"Davey Smith","given":"G","non-dropping-particle":"","parse-names":false,"suffix":""},{"dropping-particle":"","family":"Egger","given":"M","non-dropping-particle":"","parse-names":false,"suffix":""},{</w:instrText>
      </w:r>
      <w:r w:rsidRPr="00534815">
        <w:rPr>
          <w:rFonts w:ascii="Times New Roman" w:eastAsia="Times New Roman" w:hAnsi="Times New Roman" w:cs="Times New Roman"/>
          <w:b/>
          <w:sz w:val="21"/>
          <w:szCs w:val="21"/>
          <w:lang w:eastAsia="en-GB"/>
        </w:rPr>
        <w:instrText>"dropping-particle":"","family":"Richards","given":"J B","non-dropping-particle":"","parse-names":false,"suffix":""}],"container-title":"JAMA","id":"ITEM-1","issued":{"date-parts":[["2021"]]},"page":"under review","title":"Strengthening the Reporting of Ob</w:instrText>
      </w:r>
      <w:r w:rsidRPr="00534815">
        <w:rPr>
          <w:rFonts w:ascii="Times New Roman" w:eastAsia="Times New Roman" w:hAnsi="Times New Roman" w:cs="Times New Roman"/>
          <w:b/>
          <w:sz w:val="21"/>
          <w:szCs w:val="21"/>
          <w:lang w:eastAsia="en-GB"/>
        </w:rPr>
        <w:instrText>servational Studies in Epidemiology using Mendelian Randomization (STROBE-MR) Statement","type":"article-journal"},"uris":["http://www.mendeley.com/documents/?uuid=29dd9aa2-14fd-450b-83fb-4c6b74b75061"]}],"mendeley":{"formattedCitation":"&lt;sup&gt;1&lt;/sup&gt;","pla</w:instrText>
      </w:r>
      <w:r w:rsidRPr="00534815">
        <w:rPr>
          <w:rFonts w:ascii="Times New Roman" w:eastAsia="Times New Roman" w:hAnsi="Times New Roman" w:cs="Times New Roman"/>
          <w:b/>
          <w:sz w:val="21"/>
          <w:szCs w:val="21"/>
          <w:lang w:eastAsia="en-GB"/>
        </w:rPr>
        <w:instrText>inTextFormattedCitation":"1"},"properties":{"noteIndex":0},"schema":"https://github.com/citation-style-language/schema/raw/master/csl-citation.json"}</w:instrText>
      </w:r>
      <w:r w:rsidRPr="00534815">
        <w:rPr>
          <w:rFonts w:ascii="Times New Roman" w:eastAsia="Times New Roman" w:hAnsi="Times New Roman" w:cs="Times New Roman"/>
          <w:b/>
          <w:sz w:val="21"/>
          <w:szCs w:val="21"/>
          <w:lang w:eastAsia="en-GB"/>
        </w:rPr>
        <w:fldChar w:fldCharType="separate"/>
      </w:r>
      <w:r w:rsidRPr="00534815">
        <w:rPr>
          <w:rFonts w:ascii="Times New Roman" w:eastAsia="Times New Roman" w:hAnsi="Times New Roman" w:cs="Times New Roman"/>
          <w:sz w:val="21"/>
          <w:szCs w:val="21"/>
          <w:vertAlign w:val="superscript"/>
          <w:lang w:eastAsia="en-GB"/>
        </w:rPr>
        <w:t>1</w:t>
      </w:r>
      <w:r w:rsidRPr="00534815">
        <w:rPr>
          <w:rFonts w:ascii="Times New Roman" w:eastAsia="Times New Roman" w:hAnsi="Times New Roman" w:cs="Times New Roman"/>
          <w:b/>
          <w:sz w:val="21"/>
          <w:szCs w:val="21"/>
          <w:lang w:eastAsia="en-GB"/>
        </w:rPr>
        <w:fldChar w:fldCharType="end"/>
      </w:r>
      <w:r w:rsidRPr="00534815">
        <w:rPr>
          <w:rFonts w:ascii="Times New Roman" w:eastAsia="Times New Roman" w:hAnsi="Times New Roman" w:cs="Times New Roman"/>
          <w:b/>
          <w:sz w:val="21"/>
          <w:szCs w:val="21"/>
          <w:lang w:eastAsia="en-GB"/>
        </w:rPr>
        <w:t xml:space="preserve"> </w:t>
      </w:r>
      <w:r w:rsidRPr="00534815">
        <w:rPr>
          <w:rFonts w:ascii="Times New Roman" w:eastAsia="Times New Roman" w:hAnsi="Times New Roman" w:cs="Times New Roman"/>
          <w:b/>
          <w:sz w:val="21"/>
          <w:szCs w:val="21"/>
          <w:lang w:eastAsia="en-GB"/>
        </w:rPr>
        <w:fldChar w:fldCharType="begin" w:fldLock="1"/>
      </w:r>
      <w:r w:rsidRPr="00534815">
        <w:rPr>
          <w:rFonts w:ascii="Times New Roman" w:eastAsia="Times New Roman" w:hAnsi="Times New Roman" w:cs="Times New Roman"/>
          <w:b/>
          <w:sz w:val="21"/>
          <w:szCs w:val="21"/>
          <w:lang w:eastAsia="en-GB"/>
        </w:rPr>
        <w:instrText>ADDIN CSL_CITATION {"citationItems":[{"id":"ITEM-1","itemData":{"author":[{"dropping-particle":"","fam</w:instrText>
      </w:r>
      <w:r w:rsidRPr="00534815">
        <w:rPr>
          <w:rFonts w:ascii="Times New Roman" w:eastAsia="Times New Roman" w:hAnsi="Times New Roman" w:cs="Times New Roman"/>
          <w:b/>
          <w:sz w:val="21"/>
          <w:szCs w:val="21"/>
          <w:lang w:eastAsia="en-GB"/>
        </w:rPr>
        <w:instrText>ily":"Skrivankova","given":"Veronika W","non-dropping-particle":"","parse-names":false,"suffix":""},{"dropping-particle":"","family":"Richmond","given":"Rebecca C","non-dropping-particle":"","parse-names":false,"suffix":""},{"dropping-particle":"","family"</w:instrText>
      </w:r>
      <w:r w:rsidRPr="00534815">
        <w:rPr>
          <w:rFonts w:ascii="Times New Roman" w:eastAsia="Times New Roman" w:hAnsi="Times New Roman" w:cs="Times New Roman"/>
          <w:b/>
          <w:sz w:val="21"/>
          <w:szCs w:val="21"/>
          <w:lang w:eastAsia="en-GB"/>
        </w:rPr>
        <w:instrText>:"Woolf","given":"Benjamin A R","non-dropping-particle":"","parse-names":false,"suffix":""},{"dropping-particle":"","family":"Davies","given":"Neil M","non-dropping-particle":"","parse-names":false,"suffix":""},{"dropping-particle":"","family":"Swanson","g</w:instrText>
      </w:r>
      <w:r w:rsidRPr="00534815">
        <w:rPr>
          <w:rFonts w:ascii="Times New Roman" w:eastAsia="Times New Roman" w:hAnsi="Times New Roman" w:cs="Times New Roman"/>
          <w:b/>
          <w:sz w:val="21"/>
          <w:szCs w:val="21"/>
          <w:lang w:eastAsia="en-GB"/>
        </w:rPr>
        <w:instrText>iven":"Sonja A","non-dropping-particle":"","parse-names":false,"suffix":""},{"dropping-particle":"","family":"VanderWeele","given":"Tyler J","non-dropping-particle":"","parse-names":false,"suffix":""},{"dropping-particle":"","family":"Timpson","given":"Nic</w:instrText>
      </w:r>
      <w:r w:rsidRPr="00534815">
        <w:rPr>
          <w:rFonts w:ascii="Times New Roman" w:eastAsia="Times New Roman" w:hAnsi="Times New Roman" w:cs="Times New Roman"/>
          <w:b/>
          <w:sz w:val="21"/>
          <w:szCs w:val="21"/>
          <w:lang w:eastAsia="en-GB"/>
        </w:rPr>
        <w:instrText>holas J","non-dropping-particle":"","parse-names":false,"suffix":""},{"dropping-particle":"","family":"Higgins","given":"Julian P T","non-dropping-particle":"","parse-names":false,"suffix":""},{"dropping-particle":"","family":"Dimou","given":"Niki","non-dr</w:instrText>
      </w:r>
      <w:r w:rsidRPr="00534815">
        <w:rPr>
          <w:rFonts w:ascii="Times New Roman" w:eastAsia="Times New Roman" w:hAnsi="Times New Roman" w:cs="Times New Roman"/>
          <w:b/>
          <w:sz w:val="21"/>
          <w:szCs w:val="21"/>
          <w:lang w:eastAsia="en-GB"/>
        </w:rPr>
        <w:instrText>opping-particle":"","parse-names":false,"suffix":""},{"dropping-particle":"","family":"Langenberg","given":"Claudia","non-dropping-particle":"","parse-names":false,"suffix":""},{"dropping-particle":"","family":"Loder","given":"Elizabeth W","non-dropping-pa</w:instrText>
      </w:r>
      <w:r w:rsidRPr="00534815">
        <w:rPr>
          <w:rFonts w:ascii="Times New Roman" w:eastAsia="Times New Roman" w:hAnsi="Times New Roman" w:cs="Times New Roman"/>
          <w:b/>
          <w:sz w:val="21"/>
          <w:szCs w:val="21"/>
          <w:lang w:eastAsia="en-GB"/>
        </w:rPr>
        <w:instrText>rticle":"","parse-names":false,"suffix":""},{"dropping-particle":"","family":"Golub","given":"Robert M","non-dropping-particle":"","parse-names":false,"suffix":""},{"dropping-particle":"","family":"Egger","given":"Mathias","non-dropping-particle":"","parse</w:instrText>
      </w:r>
      <w:r w:rsidRPr="00534815">
        <w:rPr>
          <w:rFonts w:ascii="Times New Roman" w:eastAsia="Times New Roman" w:hAnsi="Times New Roman" w:cs="Times New Roman"/>
          <w:b/>
          <w:sz w:val="21"/>
          <w:szCs w:val="21"/>
          <w:lang w:eastAsia="en-GB"/>
        </w:rPr>
        <w:instrText>-names":false,"suffix":""},{"dropping-particle":"","family":"Davey Smith","given":"George","non-dropping-particle":"","parse-names":false,"suffix":""},{"dropping-particle":"","family":"Richards","given":"J Brent","non-dropping-particle":"","parse-names":fa</w:instrText>
      </w:r>
      <w:r w:rsidRPr="00534815">
        <w:rPr>
          <w:rFonts w:ascii="Times New Roman" w:eastAsia="Times New Roman" w:hAnsi="Times New Roman" w:cs="Times New Roman"/>
          <w:b/>
          <w:sz w:val="21"/>
          <w:szCs w:val="21"/>
          <w:lang w:eastAsia="en-GB"/>
        </w:rPr>
        <w:instrText>lse,"suffix":""}],"container-title":"BMJ","id":"ITEM-1","issued":{"date-parts":[["2021"]]},"title":"Strengthening the Reporting of Observational Studies in Epidemiology using Mendelian Randomisation (STROBE-MR): Explanation and Elaboration","type":"article</w:instrText>
      </w:r>
      <w:r w:rsidRPr="00534815">
        <w:rPr>
          <w:rFonts w:ascii="Times New Roman" w:eastAsia="Times New Roman" w:hAnsi="Times New Roman" w:cs="Times New Roman"/>
          <w:b/>
          <w:sz w:val="21"/>
          <w:szCs w:val="21"/>
          <w:lang w:eastAsia="en-GB"/>
        </w:rPr>
        <w:instrText>-journal","volume":"375:n2233"},"uris":["http://www.mendeley.com/documents/?uuid=af64eb33-5308-4d72-bd7e-6fe0d8fe3570"]}],"mendeley":{"formattedCitation":"&lt;sup&gt;2&lt;/sup&gt;","plainTextFormattedCitation":"2","previouslyFormattedCitation":"&lt;sup&gt;1&lt;/sup&gt;"},"propert</w:instrText>
      </w:r>
      <w:r w:rsidRPr="00534815">
        <w:rPr>
          <w:rFonts w:ascii="Times New Roman" w:eastAsia="Times New Roman" w:hAnsi="Times New Roman" w:cs="Times New Roman"/>
          <w:b/>
          <w:sz w:val="21"/>
          <w:szCs w:val="21"/>
          <w:lang w:eastAsia="en-GB"/>
        </w:rPr>
        <w:instrText>ies":{"noteIndex":0},"schema":"https://github.com/citation-style-language/schema/raw/master/csl-citation.json"}</w:instrText>
      </w:r>
      <w:r w:rsidRPr="00534815">
        <w:rPr>
          <w:rFonts w:ascii="Times New Roman" w:eastAsia="Times New Roman" w:hAnsi="Times New Roman" w:cs="Times New Roman"/>
          <w:b/>
          <w:sz w:val="21"/>
          <w:szCs w:val="21"/>
          <w:lang w:eastAsia="en-GB"/>
        </w:rPr>
        <w:fldChar w:fldCharType="separate"/>
      </w:r>
      <w:r w:rsidRPr="00534815">
        <w:rPr>
          <w:rFonts w:ascii="Times New Roman" w:eastAsia="Times New Roman" w:hAnsi="Times New Roman" w:cs="Times New Roman"/>
          <w:sz w:val="21"/>
          <w:szCs w:val="21"/>
          <w:vertAlign w:val="superscript"/>
          <w:lang w:eastAsia="en-GB"/>
        </w:rPr>
        <w:t>2</w:t>
      </w:r>
      <w:r w:rsidRPr="00534815">
        <w:rPr>
          <w:rFonts w:ascii="Times New Roman" w:eastAsia="Times New Roman" w:hAnsi="Times New Roman" w:cs="Times New Roman"/>
          <w:b/>
          <w:sz w:val="21"/>
          <w:szCs w:val="21"/>
          <w:lang w:eastAsia="en-GB"/>
        </w:rPr>
        <w:fldChar w:fldCharType="end"/>
      </w:r>
      <w:r w:rsidRPr="00534815">
        <w:rPr>
          <w:rFonts w:ascii="Times New Roman" w:eastAsia="Times New Roman" w:hAnsi="Times New Roman" w:cs="Times New Roman"/>
          <w:b/>
          <w:sz w:val="21"/>
          <w:szCs w:val="21"/>
          <w:lang w:eastAsia="en-GB"/>
        </w:rPr>
        <w:t> </w:t>
      </w:r>
    </w:p>
    <w:p w14:paraId="386AA741" w14:textId="77777777" w:rsidR="00E64266" w:rsidRPr="00534815" w:rsidRDefault="00E64266">
      <w:pPr>
        <w:rPr>
          <w:rFonts w:ascii="Times New Roman" w:eastAsia="Times New Roman" w:hAnsi="Times New Roman" w:cs="Times New Roman"/>
          <w:b/>
          <w:sz w:val="21"/>
          <w:szCs w:val="21"/>
          <w:lang w:eastAsia="en-GB"/>
        </w:rPr>
      </w:pPr>
    </w:p>
    <w:tbl>
      <w:tblPr>
        <w:tblW w:w="14490" w:type="dxa"/>
        <w:tblLook w:val="04A0" w:firstRow="1" w:lastRow="0" w:firstColumn="1" w:lastColumn="0" w:noHBand="0" w:noVBand="1"/>
      </w:tblPr>
      <w:tblGrid>
        <w:gridCol w:w="636"/>
        <w:gridCol w:w="1897"/>
        <w:gridCol w:w="6933"/>
        <w:gridCol w:w="719"/>
        <w:gridCol w:w="4305"/>
      </w:tblGrid>
      <w:tr w:rsidR="00534815" w:rsidRPr="00534815" w14:paraId="34A34841" w14:textId="77777777">
        <w:tc>
          <w:tcPr>
            <w:tcW w:w="587" w:type="dxa"/>
            <w:tcBorders>
              <w:top w:val="single" w:sz="4" w:space="0" w:color="auto"/>
              <w:bottom w:val="single" w:sz="6" w:space="0" w:color="7F7F7F"/>
            </w:tcBorders>
            <w:shd w:val="clear" w:color="auto" w:fill="auto"/>
          </w:tcPr>
          <w:p w14:paraId="6E9F4DB0" w14:textId="77777777" w:rsidR="00E64266" w:rsidRPr="00534815" w:rsidRDefault="00534815">
            <w:pPr>
              <w:spacing w:beforeLines="40" w:before="96" w:afterLines="40" w:after="96" w:line="24" w:lineRule="atLeast"/>
              <w:rPr>
                <w:rFonts w:ascii="Times New Roman" w:eastAsia="Cambria" w:hAnsi="Times New Roman" w:cs="Times New Roman"/>
                <w:b/>
                <w:bCs/>
                <w:sz w:val="21"/>
                <w:szCs w:val="21"/>
                <w:lang w:val="en-GB" w:eastAsia="en-US"/>
              </w:rPr>
            </w:pPr>
            <w:r w:rsidRPr="00534815">
              <w:rPr>
                <w:rFonts w:ascii="Times New Roman" w:eastAsia="Cambria" w:hAnsi="Times New Roman" w:cs="Times New Roman"/>
                <w:b/>
                <w:bCs/>
                <w:sz w:val="21"/>
                <w:szCs w:val="21"/>
                <w:lang w:val="en-GB" w:eastAsia="en-US"/>
              </w:rPr>
              <w:t>Item No.</w:t>
            </w:r>
          </w:p>
        </w:tc>
        <w:tc>
          <w:tcPr>
            <w:tcW w:w="1822" w:type="dxa"/>
            <w:tcBorders>
              <w:top w:val="single" w:sz="4" w:space="0" w:color="auto"/>
              <w:bottom w:val="single" w:sz="6" w:space="0" w:color="7F7F7F"/>
            </w:tcBorders>
            <w:shd w:val="clear" w:color="auto" w:fill="auto"/>
          </w:tcPr>
          <w:p w14:paraId="70745A69" w14:textId="77777777" w:rsidR="00E64266" w:rsidRPr="00534815" w:rsidRDefault="00534815">
            <w:pPr>
              <w:spacing w:beforeLines="40" w:before="96" w:afterLines="40" w:after="96" w:line="24" w:lineRule="atLeast"/>
              <w:rPr>
                <w:rFonts w:ascii="Times New Roman" w:eastAsia="Cambria" w:hAnsi="Times New Roman" w:cs="Times New Roman"/>
                <w:b/>
                <w:bCs/>
                <w:sz w:val="21"/>
                <w:szCs w:val="21"/>
                <w:lang w:val="en-GB" w:eastAsia="en-US"/>
              </w:rPr>
            </w:pPr>
            <w:r w:rsidRPr="00534815">
              <w:rPr>
                <w:rFonts w:ascii="Times New Roman" w:eastAsia="Cambria" w:hAnsi="Times New Roman" w:cs="Times New Roman"/>
                <w:b/>
                <w:bCs/>
                <w:sz w:val="21"/>
                <w:szCs w:val="21"/>
                <w:lang w:val="en-GB" w:eastAsia="en-US"/>
              </w:rPr>
              <w:t>Section</w:t>
            </w:r>
          </w:p>
        </w:tc>
        <w:tc>
          <w:tcPr>
            <w:tcW w:w="7041" w:type="dxa"/>
            <w:tcBorders>
              <w:top w:val="single" w:sz="4" w:space="0" w:color="auto"/>
              <w:bottom w:val="single" w:sz="6" w:space="0" w:color="7F7F7F"/>
            </w:tcBorders>
            <w:shd w:val="clear" w:color="auto" w:fill="auto"/>
          </w:tcPr>
          <w:p w14:paraId="3ABD698D" w14:textId="77777777" w:rsidR="00E64266" w:rsidRPr="00534815" w:rsidRDefault="00534815">
            <w:pPr>
              <w:spacing w:beforeLines="40" w:before="96" w:afterLines="40" w:after="96" w:line="24" w:lineRule="atLeast"/>
              <w:rPr>
                <w:rFonts w:ascii="Times New Roman" w:eastAsia="Cambria" w:hAnsi="Times New Roman" w:cs="Times New Roman"/>
                <w:b/>
                <w:bCs/>
                <w:sz w:val="21"/>
                <w:szCs w:val="21"/>
                <w:lang w:val="en-GB" w:eastAsia="en-US"/>
              </w:rPr>
            </w:pPr>
            <w:r w:rsidRPr="00534815">
              <w:rPr>
                <w:rFonts w:ascii="Times New Roman" w:eastAsia="Cambria" w:hAnsi="Times New Roman" w:cs="Times New Roman"/>
                <w:b/>
                <w:bCs/>
                <w:sz w:val="21"/>
                <w:szCs w:val="21"/>
                <w:lang w:val="en-GB" w:eastAsia="en-US"/>
              </w:rPr>
              <w:t xml:space="preserve">Checklist item </w:t>
            </w:r>
          </w:p>
        </w:tc>
        <w:tc>
          <w:tcPr>
            <w:tcW w:w="720" w:type="dxa"/>
            <w:tcBorders>
              <w:top w:val="single" w:sz="4" w:space="0" w:color="auto"/>
              <w:bottom w:val="single" w:sz="6" w:space="0" w:color="7F7F7F"/>
            </w:tcBorders>
          </w:tcPr>
          <w:p w14:paraId="0F87265C" w14:textId="77777777" w:rsidR="00E64266" w:rsidRPr="00534815" w:rsidRDefault="00534815">
            <w:pPr>
              <w:spacing w:beforeLines="40" w:before="96" w:afterLines="40" w:after="96" w:line="24" w:lineRule="atLeast"/>
              <w:rPr>
                <w:rFonts w:ascii="Times New Roman" w:eastAsia="Cambria" w:hAnsi="Times New Roman" w:cs="Times New Roman"/>
                <w:b/>
                <w:bCs/>
                <w:sz w:val="21"/>
                <w:szCs w:val="21"/>
                <w:lang w:val="en-GB" w:eastAsia="en-US"/>
              </w:rPr>
            </w:pPr>
            <w:r w:rsidRPr="00534815">
              <w:rPr>
                <w:rFonts w:ascii="Times New Roman" w:eastAsia="Cambria" w:hAnsi="Times New Roman" w:cs="Times New Roman"/>
                <w:b/>
                <w:bCs/>
                <w:sz w:val="21"/>
                <w:szCs w:val="21"/>
                <w:lang w:val="en-GB" w:eastAsia="en-US"/>
              </w:rPr>
              <w:t>Page No.</w:t>
            </w:r>
          </w:p>
        </w:tc>
        <w:tc>
          <w:tcPr>
            <w:tcW w:w="4320" w:type="dxa"/>
            <w:tcBorders>
              <w:top w:val="single" w:sz="4" w:space="0" w:color="auto"/>
              <w:bottom w:val="single" w:sz="6" w:space="0" w:color="7F7F7F"/>
            </w:tcBorders>
          </w:tcPr>
          <w:p w14:paraId="4ED74C9F" w14:textId="77777777" w:rsidR="00E64266" w:rsidRPr="00534815" w:rsidRDefault="00534815">
            <w:pPr>
              <w:spacing w:beforeLines="40" w:before="96" w:afterLines="40" w:after="96" w:line="24" w:lineRule="atLeast"/>
              <w:rPr>
                <w:rFonts w:ascii="Times New Roman" w:eastAsia="Cambria" w:hAnsi="Times New Roman" w:cs="Times New Roman"/>
                <w:b/>
                <w:bCs/>
                <w:sz w:val="21"/>
                <w:szCs w:val="21"/>
                <w:lang w:val="en-GB" w:eastAsia="en-US"/>
              </w:rPr>
            </w:pPr>
            <w:r w:rsidRPr="00534815">
              <w:rPr>
                <w:rFonts w:ascii="Times New Roman" w:eastAsia="Cambria" w:hAnsi="Times New Roman" w:cs="Times New Roman"/>
                <w:b/>
                <w:bCs/>
                <w:sz w:val="21"/>
                <w:szCs w:val="21"/>
                <w:lang w:val="en-GB" w:eastAsia="en-US"/>
              </w:rPr>
              <w:t>Relevant text from manuscript</w:t>
            </w:r>
          </w:p>
        </w:tc>
      </w:tr>
      <w:tr w:rsidR="00534815" w:rsidRPr="00534815" w14:paraId="4C6B25B5" w14:textId="77777777">
        <w:tc>
          <w:tcPr>
            <w:tcW w:w="587" w:type="dxa"/>
            <w:tcBorders>
              <w:top w:val="single" w:sz="6" w:space="0" w:color="7F7F7F"/>
              <w:bottom w:val="single" w:sz="6" w:space="0" w:color="7F7F7F"/>
            </w:tcBorders>
            <w:shd w:val="clear" w:color="auto" w:fill="EEEEEE"/>
          </w:tcPr>
          <w:p w14:paraId="7717ACF1"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w:t>
            </w:r>
          </w:p>
        </w:tc>
        <w:tc>
          <w:tcPr>
            <w:tcW w:w="1822" w:type="dxa"/>
            <w:tcBorders>
              <w:top w:val="single" w:sz="6" w:space="0" w:color="7F7F7F"/>
              <w:bottom w:val="single" w:sz="6" w:space="0" w:color="7F7F7F"/>
            </w:tcBorders>
            <w:shd w:val="clear" w:color="auto" w:fill="EEEEEE"/>
          </w:tcPr>
          <w:p w14:paraId="625296C1"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TITLE and ABSTRACT</w:t>
            </w:r>
          </w:p>
        </w:tc>
        <w:tc>
          <w:tcPr>
            <w:tcW w:w="7041" w:type="dxa"/>
            <w:tcBorders>
              <w:top w:val="single" w:sz="6" w:space="0" w:color="7F7F7F"/>
              <w:bottom w:val="single" w:sz="6" w:space="0" w:color="7F7F7F"/>
            </w:tcBorders>
            <w:shd w:val="clear" w:color="auto" w:fill="EEEEEE"/>
          </w:tcPr>
          <w:p w14:paraId="156E5809"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Indicate Mendelian randomization (MR) as the</w:t>
            </w:r>
            <w:r w:rsidRPr="00534815">
              <w:rPr>
                <w:rFonts w:ascii="Times New Roman" w:eastAsia="Times New Roman" w:hAnsi="Times New Roman" w:cs="Times New Roman"/>
                <w:sz w:val="21"/>
                <w:szCs w:val="21"/>
                <w:lang w:val="en-GB" w:eastAsia="en-GB"/>
              </w:rPr>
              <w:t xml:space="preserve"> study’s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53416A7"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1</w:t>
            </w:r>
          </w:p>
        </w:tc>
        <w:tc>
          <w:tcPr>
            <w:tcW w:w="4320" w:type="dxa"/>
            <w:tcBorders>
              <w:top w:val="single" w:sz="6" w:space="0" w:color="7F7F7F"/>
              <w:bottom w:val="single" w:sz="6" w:space="0" w:color="7F7F7F"/>
            </w:tcBorders>
            <w:shd w:val="clear" w:color="auto" w:fill="EEEEEE"/>
          </w:tcPr>
          <w:p w14:paraId="7A55E625" w14:textId="77777777" w:rsidR="00E64266" w:rsidRPr="00534815" w:rsidRDefault="00534815">
            <w:pPr>
              <w:rPr>
                <w:rFonts w:ascii="Times New Roman" w:eastAsiaTheme="minorEastAsia" w:hAnsi="Times New Roman" w:cs="Times New Roman"/>
                <w:sz w:val="21"/>
                <w:szCs w:val="21"/>
                <w:lang w:val="en-US" w:eastAsia="zh-CN"/>
              </w:rPr>
            </w:pPr>
            <w:r w:rsidRPr="00534815">
              <w:rPr>
                <w:rFonts w:ascii="Times New Roman" w:eastAsiaTheme="minorEastAsia" w:hAnsi="Times New Roman" w:cs="Times New Roman"/>
                <w:sz w:val="21"/>
                <w:szCs w:val="21"/>
                <w:lang w:val="en-US" w:eastAsia="zh-CN"/>
              </w:rPr>
              <w:t>The Effect of Rosacea on Neurodegenerative and Neuropsychiatric Diseases: A Two-Sample Mendelian Randomization Study</w:t>
            </w:r>
          </w:p>
        </w:tc>
      </w:tr>
      <w:tr w:rsidR="00534815" w:rsidRPr="00534815" w14:paraId="5DE4723A" w14:textId="77777777">
        <w:tc>
          <w:tcPr>
            <w:tcW w:w="587" w:type="dxa"/>
            <w:tcBorders>
              <w:top w:val="single" w:sz="6" w:space="0" w:color="7F7F7F"/>
            </w:tcBorders>
            <w:shd w:val="clear" w:color="auto" w:fill="auto"/>
          </w:tcPr>
          <w:p w14:paraId="45926BCB" w14:textId="77777777" w:rsidR="00E64266" w:rsidRPr="00534815" w:rsidRDefault="00E64266">
            <w:pPr>
              <w:spacing w:beforeLines="40" w:before="96" w:afterLines="40" w:after="96" w:line="24" w:lineRule="atLeast"/>
              <w:rPr>
                <w:rFonts w:ascii="Times New Roman" w:eastAsia="Times New Roman" w:hAnsi="Times New Roman" w:cs="Times New Roman"/>
                <w:b/>
                <w:bCs/>
                <w:sz w:val="21"/>
                <w:szCs w:val="21"/>
                <w:lang w:val="en-GB" w:eastAsia="zh-CN"/>
              </w:rPr>
            </w:pPr>
          </w:p>
        </w:tc>
        <w:tc>
          <w:tcPr>
            <w:tcW w:w="1822" w:type="dxa"/>
            <w:tcBorders>
              <w:top w:val="single" w:sz="6" w:space="0" w:color="7F7F7F"/>
            </w:tcBorders>
            <w:shd w:val="clear" w:color="auto" w:fill="auto"/>
          </w:tcPr>
          <w:p w14:paraId="1D3E18D3"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INTRODUCTION</w:t>
            </w:r>
          </w:p>
        </w:tc>
        <w:tc>
          <w:tcPr>
            <w:tcW w:w="7041" w:type="dxa"/>
            <w:tcBorders>
              <w:top w:val="single" w:sz="6" w:space="0" w:color="7F7F7F"/>
            </w:tcBorders>
            <w:shd w:val="clear" w:color="auto" w:fill="auto"/>
          </w:tcPr>
          <w:p w14:paraId="724B1477"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tcBorders>
              <w:top w:val="single" w:sz="6" w:space="0" w:color="7F7F7F"/>
            </w:tcBorders>
          </w:tcPr>
          <w:p w14:paraId="455D13D0" w14:textId="77777777" w:rsidR="00E64266" w:rsidRPr="00534815" w:rsidRDefault="00E64266">
            <w:pPr>
              <w:spacing w:beforeLines="40" w:before="96" w:afterLines="40" w:after="96" w:line="24" w:lineRule="atLeast"/>
              <w:rPr>
                <w:rFonts w:ascii="Times New Roman" w:eastAsia="SimSun" w:hAnsi="Times New Roman" w:cs="Times New Roman"/>
                <w:sz w:val="21"/>
                <w:szCs w:val="21"/>
                <w:lang w:val="en-US" w:eastAsia="zh-CN"/>
              </w:rPr>
            </w:pPr>
          </w:p>
        </w:tc>
        <w:tc>
          <w:tcPr>
            <w:tcW w:w="4320" w:type="dxa"/>
            <w:tcBorders>
              <w:top w:val="single" w:sz="6" w:space="0" w:color="7F7F7F"/>
            </w:tcBorders>
          </w:tcPr>
          <w:p w14:paraId="1ECDF2B3"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406D1865" w14:textId="77777777">
        <w:tc>
          <w:tcPr>
            <w:tcW w:w="587" w:type="dxa"/>
            <w:shd w:val="clear" w:color="auto" w:fill="EEEEEE"/>
          </w:tcPr>
          <w:p w14:paraId="1FFEF390"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2</w:t>
            </w:r>
          </w:p>
        </w:tc>
        <w:tc>
          <w:tcPr>
            <w:tcW w:w="1822" w:type="dxa"/>
            <w:shd w:val="clear" w:color="auto" w:fill="EEEEEE"/>
          </w:tcPr>
          <w:p w14:paraId="12D2A2A6"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Background</w:t>
            </w:r>
          </w:p>
        </w:tc>
        <w:tc>
          <w:tcPr>
            <w:tcW w:w="7041" w:type="dxa"/>
            <w:shd w:val="clear" w:color="auto" w:fill="EEEEEE"/>
          </w:tcPr>
          <w:p w14:paraId="35B66AC9"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Explain the </w:t>
            </w:r>
            <w:r w:rsidRPr="00534815">
              <w:rPr>
                <w:rFonts w:ascii="Times New Roman" w:eastAsia="Times New Roman" w:hAnsi="Times New Roman" w:cs="Times New Roman"/>
                <w:sz w:val="21"/>
                <w:szCs w:val="21"/>
                <w:lang w:val="en-GB" w:eastAsia="en-GB"/>
              </w:rPr>
              <w:t>scientific background and rationale for the reported study. What is the exposure? Is a potential causal relationship between exposure and outcome plausible? Justify why MR is a helpful method to address the study question</w:t>
            </w:r>
          </w:p>
        </w:tc>
        <w:tc>
          <w:tcPr>
            <w:tcW w:w="720" w:type="dxa"/>
            <w:shd w:val="clear" w:color="auto" w:fill="EEEEEE"/>
          </w:tcPr>
          <w:p w14:paraId="322B6881"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1-2</w:t>
            </w:r>
          </w:p>
        </w:tc>
        <w:tc>
          <w:tcPr>
            <w:tcW w:w="4320" w:type="dxa"/>
            <w:shd w:val="clear" w:color="auto" w:fill="EEEEEE"/>
          </w:tcPr>
          <w:p w14:paraId="4654DB47"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This study investigates the po</w:t>
            </w:r>
            <w:r w:rsidRPr="00534815">
              <w:rPr>
                <w:rFonts w:ascii="Times New Roman" w:eastAsia="Times New Roman" w:hAnsi="Times New Roman" w:cs="Times New Roman"/>
                <w:sz w:val="21"/>
                <w:szCs w:val="21"/>
                <w:lang w:val="en-GB" w:eastAsia="zh-CN"/>
              </w:rPr>
              <w:t>tential causal relationships between rosacea and neurodegenerative and psychiatric disorders. Current evidence suggests that rosacea is not merely a dermatological condition but potentially a systemic disease. Through the concept of the gut-brain-skin axis</w:t>
            </w:r>
            <w:r w:rsidRPr="00534815">
              <w:rPr>
                <w:rFonts w:ascii="Times New Roman" w:eastAsia="Times New Roman" w:hAnsi="Times New Roman" w:cs="Times New Roman"/>
                <w:sz w:val="21"/>
                <w:szCs w:val="21"/>
                <w:lang w:val="en-GB" w:eastAsia="zh-CN"/>
              </w:rPr>
              <w:t>, research has identified associations between rosacea and conditions such as Parkinson's disease, Alzheimer's disease, anxiety, and depression. At the molecular level, studies have revealed 747 overlapping differentially expressed genes between Alzheimer'</w:t>
            </w:r>
            <w:r w:rsidRPr="00534815">
              <w:rPr>
                <w:rFonts w:ascii="Times New Roman" w:eastAsia="Times New Roman" w:hAnsi="Times New Roman" w:cs="Times New Roman"/>
                <w:sz w:val="21"/>
                <w:szCs w:val="21"/>
                <w:lang w:val="en-GB" w:eastAsia="zh-CN"/>
              </w:rPr>
              <w:t xml:space="preserve">s disease and rosacea, involving pathways related to inflammation, metabolism, and cellular apoptosis. Additionally, angiogenesis and vascular dysfunction have been identified as key shared pathogenic mechanisms, highlighting the central importance of the </w:t>
            </w:r>
            <w:r w:rsidRPr="00534815">
              <w:rPr>
                <w:rFonts w:ascii="Times New Roman" w:eastAsia="Times New Roman" w:hAnsi="Times New Roman" w:cs="Times New Roman"/>
                <w:sz w:val="21"/>
                <w:szCs w:val="21"/>
                <w:lang w:val="en-GB" w:eastAsia="zh-CN"/>
              </w:rPr>
              <w:t>neuro-vascular-immune network in their pathophysiology. However, current research is primarily based on observational studies, making it challenging to establish causal relationships. Mendelian randomization (MR) analysis, as a genetic variant-based approa</w:t>
            </w:r>
            <w:r w:rsidRPr="00534815">
              <w:rPr>
                <w:rFonts w:ascii="Times New Roman" w:eastAsia="Times New Roman" w:hAnsi="Times New Roman" w:cs="Times New Roman"/>
                <w:sz w:val="21"/>
                <w:szCs w:val="21"/>
                <w:lang w:val="en-GB" w:eastAsia="zh-CN"/>
              </w:rPr>
              <w:t xml:space="preserve">ch for causal inference, provides a robust method to control for confounding factors and can offer new insights for clinical prevention and treatment strategies. Therefore, employing two-sample MR analysis to study the causal relationships between </w:t>
            </w:r>
            <w:r w:rsidRPr="00534815">
              <w:rPr>
                <w:rFonts w:ascii="Times New Roman" w:eastAsia="Times New Roman" w:hAnsi="Times New Roman" w:cs="Times New Roman"/>
                <w:sz w:val="21"/>
                <w:szCs w:val="21"/>
                <w:lang w:val="en-GB" w:eastAsia="zh-CN"/>
              </w:rPr>
              <w:lastRenderedPageBreak/>
              <w:t xml:space="preserve">rosacea </w:t>
            </w:r>
            <w:r w:rsidRPr="00534815">
              <w:rPr>
                <w:rFonts w:ascii="Times New Roman" w:eastAsia="Times New Roman" w:hAnsi="Times New Roman" w:cs="Times New Roman"/>
                <w:sz w:val="21"/>
                <w:szCs w:val="21"/>
                <w:lang w:val="en-GB" w:eastAsia="zh-CN"/>
              </w:rPr>
              <w:t>and these conditions is both reasonable and necessary.</w:t>
            </w:r>
          </w:p>
        </w:tc>
      </w:tr>
      <w:tr w:rsidR="00534815" w:rsidRPr="00534815" w14:paraId="34A0BC51" w14:textId="77777777">
        <w:tc>
          <w:tcPr>
            <w:tcW w:w="587" w:type="dxa"/>
            <w:tcBorders>
              <w:bottom w:val="single" w:sz="6" w:space="0" w:color="7F7F7F"/>
            </w:tcBorders>
            <w:shd w:val="clear" w:color="auto" w:fill="auto"/>
          </w:tcPr>
          <w:p w14:paraId="344DC038"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lastRenderedPageBreak/>
              <w:t>3</w:t>
            </w:r>
          </w:p>
        </w:tc>
        <w:tc>
          <w:tcPr>
            <w:tcW w:w="1822" w:type="dxa"/>
            <w:tcBorders>
              <w:bottom w:val="single" w:sz="6" w:space="0" w:color="7F7F7F"/>
            </w:tcBorders>
            <w:shd w:val="clear" w:color="auto" w:fill="auto"/>
          </w:tcPr>
          <w:p w14:paraId="25D402E8"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Objectives</w:t>
            </w:r>
          </w:p>
        </w:tc>
        <w:tc>
          <w:tcPr>
            <w:tcW w:w="7041" w:type="dxa"/>
            <w:tcBorders>
              <w:bottom w:val="single" w:sz="6" w:space="0" w:color="7F7F7F"/>
            </w:tcBorders>
            <w:shd w:val="clear" w:color="auto" w:fill="auto"/>
          </w:tcPr>
          <w:p w14:paraId="51803A99"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3F54E1E3"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2</w:t>
            </w:r>
          </w:p>
        </w:tc>
        <w:tc>
          <w:tcPr>
            <w:tcW w:w="4320" w:type="dxa"/>
            <w:tcBorders>
              <w:bottom w:val="single" w:sz="6" w:space="0" w:color="7F7F7F"/>
            </w:tcBorders>
          </w:tcPr>
          <w:p w14:paraId="366AA74B"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The</w:t>
            </w:r>
            <w:r w:rsidRPr="00534815">
              <w:rPr>
                <w:rFonts w:ascii="Times New Roman" w:eastAsia="Times New Roman" w:hAnsi="Times New Roman" w:cs="Times New Roman"/>
                <w:sz w:val="21"/>
                <w:szCs w:val="21"/>
                <w:lang w:val="en-GB" w:eastAsia="zh-CN"/>
              </w:rPr>
              <w:t xml:space="preserve"> aim of this MR Study was to test the hypothesis that rosacea is associated with the risk of neurodegenerative and neuropsychiatric diseases。</w:t>
            </w:r>
          </w:p>
        </w:tc>
      </w:tr>
      <w:tr w:rsidR="00534815" w:rsidRPr="00534815" w14:paraId="456DD03E" w14:textId="77777777">
        <w:tc>
          <w:tcPr>
            <w:tcW w:w="587" w:type="dxa"/>
            <w:tcBorders>
              <w:top w:val="single" w:sz="6" w:space="0" w:color="7F7F7F"/>
            </w:tcBorders>
            <w:shd w:val="clear" w:color="auto" w:fill="EEEEEE"/>
          </w:tcPr>
          <w:p w14:paraId="156541A0" w14:textId="77777777" w:rsidR="00E64266" w:rsidRPr="00534815" w:rsidRDefault="00E64266">
            <w:pPr>
              <w:spacing w:beforeLines="40" w:before="96" w:afterLines="40" w:after="96" w:line="24" w:lineRule="atLeast"/>
              <w:rPr>
                <w:rFonts w:ascii="Times New Roman" w:eastAsia="Times New Roman" w:hAnsi="Times New Roman" w:cs="Times New Roman"/>
                <w:b/>
                <w:bCs/>
                <w:sz w:val="21"/>
                <w:szCs w:val="21"/>
                <w:lang w:val="en-GB" w:eastAsia="zh-CN"/>
              </w:rPr>
            </w:pPr>
          </w:p>
        </w:tc>
        <w:tc>
          <w:tcPr>
            <w:tcW w:w="1822" w:type="dxa"/>
            <w:tcBorders>
              <w:top w:val="single" w:sz="6" w:space="0" w:color="7F7F7F"/>
            </w:tcBorders>
            <w:shd w:val="clear" w:color="auto" w:fill="EEEEEE"/>
          </w:tcPr>
          <w:p w14:paraId="68935490"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METHODS</w:t>
            </w:r>
          </w:p>
        </w:tc>
        <w:tc>
          <w:tcPr>
            <w:tcW w:w="7041" w:type="dxa"/>
            <w:tcBorders>
              <w:top w:val="single" w:sz="6" w:space="0" w:color="7F7F7F"/>
            </w:tcBorders>
            <w:shd w:val="clear" w:color="auto" w:fill="EEEEEE"/>
          </w:tcPr>
          <w:p w14:paraId="7720166A"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tcBorders>
              <w:top w:val="single" w:sz="6" w:space="0" w:color="7F7F7F"/>
            </w:tcBorders>
            <w:shd w:val="clear" w:color="auto" w:fill="EEEEEE"/>
          </w:tcPr>
          <w:p w14:paraId="2508D540"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tcBorders>
              <w:top w:val="single" w:sz="6" w:space="0" w:color="7F7F7F"/>
            </w:tcBorders>
            <w:shd w:val="clear" w:color="auto" w:fill="EEEEEE"/>
          </w:tcPr>
          <w:p w14:paraId="5EE9ABB9"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67D175E0" w14:textId="77777777">
        <w:tc>
          <w:tcPr>
            <w:tcW w:w="587" w:type="dxa"/>
            <w:shd w:val="clear" w:color="auto" w:fill="auto"/>
          </w:tcPr>
          <w:p w14:paraId="20DAB3EA"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4</w:t>
            </w:r>
          </w:p>
        </w:tc>
        <w:tc>
          <w:tcPr>
            <w:tcW w:w="1822" w:type="dxa"/>
            <w:shd w:val="clear" w:color="auto" w:fill="auto"/>
          </w:tcPr>
          <w:p w14:paraId="0134E63D"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Study design and data sources</w:t>
            </w:r>
          </w:p>
        </w:tc>
        <w:tc>
          <w:tcPr>
            <w:tcW w:w="7041" w:type="dxa"/>
            <w:shd w:val="clear" w:color="auto" w:fill="auto"/>
          </w:tcPr>
          <w:p w14:paraId="6571578C"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Present key elements of the study design early in the article. </w:t>
            </w:r>
            <w:r w:rsidRPr="00534815">
              <w:rPr>
                <w:rFonts w:ascii="Times New Roman" w:eastAsia="Times New Roman" w:hAnsi="Times New Roman" w:cs="Times New Roman"/>
                <w:sz w:val="21"/>
                <w:szCs w:val="21"/>
                <w:lang w:val="en-GB" w:eastAsia="en-GB"/>
              </w:rPr>
              <w:t>Consider including a table listing sources of data for all phases of the study. For each data source contributing to the analysis, describe the following: </w:t>
            </w:r>
          </w:p>
        </w:tc>
        <w:tc>
          <w:tcPr>
            <w:tcW w:w="720" w:type="dxa"/>
          </w:tcPr>
          <w:p w14:paraId="48388833"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2</w:t>
            </w:r>
          </w:p>
        </w:tc>
        <w:tc>
          <w:tcPr>
            <w:tcW w:w="4320" w:type="dxa"/>
          </w:tcPr>
          <w:p w14:paraId="3BCDF8E0"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A two-sample bidirectional Mendelian randomization method was used to investigate the causal assoc</w:t>
            </w:r>
            <w:r w:rsidRPr="00534815">
              <w:rPr>
                <w:rFonts w:ascii="Times New Roman" w:eastAsia="Times New Roman" w:hAnsi="Times New Roman" w:cs="Times New Roman"/>
                <w:sz w:val="21"/>
                <w:szCs w:val="21"/>
                <w:lang w:val="en-GB" w:eastAsia="zh-CN"/>
              </w:rPr>
              <w:t>iation between rosacea and neurodegenerative and neuropsychiatric disorders.</w:t>
            </w:r>
          </w:p>
        </w:tc>
      </w:tr>
      <w:tr w:rsidR="00534815" w:rsidRPr="00534815" w14:paraId="750DCCFE" w14:textId="77777777">
        <w:tc>
          <w:tcPr>
            <w:tcW w:w="587" w:type="dxa"/>
            <w:shd w:val="clear" w:color="auto" w:fill="EEEEEE"/>
          </w:tcPr>
          <w:p w14:paraId="69A3FDAC"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EEEEEE"/>
          </w:tcPr>
          <w:p w14:paraId="53478D85"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a)</w:t>
            </w:r>
          </w:p>
        </w:tc>
        <w:tc>
          <w:tcPr>
            <w:tcW w:w="7041" w:type="dxa"/>
            <w:shd w:val="clear" w:color="auto" w:fill="EEEEEE"/>
          </w:tcPr>
          <w:p w14:paraId="7B0CFF94"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shd w:val="clear" w:color="auto" w:fill="FFFFFF"/>
                <w:lang w:val="en-GB" w:eastAsia="en-GB"/>
              </w:rPr>
              <w:t xml:space="preserve">Setting: </w:t>
            </w:r>
            <w:r w:rsidRPr="00534815">
              <w:rPr>
                <w:rFonts w:ascii="Times New Roman" w:eastAsia="Times New Roman" w:hAnsi="Times New Roman" w:cs="Times New Roman"/>
                <w:sz w:val="21"/>
                <w:szCs w:val="21"/>
                <w:lang w:val="en-GB" w:eastAsia="en-GB"/>
              </w:rPr>
              <w:t xml:space="preserve">Describe the study design and the underlying population, if possible. </w:t>
            </w:r>
            <w:r w:rsidRPr="00534815">
              <w:rPr>
                <w:rFonts w:ascii="Times New Roman" w:eastAsia="Times New Roman" w:hAnsi="Times New Roman" w:cs="Times New Roman"/>
                <w:sz w:val="21"/>
                <w:szCs w:val="21"/>
                <w:shd w:val="clear" w:color="auto" w:fill="FFFFFF"/>
                <w:lang w:val="en-GB" w:eastAsia="en-GB"/>
              </w:rPr>
              <w:t xml:space="preserve">Describe the setting, locations, and relevant dates, including periods </w:t>
            </w:r>
            <w:r w:rsidRPr="00534815">
              <w:rPr>
                <w:rFonts w:ascii="Times New Roman" w:eastAsia="Times New Roman" w:hAnsi="Times New Roman" w:cs="Times New Roman"/>
                <w:sz w:val="21"/>
                <w:szCs w:val="21"/>
                <w:shd w:val="clear" w:color="auto" w:fill="FFFFFF"/>
                <w:lang w:val="en-GB" w:eastAsia="en-GB"/>
              </w:rPr>
              <w:t xml:space="preserve">of recruitment, </w:t>
            </w:r>
            <w:r w:rsidRPr="00534815">
              <w:rPr>
                <w:rFonts w:ascii="Times New Roman" w:eastAsia="Times New Roman" w:hAnsi="Times New Roman" w:cs="Times New Roman"/>
                <w:sz w:val="21"/>
                <w:szCs w:val="21"/>
                <w:shd w:val="clear" w:color="auto" w:fill="FFFFFF"/>
                <w:lang w:val="en-GB" w:eastAsia="en-GB"/>
              </w:rPr>
              <w:t>exposure, follow-up, and data collection, when available.</w:t>
            </w:r>
          </w:p>
        </w:tc>
        <w:tc>
          <w:tcPr>
            <w:tcW w:w="720" w:type="dxa"/>
            <w:shd w:val="clear" w:color="auto" w:fill="EEEEEE"/>
          </w:tcPr>
          <w:p w14:paraId="3CB5CFEB" w14:textId="77777777" w:rsidR="00E64266" w:rsidRPr="00534815" w:rsidRDefault="00534815">
            <w:pPr>
              <w:spacing w:beforeLines="40" w:before="96" w:afterLines="40" w:after="96" w:line="24" w:lineRule="atLeast"/>
              <w:rPr>
                <w:rFonts w:ascii="Times New Roman" w:eastAsia="SimSun" w:hAnsi="Times New Roman" w:cs="Times New Roman"/>
                <w:sz w:val="21"/>
                <w:szCs w:val="21"/>
                <w:shd w:val="clear" w:color="auto" w:fill="FFFFFF"/>
                <w:lang w:val="en-US" w:eastAsia="zh-CN"/>
              </w:rPr>
            </w:pPr>
            <w:r w:rsidRPr="00534815">
              <w:rPr>
                <w:rFonts w:ascii="Times New Roman" w:eastAsia="SimSun" w:hAnsi="Times New Roman" w:cs="Times New Roman"/>
                <w:sz w:val="21"/>
                <w:szCs w:val="21"/>
                <w:shd w:val="clear" w:color="auto" w:fill="FFFFFF"/>
                <w:lang w:val="en-US" w:eastAsia="zh-CN"/>
              </w:rPr>
              <w:t>3</w:t>
            </w:r>
          </w:p>
        </w:tc>
        <w:tc>
          <w:tcPr>
            <w:tcW w:w="4320" w:type="dxa"/>
            <w:shd w:val="clear" w:color="auto" w:fill="EEEEEE"/>
          </w:tcPr>
          <w:p w14:paraId="25F64DA7"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shd w:val="clear" w:color="auto" w:fill="FFFFFF"/>
                <w:lang w:val="en-US" w:eastAsia="zh-CN"/>
              </w:rPr>
            </w:pPr>
            <w:r w:rsidRPr="00534815">
              <w:rPr>
                <w:rFonts w:ascii="Times New Roman" w:eastAsia="Times New Roman" w:hAnsi="Times New Roman" w:cs="Times New Roman"/>
                <w:sz w:val="21"/>
                <w:szCs w:val="21"/>
                <w:shd w:val="clear" w:color="auto" w:fill="FFFFFF"/>
                <w:lang w:val="en-US" w:eastAsia="zh-CN"/>
              </w:rPr>
              <w:t>We selected rosacea as the exposure variable for positive MR. In reverse MR, we selected Alzheimer's disease, Parkinson's disease, anxiety, and depression as exposure variables</w:t>
            </w:r>
          </w:p>
        </w:tc>
      </w:tr>
      <w:tr w:rsidR="00534815" w:rsidRPr="00534815" w14:paraId="2F886384" w14:textId="77777777">
        <w:tc>
          <w:tcPr>
            <w:tcW w:w="587" w:type="dxa"/>
            <w:shd w:val="clear" w:color="auto" w:fill="auto"/>
          </w:tcPr>
          <w:p w14:paraId="2D7E177F"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auto"/>
          </w:tcPr>
          <w:p w14:paraId="59583A47"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b)</w:t>
            </w:r>
          </w:p>
        </w:tc>
        <w:tc>
          <w:tcPr>
            <w:tcW w:w="7041" w:type="dxa"/>
            <w:shd w:val="clear" w:color="auto" w:fill="auto"/>
          </w:tcPr>
          <w:p w14:paraId="28C09926" w14:textId="77777777" w:rsidR="00E64266" w:rsidRPr="00534815" w:rsidRDefault="00534815">
            <w:pPr>
              <w:spacing w:beforeLines="40" w:before="96" w:afterLines="40" w:after="96" w:line="24" w:lineRule="atLeast"/>
              <w:textAlignment w:val="baseline"/>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shd w:val="clear" w:color="auto" w:fill="FFFFFF"/>
                <w:lang w:val="en-GB" w:eastAsia="en-GB"/>
              </w:rPr>
              <w:t xml:space="preserve">Participants: Give the eligibility criteria, and the sources and methods of selection of participants. </w:t>
            </w:r>
            <w:r w:rsidRPr="00534815">
              <w:rPr>
                <w:rFonts w:ascii="Times New Roman" w:eastAsia="Times New Roman" w:hAnsi="Times New Roman" w:cs="Times New Roman"/>
                <w:sz w:val="21"/>
                <w:szCs w:val="21"/>
              </w:rPr>
              <w:t>Report the sample size, and whether any power or sample size calculations were carried out prior to the main analysis</w:t>
            </w:r>
            <w:r w:rsidRPr="00534815">
              <w:rPr>
                <w:rFonts w:ascii="Times New Roman" w:eastAsia="Times New Roman" w:hAnsi="Times New Roman" w:cs="Times New Roman"/>
                <w:sz w:val="21"/>
                <w:szCs w:val="21"/>
                <w:lang w:val="en-GB" w:eastAsia="en-GB"/>
              </w:rPr>
              <w:t> </w:t>
            </w:r>
          </w:p>
        </w:tc>
        <w:tc>
          <w:tcPr>
            <w:tcW w:w="720" w:type="dxa"/>
          </w:tcPr>
          <w:p w14:paraId="7FC01B18" w14:textId="77777777" w:rsidR="00E64266" w:rsidRPr="00534815" w:rsidRDefault="00534815">
            <w:pPr>
              <w:spacing w:beforeLines="40" w:before="96" w:afterLines="40" w:after="96" w:line="24" w:lineRule="atLeast"/>
              <w:textAlignment w:val="baseline"/>
              <w:rPr>
                <w:rFonts w:ascii="Times New Roman" w:eastAsia="SimSun" w:hAnsi="Times New Roman" w:cs="Times New Roman"/>
                <w:sz w:val="21"/>
                <w:szCs w:val="21"/>
                <w:shd w:val="clear" w:color="auto" w:fill="FFFFFF"/>
                <w:lang w:val="en-US" w:eastAsia="zh-CN"/>
              </w:rPr>
            </w:pPr>
            <w:r w:rsidRPr="00534815">
              <w:rPr>
                <w:rFonts w:ascii="Times New Roman" w:eastAsia="SimSun" w:hAnsi="Times New Roman" w:cs="Times New Roman"/>
                <w:sz w:val="21"/>
                <w:szCs w:val="21"/>
                <w:shd w:val="clear" w:color="auto" w:fill="FFFFFF"/>
                <w:lang w:val="en-US" w:eastAsia="zh-CN"/>
              </w:rPr>
              <w:t>3</w:t>
            </w:r>
          </w:p>
        </w:tc>
        <w:tc>
          <w:tcPr>
            <w:tcW w:w="4320" w:type="dxa"/>
          </w:tcPr>
          <w:p w14:paraId="07DC7530" w14:textId="77777777" w:rsidR="00E64266" w:rsidRPr="00534815" w:rsidRDefault="00534815">
            <w:pPr>
              <w:spacing w:beforeLines="40" w:before="96" w:afterLines="40" w:after="96" w:line="24" w:lineRule="atLeast"/>
              <w:rPr>
                <w:rFonts w:ascii="Times New Roman" w:hAnsi="Times New Roman" w:cs="Times New Roman"/>
                <w:sz w:val="21"/>
                <w:szCs w:val="21"/>
                <w:lang w:val="en-GB" w:eastAsia="en-GB"/>
              </w:rPr>
            </w:pPr>
            <w:r w:rsidRPr="00534815">
              <w:rPr>
                <w:rFonts w:ascii="Times New Roman" w:eastAsia="DengXian" w:hAnsi="Times New Roman" w:cs="Times New Roman"/>
                <w:kern w:val="2"/>
                <w:sz w:val="21"/>
                <w:szCs w:val="21"/>
                <w:lang w:val="en-US" w:eastAsia="zh-CN" w:bidi="ar"/>
              </w:rPr>
              <w:t>All data in this study were obtained from open Genome-Wide Association Studies (GWAS) databases. The specific datasets and their characteristics were as follows: For the exposure variable, rosacea data were derived from the "finn-b-L12_ROSACEA" dataset, co</w:t>
            </w:r>
            <w:r w:rsidRPr="00534815">
              <w:rPr>
                <w:rFonts w:ascii="Times New Roman" w:eastAsia="DengXian" w:hAnsi="Times New Roman" w:cs="Times New Roman"/>
                <w:kern w:val="2"/>
                <w:sz w:val="21"/>
                <w:szCs w:val="21"/>
                <w:lang w:val="en-US" w:eastAsia="zh-CN" w:bidi="ar"/>
              </w:rPr>
              <w:t>mprising 1,195 cases and 211,139 controls, with 16,380,452 SNPs. For outcome variables, Parkinson's disease data were obtained from the "finn-b-G6_PARKINSON" dataset, including 2,162 cases and 216,630 controls, with 16,380,466 SNPs. Alzheimer's disease dat</w:t>
            </w:r>
            <w:r w:rsidRPr="00534815">
              <w:rPr>
                <w:rFonts w:ascii="Times New Roman" w:eastAsia="DengXian" w:hAnsi="Times New Roman" w:cs="Times New Roman"/>
                <w:kern w:val="2"/>
                <w:sz w:val="21"/>
                <w:szCs w:val="21"/>
                <w:lang w:val="en-US" w:eastAsia="zh-CN" w:bidi="ar"/>
              </w:rPr>
              <w:t>a were sourced from the "ieu-b-5067" dataset, containing 954 cases and 487,331 controls, with 12,321,875 SNPs. Anxiety disorder data were extracted from the "finn-b-F5_ALLANXIOUS" dataset, consisting of 12,513 cases and 198,110 controls, with 16,380,449 SN</w:t>
            </w:r>
            <w:r w:rsidRPr="00534815">
              <w:rPr>
                <w:rFonts w:ascii="Times New Roman" w:eastAsia="DengXian" w:hAnsi="Times New Roman" w:cs="Times New Roman"/>
                <w:kern w:val="2"/>
                <w:sz w:val="21"/>
                <w:szCs w:val="21"/>
                <w:lang w:val="en-US" w:eastAsia="zh-CN" w:bidi="ar"/>
              </w:rPr>
              <w:t xml:space="preserve">Ps. Depression data were acquired from the "ebi-a-GCST90038650" dataset, encompassing 27,568 </w:t>
            </w:r>
            <w:r w:rsidRPr="00534815">
              <w:rPr>
                <w:rFonts w:ascii="Times New Roman" w:eastAsia="DengXian" w:hAnsi="Times New Roman" w:cs="Times New Roman"/>
                <w:kern w:val="2"/>
                <w:sz w:val="21"/>
                <w:szCs w:val="21"/>
                <w:lang w:val="en-US" w:eastAsia="zh-CN" w:bidi="ar"/>
              </w:rPr>
              <w:lastRenderedPageBreak/>
              <w:t>cases and 457,030 controls, with 9,587,836 SNPs.</w:t>
            </w:r>
          </w:p>
        </w:tc>
      </w:tr>
      <w:tr w:rsidR="00534815" w:rsidRPr="00534815" w14:paraId="2AED1728" w14:textId="77777777">
        <w:tc>
          <w:tcPr>
            <w:tcW w:w="587" w:type="dxa"/>
            <w:shd w:val="clear" w:color="auto" w:fill="EEEEEE"/>
          </w:tcPr>
          <w:p w14:paraId="1E5E97D2"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EEEEEE"/>
          </w:tcPr>
          <w:p w14:paraId="2DF3171A"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c)</w:t>
            </w:r>
          </w:p>
        </w:tc>
        <w:tc>
          <w:tcPr>
            <w:tcW w:w="7041" w:type="dxa"/>
            <w:shd w:val="clear" w:color="auto" w:fill="EEEEEE"/>
          </w:tcPr>
          <w:p w14:paraId="61CA02AE"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Describe measurement, quality control and selection of genetic variants</w:t>
            </w:r>
          </w:p>
        </w:tc>
        <w:tc>
          <w:tcPr>
            <w:tcW w:w="720" w:type="dxa"/>
            <w:shd w:val="clear" w:color="auto" w:fill="EEEEEE"/>
          </w:tcPr>
          <w:p w14:paraId="1DD5BCEE"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3</w:t>
            </w:r>
          </w:p>
        </w:tc>
        <w:tc>
          <w:tcPr>
            <w:tcW w:w="4320" w:type="dxa"/>
            <w:shd w:val="clear" w:color="auto" w:fill="EEEEEE"/>
          </w:tcPr>
          <w:p w14:paraId="2BBDC9A2"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 xml:space="preserve">The genetic background of the </w:t>
            </w:r>
            <w:r w:rsidRPr="00534815">
              <w:rPr>
                <w:rFonts w:ascii="Times New Roman" w:eastAsia="Times New Roman" w:hAnsi="Times New Roman" w:cs="Times New Roman"/>
                <w:sz w:val="21"/>
                <w:szCs w:val="21"/>
                <w:lang w:val="en-GB" w:eastAsia="zh-CN"/>
              </w:rPr>
              <w:t>population studied in the above data is of European descent, which can minimize the bias caused by race-related confounding factors.</w:t>
            </w:r>
          </w:p>
        </w:tc>
      </w:tr>
      <w:tr w:rsidR="00534815" w:rsidRPr="00534815" w14:paraId="38ECDAFE" w14:textId="77777777">
        <w:tc>
          <w:tcPr>
            <w:tcW w:w="587" w:type="dxa"/>
            <w:shd w:val="clear" w:color="auto" w:fill="auto"/>
          </w:tcPr>
          <w:p w14:paraId="649E220F"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auto"/>
          </w:tcPr>
          <w:p w14:paraId="218D930F"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d)</w:t>
            </w:r>
          </w:p>
        </w:tc>
        <w:tc>
          <w:tcPr>
            <w:tcW w:w="7041" w:type="dxa"/>
            <w:shd w:val="clear" w:color="auto" w:fill="auto"/>
          </w:tcPr>
          <w:p w14:paraId="4F4F78B8" w14:textId="77777777" w:rsidR="00E64266" w:rsidRPr="00534815" w:rsidRDefault="00534815">
            <w:pPr>
              <w:spacing w:beforeLines="40" w:before="96" w:afterLines="40" w:after="96" w:line="24" w:lineRule="atLeast"/>
              <w:textAlignment w:val="baseline"/>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shd w:val="clear" w:color="auto" w:fill="FFFFFF"/>
                <w:lang w:val="en-GB" w:eastAsia="en-GB"/>
              </w:rPr>
              <w:t xml:space="preserve">For each exposure, outcome, and other relevant variables, describe methods of assessment and diagnostic criteria for </w:t>
            </w:r>
            <w:r w:rsidRPr="00534815">
              <w:rPr>
                <w:rFonts w:ascii="Times New Roman" w:eastAsia="Times New Roman" w:hAnsi="Times New Roman" w:cs="Times New Roman"/>
                <w:sz w:val="21"/>
                <w:szCs w:val="21"/>
                <w:shd w:val="clear" w:color="auto" w:fill="FFFFFF"/>
                <w:lang w:val="en-GB" w:eastAsia="en-GB"/>
              </w:rPr>
              <w:t>diseases</w:t>
            </w:r>
          </w:p>
        </w:tc>
        <w:tc>
          <w:tcPr>
            <w:tcW w:w="720" w:type="dxa"/>
          </w:tcPr>
          <w:p w14:paraId="36D7159E" w14:textId="77777777" w:rsidR="00E64266" w:rsidRPr="00534815" w:rsidRDefault="00E64266">
            <w:pPr>
              <w:spacing w:beforeLines="40" w:before="96" w:afterLines="40" w:after="96" w:line="24" w:lineRule="atLeast"/>
              <w:textAlignment w:val="baseline"/>
              <w:rPr>
                <w:rFonts w:ascii="Times New Roman" w:eastAsia="SimSun" w:hAnsi="Times New Roman" w:cs="Times New Roman"/>
                <w:sz w:val="21"/>
                <w:szCs w:val="21"/>
                <w:shd w:val="clear" w:color="auto" w:fill="FFFFFF"/>
                <w:lang w:val="en-US" w:eastAsia="zh-CN"/>
              </w:rPr>
            </w:pPr>
          </w:p>
        </w:tc>
        <w:tc>
          <w:tcPr>
            <w:tcW w:w="4320" w:type="dxa"/>
          </w:tcPr>
          <w:p w14:paraId="74652204"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Here are the standardized diagnostic criteria for each condition:</w:t>
            </w:r>
          </w:p>
          <w:p w14:paraId="66D6E890"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Rosacea:</w:t>
            </w:r>
          </w:p>
          <w:p w14:paraId="5DA4D8EB"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 xml:space="preserve">According to the diagnostic criteria established by the </w:t>
            </w:r>
            <w:proofErr w:type="spellStart"/>
            <w:r w:rsidRPr="00534815">
              <w:rPr>
                <w:rFonts w:ascii="Times New Roman" w:eastAsia="Times New Roman" w:hAnsi="Times New Roman" w:cs="Times New Roman"/>
                <w:sz w:val="21"/>
                <w:szCs w:val="21"/>
                <w:shd w:val="clear" w:color="auto" w:fill="FFFFFF"/>
                <w:lang w:val="en-GB" w:eastAsia="zh-CN"/>
              </w:rPr>
              <w:t>ROSacea</w:t>
            </w:r>
            <w:proofErr w:type="spellEnd"/>
            <w:r w:rsidRPr="00534815">
              <w:rPr>
                <w:rFonts w:ascii="Times New Roman" w:eastAsia="Times New Roman" w:hAnsi="Times New Roman" w:cs="Times New Roman"/>
                <w:sz w:val="21"/>
                <w:szCs w:val="21"/>
                <w:shd w:val="clear" w:color="auto" w:fill="FFFFFF"/>
                <w:lang w:val="en-GB" w:eastAsia="zh-CN"/>
              </w:rPr>
              <w:t xml:space="preserve"> International Expert Group (ROSIE) and the National Rosacea Society (NRS), rosacea is diagnosed based on pr</w:t>
            </w:r>
            <w:r w:rsidRPr="00534815">
              <w:rPr>
                <w:rFonts w:ascii="Times New Roman" w:eastAsia="Times New Roman" w:hAnsi="Times New Roman" w:cs="Times New Roman"/>
                <w:sz w:val="21"/>
                <w:szCs w:val="21"/>
                <w:shd w:val="clear" w:color="auto" w:fill="FFFFFF"/>
                <w:lang w:val="en-GB" w:eastAsia="zh-CN"/>
              </w:rPr>
              <w:t>imary and secondary features.</w:t>
            </w:r>
            <w:r w:rsidRPr="00534815">
              <w:rPr>
                <w:rFonts w:ascii="Times New Roman" w:eastAsia="Times New Roman" w:hAnsi="Times New Roman" w:cs="Times New Roman" w:hint="eastAsia"/>
                <w:sz w:val="21"/>
                <w:szCs w:val="21"/>
                <w:shd w:val="clear" w:color="auto" w:fill="FFFFFF"/>
                <w:lang w:val="en-US" w:eastAsia="zh-CN"/>
              </w:rPr>
              <w:t xml:space="preserve"> </w:t>
            </w:r>
            <w:r w:rsidRPr="00534815">
              <w:rPr>
                <w:rFonts w:ascii="Times New Roman" w:eastAsia="Times New Roman" w:hAnsi="Times New Roman" w:cs="Times New Roman"/>
                <w:sz w:val="21"/>
                <w:szCs w:val="21"/>
                <w:shd w:val="clear" w:color="auto" w:fill="FFFFFF"/>
                <w:lang w:val="en-GB" w:eastAsia="zh-CN"/>
              </w:rPr>
              <w:t xml:space="preserve">Primary diagnostic features (at least one required) include persistent central facial erythema, </w:t>
            </w:r>
            <w:proofErr w:type="spellStart"/>
            <w:r w:rsidRPr="00534815">
              <w:rPr>
                <w:rFonts w:ascii="Times New Roman" w:eastAsia="Times New Roman" w:hAnsi="Times New Roman" w:cs="Times New Roman"/>
                <w:sz w:val="21"/>
                <w:szCs w:val="21"/>
                <w:shd w:val="clear" w:color="auto" w:fill="FFFFFF"/>
                <w:lang w:val="en-GB" w:eastAsia="zh-CN"/>
              </w:rPr>
              <w:t>phymatous</w:t>
            </w:r>
            <w:proofErr w:type="spellEnd"/>
            <w:r w:rsidRPr="00534815">
              <w:rPr>
                <w:rFonts w:ascii="Times New Roman" w:eastAsia="Times New Roman" w:hAnsi="Times New Roman" w:cs="Times New Roman"/>
                <w:sz w:val="21"/>
                <w:szCs w:val="21"/>
                <w:shd w:val="clear" w:color="auto" w:fill="FFFFFF"/>
                <w:lang w:val="en-GB" w:eastAsia="zh-CN"/>
              </w:rPr>
              <w:t xml:space="preserve"> changes, inflammatory papules and pustules, and telangiectasia. Secondary features comprise burning or stinging sensations, facial </w:t>
            </w:r>
            <w:proofErr w:type="spellStart"/>
            <w:r w:rsidRPr="00534815">
              <w:rPr>
                <w:rFonts w:ascii="Times New Roman" w:eastAsia="Times New Roman" w:hAnsi="Times New Roman" w:cs="Times New Roman"/>
                <w:sz w:val="21"/>
                <w:szCs w:val="21"/>
                <w:shd w:val="clear" w:color="auto" w:fill="FFFFFF"/>
                <w:lang w:val="en-GB" w:eastAsia="zh-CN"/>
              </w:rPr>
              <w:t>edema</w:t>
            </w:r>
            <w:proofErr w:type="spellEnd"/>
            <w:r w:rsidRPr="00534815">
              <w:rPr>
                <w:rFonts w:ascii="Times New Roman" w:eastAsia="Times New Roman" w:hAnsi="Times New Roman" w:cs="Times New Roman"/>
                <w:sz w:val="21"/>
                <w:szCs w:val="21"/>
                <w:shd w:val="clear" w:color="auto" w:fill="FFFFFF"/>
                <w:lang w:val="en-GB" w:eastAsia="zh-CN"/>
              </w:rPr>
              <w:t xml:space="preserve">, dry sensation, ocular manifestations, peripheral facial involvement, and </w:t>
            </w:r>
            <w:proofErr w:type="spellStart"/>
            <w:r w:rsidRPr="00534815">
              <w:rPr>
                <w:rFonts w:ascii="Times New Roman" w:eastAsia="Times New Roman" w:hAnsi="Times New Roman" w:cs="Times New Roman"/>
                <w:sz w:val="21"/>
                <w:szCs w:val="21"/>
                <w:shd w:val="clear" w:color="auto" w:fill="FFFFFF"/>
                <w:lang w:val="en-GB" w:eastAsia="zh-CN"/>
              </w:rPr>
              <w:t>phymatous</w:t>
            </w:r>
            <w:proofErr w:type="spellEnd"/>
            <w:r w:rsidRPr="00534815">
              <w:rPr>
                <w:rFonts w:ascii="Times New Roman" w:eastAsia="Times New Roman" w:hAnsi="Times New Roman" w:cs="Times New Roman"/>
                <w:sz w:val="21"/>
                <w:szCs w:val="21"/>
                <w:shd w:val="clear" w:color="auto" w:fill="FFFFFF"/>
                <w:lang w:val="en-GB" w:eastAsia="zh-CN"/>
              </w:rPr>
              <w:t xml:space="preserve"> changes (</w:t>
            </w:r>
            <w:proofErr w:type="spellStart"/>
            <w:r w:rsidRPr="00534815">
              <w:rPr>
                <w:rFonts w:ascii="Times New Roman" w:eastAsia="Times New Roman" w:hAnsi="Times New Roman" w:cs="Times New Roman"/>
                <w:sz w:val="21"/>
                <w:szCs w:val="21"/>
                <w:shd w:val="clear" w:color="auto" w:fill="FFFFFF"/>
                <w:lang w:val="en-GB" w:eastAsia="zh-CN"/>
              </w:rPr>
              <w:t>rhinophyma</w:t>
            </w:r>
            <w:proofErr w:type="spellEnd"/>
            <w:r w:rsidRPr="00534815">
              <w:rPr>
                <w:rFonts w:ascii="Times New Roman" w:eastAsia="Times New Roman" w:hAnsi="Times New Roman" w:cs="Times New Roman"/>
                <w:sz w:val="21"/>
                <w:szCs w:val="21"/>
                <w:shd w:val="clear" w:color="auto" w:fill="FFFFFF"/>
                <w:lang w:val="en-GB" w:eastAsia="zh-CN"/>
              </w:rPr>
              <w:t>).</w:t>
            </w:r>
          </w:p>
          <w:p w14:paraId="18228BD6"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 xml:space="preserve">Alzheimer's </w:t>
            </w:r>
            <w:r w:rsidRPr="00534815">
              <w:rPr>
                <w:rFonts w:ascii="Times New Roman" w:eastAsia="Times New Roman" w:hAnsi="Times New Roman" w:cs="Times New Roman"/>
                <w:sz w:val="21"/>
                <w:szCs w:val="21"/>
                <w:shd w:val="clear" w:color="auto" w:fill="FFFFFF"/>
                <w:lang w:val="en-GB" w:eastAsia="zh-CN"/>
              </w:rPr>
              <w:t>Disease (AD):</w:t>
            </w:r>
          </w:p>
          <w:p w14:paraId="005B49C4"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According to the National Institute on Aging-Alzheimer's Association (NIA-AA) criteria, AD diagnosis requires: progressive memory decline and cognitive impairment in at least one other domain, interfering with daily activities.             Di</w:t>
            </w:r>
            <w:r w:rsidRPr="00534815">
              <w:rPr>
                <w:rFonts w:ascii="Times New Roman" w:eastAsia="Times New Roman" w:hAnsi="Times New Roman" w:cs="Times New Roman"/>
                <w:sz w:val="21"/>
                <w:szCs w:val="21"/>
                <w:shd w:val="clear" w:color="auto" w:fill="FFFFFF"/>
                <w:lang w:val="en-GB" w:eastAsia="zh-CN"/>
              </w:rPr>
              <w:t>agnostic features include biomarkers such as amyloid-β deposition, pathologic tau, and neurodegeneration, supported by neuroimaging and cerebrospinal fluid analysis [Bruno Dubois et al., 2021].</w:t>
            </w:r>
          </w:p>
          <w:p w14:paraId="4929A072"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Parkinson's Disease (PD):</w:t>
            </w:r>
          </w:p>
          <w:p w14:paraId="5CFD10C0"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 xml:space="preserve">The Movement Disorder Society (MDS) </w:t>
            </w:r>
            <w:r w:rsidRPr="00534815">
              <w:rPr>
                <w:rFonts w:ascii="Times New Roman" w:eastAsia="Times New Roman" w:hAnsi="Times New Roman" w:cs="Times New Roman"/>
                <w:sz w:val="21"/>
                <w:szCs w:val="21"/>
                <w:shd w:val="clear" w:color="auto" w:fill="FFFFFF"/>
                <w:lang w:val="en-GB" w:eastAsia="zh-CN"/>
              </w:rPr>
              <w:t xml:space="preserve">clinical diagnostic criteria for PD include: presence of parkinsonism (bradykinesia plus rest tremor </w:t>
            </w:r>
            <w:r w:rsidRPr="00534815">
              <w:rPr>
                <w:rFonts w:ascii="Times New Roman" w:eastAsia="Times New Roman" w:hAnsi="Times New Roman" w:cs="Times New Roman"/>
                <w:sz w:val="21"/>
                <w:szCs w:val="21"/>
                <w:shd w:val="clear" w:color="auto" w:fill="FFFFFF"/>
                <w:lang w:val="en-GB" w:eastAsia="zh-CN"/>
              </w:rPr>
              <w:lastRenderedPageBreak/>
              <w:t xml:space="preserve">and/or rigidity), absence of absolute exclusion criteria, and at least two supportive criteria.             Additional features include non-motor symptoms </w:t>
            </w:r>
            <w:r w:rsidRPr="00534815">
              <w:rPr>
                <w:rFonts w:ascii="Times New Roman" w:eastAsia="Times New Roman" w:hAnsi="Times New Roman" w:cs="Times New Roman"/>
                <w:sz w:val="21"/>
                <w:szCs w:val="21"/>
                <w:shd w:val="clear" w:color="auto" w:fill="FFFFFF"/>
                <w:lang w:val="en-GB" w:eastAsia="zh-CN"/>
              </w:rPr>
              <w:t>such as olfactory dysfunction, sleep disorders, and autonomic dysfunction [Ronald B Postuma, et al., 2015].</w:t>
            </w:r>
          </w:p>
          <w:p w14:paraId="73788E15"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Anxiety Disorders:</w:t>
            </w:r>
          </w:p>
          <w:p w14:paraId="72EFB0E4"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According to DSM-5 criteria, generalized anxiety disorder is characterized by excessive anxiety and worry occurring more days tha</w:t>
            </w:r>
            <w:r w:rsidRPr="00534815">
              <w:rPr>
                <w:rFonts w:ascii="Times New Roman" w:eastAsia="Times New Roman" w:hAnsi="Times New Roman" w:cs="Times New Roman"/>
                <w:sz w:val="21"/>
                <w:szCs w:val="21"/>
                <w:shd w:val="clear" w:color="auto" w:fill="FFFFFF"/>
                <w:lang w:val="en-GB" w:eastAsia="zh-CN"/>
              </w:rPr>
              <w:t>n not for at least 6 months, with symptoms including restlessness, fatigue, difficulty concentrating, irritability, muscle tension, and sleep disturbance. The anxiety causes clinically significant distress or impairment in social, occupational, or other im</w:t>
            </w:r>
            <w:r w:rsidRPr="00534815">
              <w:rPr>
                <w:rFonts w:ascii="Times New Roman" w:eastAsia="Times New Roman" w:hAnsi="Times New Roman" w:cs="Times New Roman"/>
                <w:sz w:val="21"/>
                <w:szCs w:val="21"/>
                <w:shd w:val="clear" w:color="auto" w:fill="FFFFFF"/>
                <w:lang w:val="en-GB" w:eastAsia="zh-CN"/>
              </w:rPr>
              <w:t>portant areas of functioning [</w:t>
            </w:r>
            <w:proofErr w:type="spellStart"/>
            <w:r w:rsidRPr="00534815">
              <w:rPr>
                <w:rFonts w:ascii="Times New Roman" w:eastAsia="Times New Roman" w:hAnsi="Times New Roman" w:cs="Times New Roman"/>
                <w:sz w:val="21"/>
                <w:szCs w:val="21"/>
                <w:shd w:val="clear" w:color="auto" w:fill="FFFFFF"/>
                <w:lang w:val="en-GB" w:eastAsia="zh-CN"/>
              </w:rPr>
              <w:t>Penninx</w:t>
            </w:r>
            <w:proofErr w:type="spellEnd"/>
            <w:r w:rsidRPr="00534815">
              <w:rPr>
                <w:rFonts w:ascii="Times New Roman" w:eastAsia="Times New Roman" w:hAnsi="Times New Roman" w:cs="Times New Roman"/>
                <w:sz w:val="21"/>
                <w:szCs w:val="21"/>
                <w:shd w:val="clear" w:color="auto" w:fill="FFFFFF"/>
                <w:lang w:val="en-GB" w:eastAsia="zh-CN"/>
              </w:rPr>
              <w:t xml:space="preserve"> </w:t>
            </w:r>
            <w:proofErr w:type="spellStart"/>
            <w:r w:rsidRPr="00534815">
              <w:rPr>
                <w:rFonts w:ascii="Times New Roman" w:eastAsia="Times New Roman" w:hAnsi="Times New Roman" w:cs="Times New Roman"/>
                <w:sz w:val="21"/>
                <w:szCs w:val="21"/>
                <w:shd w:val="clear" w:color="auto" w:fill="FFFFFF"/>
                <w:lang w:val="en-GB" w:eastAsia="zh-CN"/>
              </w:rPr>
              <w:t>BW</w:t>
            </w:r>
            <w:proofErr w:type="gramStart"/>
            <w:r w:rsidRPr="00534815">
              <w:rPr>
                <w:rFonts w:ascii="Times New Roman" w:eastAsia="Times New Roman" w:hAnsi="Times New Roman" w:cs="Times New Roman"/>
                <w:sz w:val="21"/>
                <w:szCs w:val="21"/>
                <w:shd w:val="clear" w:color="auto" w:fill="FFFFFF"/>
                <w:lang w:val="en-GB" w:eastAsia="zh-CN"/>
              </w:rPr>
              <w:t>,et</w:t>
            </w:r>
            <w:proofErr w:type="spellEnd"/>
            <w:proofErr w:type="gramEnd"/>
            <w:r w:rsidRPr="00534815">
              <w:rPr>
                <w:rFonts w:ascii="Times New Roman" w:eastAsia="Times New Roman" w:hAnsi="Times New Roman" w:cs="Times New Roman"/>
                <w:sz w:val="21"/>
                <w:szCs w:val="21"/>
                <w:shd w:val="clear" w:color="auto" w:fill="FFFFFF"/>
                <w:lang w:val="en-GB" w:eastAsia="zh-CN"/>
              </w:rPr>
              <w:t xml:space="preserve"> al.2021].</w:t>
            </w:r>
          </w:p>
          <w:p w14:paraId="7061FF01"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Depression:</w:t>
            </w:r>
          </w:p>
          <w:p w14:paraId="7A80C405"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Times New Roman" w:hAnsi="Times New Roman" w:cs="Times New Roman"/>
                <w:sz w:val="21"/>
                <w:szCs w:val="21"/>
                <w:shd w:val="clear" w:color="auto" w:fill="FFFFFF"/>
                <w:lang w:val="en-GB" w:eastAsia="zh-CN"/>
              </w:rPr>
              <w:t xml:space="preserve">The DSM-5 criteria for major depressive disorder require five or more symptoms present during the same 2-week period, including depressed mood, diminished interest/pleasure, significant </w:t>
            </w:r>
            <w:r w:rsidRPr="00534815">
              <w:rPr>
                <w:rFonts w:ascii="Times New Roman" w:eastAsia="Times New Roman" w:hAnsi="Times New Roman" w:cs="Times New Roman"/>
                <w:sz w:val="21"/>
                <w:szCs w:val="21"/>
                <w:shd w:val="clear" w:color="auto" w:fill="FFFFFF"/>
                <w:lang w:val="en-GB" w:eastAsia="zh-CN"/>
              </w:rPr>
              <w:t>weight change, sleep disturbance, psychomotor changes, fatigue, feelings of worthlessness, diminished concentration, and recurrent thoughts of death.</w:t>
            </w:r>
            <w:r w:rsidRPr="00534815">
              <w:rPr>
                <w:rFonts w:ascii="Times New Roman" w:eastAsia="Times New Roman" w:hAnsi="Times New Roman" w:cs="Times New Roman" w:hint="eastAsia"/>
                <w:sz w:val="21"/>
                <w:szCs w:val="21"/>
                <w:shd w:val="clear" w:color="auto" w:fill="FFFFFF"/>
                <w:lang w:val="en-US" w:eastAsia="zh-CN"/>
              </w:rPr>
              <w:t xml:space="preserve"> </w:t>
            </w:r>
            <w:r w:rsidRPr="00534815">
              <w:rPr>
                <w:rFonts w:ascii="Times New Roman" w:eastAsia="Times New Roman" w:hAnsi="Times New Roman" w:cs="Times New Roman"/>
                <w:sz w:val="21"/>
                <w:szCs w:val="21"/>
                <w:shd w:val="clear" w:color="auto" w:fill="FFFFFF"/>
                <w:lang w:val="en-GB" w:eastAsia="zh-CN"/>
              </w:rPr>
              <w:t>Symptoms must cause clinically significant distress or impairment [London: National Institute for Health a</w:t>
            </w:r>
            <w:r w:rsidRPr="00534815">
              <w:rPr>
                <w:rFonts w:ascii="Times New Roman" w:eastAsia="Times New Roman" w:hAnsi="Times New Roman" w:cs="Times New Roman"/>
                <w:sz w:val="21"/>
                <w:szCs w:val="21"/>
                <w:shd w:val="clear" w:color="auto" w:fill="FFFFFF"/>
                <w:lang w:val="en-GB" w:eastAsia="zh-CN"/>
              </w:rPr>
              <w:t>nd Care Excellence (NICE)</w:t>
            </w:r>
            <w:r w:rsidRPr="00534815">
              <w:rPr>
                <w:rFonts w:ascii="Times New Roman" w:eastAsia="Times New Roman" w:hAnsi="Times New Roman" w:cs="Times New Roman" w:hint="eastAsia"/>
                <w:sz w:val="21"/>
                <w:szCs w:val="21"/>
                <w:shd w:val="clear" w:color="auto" w:fill="FFFFFF"/>
                <w:lang w:val="en-US" w:eastAsia="zh-CN"/>
              </w:rPr>
              <w:t xml:space="preserve">, </w:t>
            </w:r>
            <w:r w:rsidRPr="00534815">
              <w:rPr>
                <w:rFonts w:ascii="Times New Roman" w:eastAsia="Times New Roman" w:hAnsi="Times New Roman" w:cs="Times New Roman"/>
                <w:sz w:val="21"/>
                <w:szCs w:val="21"/>
                <w:shd w:val="clear" w:color="auto" w:fill="FFFFFF"/>
                <w:lang w:val="en-GB" w:eastAsia="zh-CN"/>
              </w:rPr>
              <w:t>2022].</w:t>
            </w:r>
          </w:p>
        </w:tc>
      </w:tr>
      <w:tr w:rsidR="00534815" w:rsidRPr="00534815" w14:paraId="37277C0D" w14:textId="77777777">
        <w:tc>
          <w:tcPr>
            <w:tcW w:w="587" w:type="dxa"/>
            <w:shd w:val="clear" w:color="auto" w:fill="EEEEEE"/>
          </w:tcPr>
          <w:p w14:paraId="719A20C1"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EEEEEE"/>
          </w:tcPr>
          <w:p w14:paraId="40E78E30"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e)</w:t>
            </w:r>
          </w:p>
        </w:tc>
        <w:tc>
          <w:tcPr>
            <w:tcW w:w="7041" w:type="dxa"/>
            <w:shd w:val="clear" w:color="auto" w:fill="EEEEEE"/>
          </w:tcPr>
          <w:p w14:paraId="0E46ADDE" w14:textId="77777777" w:rsidR="00E64266" w:rsidRPr="00534815" w:rsidRDefault="00534815">
            <w:pPr>
              <w:spacing w:beforeLines="40" w:before="96" w:afterLines="40" w:after="96" w:line="24" w:lineRule="atLeast"/>
              <w:textAlignment w:val="baseline"/>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shd w:val="clear" w:color="auto" w:fill="FFFFFF"/>
                <w:lang w:val="en-GB" w:eastAsia="en-GB"/>
              </w:rPr>
              <w:t>Provide details of ethics committee approval and participant informed consent, if relevant</w:t>
            </w:r>
          </w:p>
        </w:tc>
        <w:tc>
          <w:tcPr>
            <w:tcW w:w="720" w:type="dxa"/>
            <w:shd w:val="clear" w:color="auto" w:fill="EEEEEE"/>
          </w:tcPr>
          <w:p w14:paraId="4888DCBD" w14:textId="77777777" w:rsidR="00E64266" w:rsidRPr="00534815" w:rsidRDefault="00534815">
            <w:pPr>
              <w:spacing w:beforeLines="40" w:before="96" w:afterLines="40" w:after="96" w:line="24" w:lineRule="atLeast"/>
              <w:textAlignment w:val="baseline"/>
              <w:rPr>
                <w:rFonts w:ascii="Times New Roman" w:eastAsia="SimSun" w:hAnsi="Times New Roman" w:cs="Times New Roman"/>
                <w:sz w:val="21"/>
                <w:szCs w:val="21"/>
                <w:shd w:val="clear" w:color="auto" w:fill="FFFFFF"/>
                <w:lang w:val="en-US" w:eastAsia="zh-CN"/>
              </w:rPr>
            </w:pPr>
            <w:r w:rsidRPr="00534815">
              <w:rPr>
                <w:rFonts w:ascii="Times New Roman" w:eastAsia="SimSun" w:hAnsi="Times New Roman" w:cs="Times New Roman"/>
                <w:sz w:val="21"/>
                <w:szCs w:val="21"/>
                <w:shd w:val="clear" w:color="auto" w:fill="FFFFFF"/>
                <w:lang w:val="en-US" w:eastAsia="zh-CN"/>
              </w:rPr>
              <w:t>4</w:t>
            </w:r>
          </w:p>
        </w:tc>
        <w:tc>
          <w:tcPr>
            <w:tcW w:w="4320" w:type="dxa"/>
            <w:shd w:val="clear" w:color="auto" w:fill="EEEEEE"/>
          </w:tcPr>
          <w:p w14:paraId="45891640" w14:textId="77777777" w:rsidR="00E64266" w:rsidRPr="00534815" w:rsidRDefault="00534815">
            <w:pPr>
              <w:spacing w:beforeLines="40" w:before="96" w:afterLines="40" w:after="96" w:line="24" w:lineRule="atLeast"/>
              <w:textAlignment w:val="baseline"/>
              <w:rPr>
                <w:rFonts w:ascii="Times New Roman" w:eastAsia="Times New Roman" w:hAnsi="Times New Roman" w:cs="Times New Roman"/>
                <w:sz w:val="21"/>
                <w:szCs w:val="21"/>
                <w:shd w:val="clear" w:color="auto" w:fill="FFFFFF"/>
                <w:lang w:val="en-GB" w:eastAsia="zh-CN"/>
              </w:rPr>
            </w:pPr>
            <w:r w:rsidRPr="00534815">
              <w:rPr>
                <w:rFonts w:ascii="Times New Roman" w:eastAsia="DengXian" w:hAnsi="Times New Roman" w:cs="Times New Roman"/>
                <w:kern w:val="2"/>
                <w:sz w:val="21"/>
                <w:szCs w:val="21"/>
                <w:lang w:val="en-US" w:eastAsia="zh-CN" w:bidi="ar"/>
              </w:rPr>
              <w:t>This study utilizes publicly available summary statistics and does not require additional ethical approval</w:t>
            </w:r>
          </w:p>
        </w:tc>
      </w:tr>
      <w:tr w:rsidR="00534815" w:rsidRPr="00534815" w14:paraId="39CE561D" w14:textId="77777777">
        <w:tc>
          <w:tcPr>
            <w:tcW w:w="587" w:type="dxa"/>
            <w:shd w:val="clear" w:color="auto" w:fill="auto"/>
          </w:tcPr>
          <w:p w14:paraId="00CEE0A8"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5</w:t>
            </w:r>
          </w:p>
        </w:tc>
        <w:tc>
          <w:tcPr>
            <w:tcW w:w="1822" w:type="dxa"/>
            <w:shd w:val="clear" w:color="auto" w:fill="auto"/>
          </w:tcPr>
          <w:p w14:paraId="1B8D5005"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Assumptions</w:t>
            </w:r>
          </w:p>
          <w:p w14:paraId="17439222" w14:textId="77777777" w:rsidR="00E64266" w:rsidRPr="00534815" w:rsidRDefault="00E64266">
            <w:pPr>
              <w:spacing w:beforeLines="40" w:before="96" w:afterLines="40" w:after="96" w:line="24" w:lineRule="atLeast"/>
              <w:jc w:val="center"/>
              <w:rPr>
                <w:rFonts w:ascii="Times New Roman" w:eastAsia="Cambria" w:hAnsi="Times New Roman" w:cs="Times New Roman"/>
                <w:sz w:val="21"/>
                <w:szCs w:val="21"/>
                <w:lang w:val="en-GB" w:eastAsia="en-US"/>
              </w:rPr>
            </w:pPr>
          </w:p>
        </w:tc>
        <w:tc>
          <w:tcPr>
            <w:tcW w:w="7041" w:type="dxa"/>
            <w:shd w:val="clear" w:color="auto" w:fill="auto"/>
          </w:tcPr>
          <w:p w14:paraId="1649D7D1"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Explicitly state the three core IV assumptions for the main analysis (relevance, independence and exclusion restriction) as well assumptions for any additional or sensitivity analysis</w:t>
            </w:r>
          </w:p>
        </w:tc>
        <w:tc>
          <w:tcPr>
            <w:tcW w:w="720" w:type="dxa"/>
          </w:tcPr>
          <w:p w14:paraId="29E92443"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3</w:t>
            </w:r>
          </w:p>
        </w:tc>
        <w:tc>
          <w:tcPr>
            <w:tcW w:w="4320" w:type="dxa"/>
          </w:tcPr>
          <w:p w14:paraId="7020EA6D"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DengXian" w:hAnsi="Times New Roman" w:cs="Times New Roman"/>
                <w:kern w:val="2"/>
                <w:sz w:val="21"/>
                <w:szCs w:val="21"/>
                <w:lang w:val="en-US" w:eastAsia="zh-CN" w:bidi="ar"/>
              </w:rPr>
              <w:t>To ensure the reliability of our findings, all selected IVs were requi</w:t>
            </w:r>
            <w:r w:rsidRPr="00534815">
              <w:rPr>
                <w:rFonts w:ascii="Times New Roman" w:eastAsia="DengXian" w:hAnsi="Times New Roman" w:cs="Times New Roman"/>
                <w:kern w:val="2"/>
                <w:sz w:val="21"/>
                <w:szCs w:val="21"/>
                <w:lang w:val="en-US" w:eastAsia="zh-CN" w:bidi="ar"/>
              </w:rPr>
              <w:t xml:space="preserve">red to strictly satisfy the three core assumptions of two-sample MR analysis: 1). Relevance assumption: The selected instrumental variables must demonstrate strong associations with the </w:t>
            </w:r>
            <w:r w:rsidRPr="00534815">
              <w:rPr>
                <w:rFonts w:ascii="Times New Roman" w:eastAsia="DengXian" w:hAnsi="Times New Roman" w:cs="Times New Roman"/>
                <w:kern w:val="2"/>
                <w:sz w:val="21"/>
                <w:szCs w:val="21"/>
                <w:lang w:val="en-US" w:eastAsia="zh-CN" w:bidi="ar"/>
              </w:rPr>
              <w:lastRenderedPageBreak/>
              <w:t>exposure variable (rosacea); 2). Independence assumption: The selected</w:t>
            </w:r>
            <w:r w:rsidRPr="00534815">
              <w:rPr>
                <w:rFonts w:ascii="Times New Roman" w:eastAsia="DengXian" w:hAnsi="Times New Roman" w:cs="Times New Roman"/>
                <w:kern w:val="2"/>
                <w:sz w:val="21"/>
                <w:szCs w:val="21"/>
                <w:lang w:val="en-US" w:eastAsia="zh-CN" w:bidi="ar"/>
              </w:rPr>
              <w:t xml:space="preserve"> IVs must be independent of any potential factors that could misrepresented the causal relationship; 3). Exclusion restriction assumption: The IVs should affect the outcome variables solely through the exposure variable (rosacea), without any direct or ind</w:t>
            </w:r>
            <w:r w:rsidRPr="00534815">
              <w:rPr>
                <w:rFonts w:ascii="Times New Roman" w:eastAsia="DengXian" w:hAnsi="Times New Roman" w:cs="Times New Roman"/>
                <w:kern w:val="2"/>
                <w:sz w:val="21"/>
                <w:szCs w:val="21"/>
                <w:lang w:val="en-US" w:eastAsia="zh-CN" w:bidi="ar"/>
              </w:rPr>
              <w:t>irect alternative pathways.</w:t>
            </w:r>
          </w:p>
        </w:tc>
      </w:tr>
      <w:tr w:rsidR="00534815" w:rsidRPr="00534815" w14:paraId="0D17AC27" w14:textId="77777777">
        <w:tc>
          <w:tcPr>
            <w:tcW w:w="587" w:type="dxa"/>
            <w:shd w:val="clear" w:color="auto" w:fill="EEEEEE"/>
          </w:tcPr>
          <w:p w14:paraId="3BCA782B"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lastRenderedPageBreak/>
              <w:t>6</w:t>
            </w:r>
          </w:p>
        </w:tc>
        <w:tc>
          <w:tcPr>
            <w:tcW w:w="1822" w:type="dxa"/>
            <w:shd w:val="clear" w:color="auto" w:fill="EEEEEE"/>
          </w:tcPr>
          <w:p w14:paraId="6170D718"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Statistical methods: main analysis</w:t>
            </w:r>
          </w:p>
        </w:tc>
        <w:tc>
          <w:tcPr>
            <w:tcW w:w="7041" w:type="dxa"/>
            <w:shd w:val="clear" w:color="auto" w:fill="EEEEEE"/>
          </w:tcPr>
          <w:p w14:paraId="40F8ACE1"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Describe statistical methods and statistics used</w:t>
            </w:r>
          </w:p>
        </w:tc>
        <w:tc>
          <w:tcPr>
            <w:tcW w:w="720" w:type="dxa"/>
            <w:shd w:val="clear" w:color="auto" w:fill="EEEEEE"/>
          </w:tcPr>
          <w:p w14:paraId="1F0D0291"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w:t>
            </w:r>
          </w:p>
        </w:tc>
        <w:tc>
          <w:tcPr>
            <w:tcW w:w="4320" w:type="dxa"/>
            <w:shd w:val="clear" w:color="auto" w:fill="EEEEEE"/>
          </w:tcPr>
          <w:p w14:paraId="51282B73"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Statistical analyses were performed using two-sample Mendelian randomization (MR) with a bidirectional design. The primary analysis employed the inverse variance weighted (IVW) method, supplemented by weighted median method and MR-Egger regression for sens</w:t>
            </w:r>
            <w:r w:rsidRPr="00534815">
              <w:rPr>
                <w:rFonts w:ascii="Times New Roman" w:eastAsia="Times New Roman" w:hAnsi="Times New Roman" w:cs="Times New Roman"/>
                <w:sz w:val="21"/>
                <w:szCs w:val="21"/>
                <w:lang w:val="en-GB" w:eastAsia="en-GB"/>
              </w:rPr>
              <w:t>itivity analyses. Horizontal pleiotropy was assessed using MR-PRESSO test. The strength of instrumental variables was evaluated using F-statistics, while heterogeneity was tested using Cochran's Q statistic. Leave-one-out analysis was conducted to identify</w:t>
            </w:r>
            <w:r w:rsidRPr="00534815">
              <w:rPr>
                <w:rFonts w:ascii="Times New Roman" w:eastAsia="Times New Roman" w:hAnsi="Times New Roman" w:cs="Times New Roman"/>
                <w:sz w:val="21"/>
                <w:szCs w:val="21"/>
                <w:lang w:val="en-GB" w:eastAsia="en-GB"/>
              </w:rPr>
              <w:t xml:space="preserve"> influential outliers, and funnel plots were used for visual assessment of pleiotropy. All analyses were performed using R version 4.0.3 with </w:t>
            </w:r>
            <w:proofErr w:type="spellStart"/>
            <w:r w:rsidRPr="00534815">
              <w:rPr>
                <w:rFonts w:ascii="Times New Roman" w:eastAsia="Times New Roman" w:hAnsi="Times New Roman" w:cs="Times New Roman"/>
                <w:sz w:val="21"/>
                <w:szCs w:val="21"/>
                <w:lang w:val="en-GB" w:eastAsia="en-GB"/>
              </w:rPr>
              <w:t>TwoSampleMR</w:t>
            </w:r>
            <w:proofErr w:type="spellEnd"/>
            <w:r w:rsidRPr="00534815">
              <w:rPr>
                <w:rFonts w:ascii="Times New Roman" w:eastAsia="Times New Roman" w:hAnsi="Times New Roman" w:cs="Times New Roman"/>
                <w:sz w:val="21"/>
                <w:szCs w:val="21"/>
                <w:lang w:val="en-GB" w:eastAsia="en-GB"/>
              </w:rPr>
              <w:t xml:space="preserve"> and MR-PRESSO packages. Statistical significance was set at P &lt; 0.05.</w:t>
            </w:r>
          </w:p>
        </w:tc>
      </w:tr>
      <w:tr w:rsidR="00534815" w:rsidRPr="00534815" w14:paraId="15403FD7" w14:textId="77777777">
        <w:tc>
          <w:tcPr>
            <w:tcW w:w="587" w:type="dxa"/>
            <w:shd w:val="clear" w:color="auto" w:fill="auto"/>
          </w:tcPr>
          <w:p w14:paraId="603411AF"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48974549"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a)</w:t>
            </w:r>
          </w:p>
        </w:tc>
        <w:tc>
          <w:tcPr>
            <w:tcW w:w="7041" w:type="dxa"/>
            <w:shd w:val="clear" w:color="auto" w:fill="auto"/>
          </w:tcPr>
          <w:p w14:paraId="6E49CBC5"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Describe how quantitative </w:t>
            </w:r>
            <w:r w:rsidRPr="00534815">
              <w:rPr>
                <w:rFonts w:ascii="Times New Roman" w:eastAsia="Times New Roman" w:hAnsi="Times New Roman" w:cs="Times New Roman"/>
                <w:sz w:val="21"/>
                <w:szCs w:val="21"/>
                <w:lang w:val="en-GB" w:eastAsia="en-GB"/>
              </w:rPr>
              <w:t>variables were handled in the analyses (i.e., scale, units, model)</w:t>
            </w:r>
          </w:p>
        </w:tc>
        <w:tc>
          <w:tcPr>
            <w:tcW w:w="720" w:type="dxa"/>
          </w:tcPr>
          <w:p w14:paraId="201B44FF"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w:t>
            </w:r>
          </w:p>
        </w:tc>
        <w:tc>
          <w:tcPr>
            <w:tcW w:w="4320" w:type="dxa"/>
          </w:tcPr>
          <w:p w14:paraId="5132AB00"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Where N is the sample size of the included exposure factors, K is the number of SNPs in the database, and R2 is the cumulative interpretation variance of the selected SNPS in the exposure</w:t>
            </w:r>
            <w:r w:rsidRPr="00534815">
              <w:rPr>
                <w:rFonts w:ascii="Times New Roman" w:eastAsia="Times New Roman" w:hAnsi="Times New Roman" w:cs="Times New Roman"/>
                <w:sz w:val="21"/>
                <w:szCs w:val="21"/>
                <w:lang w:val="en-GB" w:eastAsia="zh-CN"/>
              </w:rPr>
              <w:t>.</w:t>
            </w:r>
          </w:p>
          <w:p w14:paraId="1FD6F9F7"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Where EAF is the effector allele frequency, SE is the standard error, SD is the standard deviation, and β is the allele effect value.</w:t>
            </w:r>
          </w:p>
        </w:tc>
      </w:tr>
      <w:tr w:rsidR="00534815" w:rsidRPr="00534815" w14:paraId="0DC811E4" w14:textId="77777777">
        <w:tc>
          <w:tcPr>
            <w:tcW w:w="587" w:type="dxa"/>
            <w:shd w:val="clear" w:color="auto" w:fill="EEEEEE"/>
          </w:tcPr>
          <w:p w14:paraId="5CDDDD0A"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EEEEEE"/>
          </w:tcPr>
          <w:p w14:paraId="4675C2D7"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b)</w:t>
            </w:r>
          </w:p>
        </w:tc>
        <w:tc>
          <w:tcPr>
            <w:tcW w:w="7041" w:type="dxa"/>
            <w:shd w:val="clear" w:color="auto" w:fill="EEEEEE"/>
          </w:tcPr>
          <w:p w14:paraId="2EC095C3"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Describe how genetic variants were handled in the analyses and, if applicable, how their weights were selected</w:t>
            </w:r>
          </w:p>
        </w:tc>
        <w:tc>
          <w:tcPr>
            <w:tcW w:w="720" w:type="dxa"/>
            <w:shd w:val="clear" w:color="auto" w:fill="EEEEEE"/>
          </w:tcPr>
          <w:p w14:paraId="2D3E23A5"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4-5</w:t>
            </w:r>
          </w:p>
        </w:tc>
        <w:tc>
          <w:tcPr>
            <w:tcW w:w="4320" w:type="dxa"/>
            <w:shd w:val="clear" w:color="auto" w:fill="EEEEEE"/>
          </w:tcPr>
          <w:p w14:paraId="43EA478F"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GB" w:eastAsia="zh-CN"/>
              </w:rPr>
            </w:pPr>
            <w:r w:rsidRPr="00534815">
              <w:rPr>
                <w:rFonts w:ascii="Times New Roman" w:eastAsia="SimSun" w:hAnsi="Times New Roman" w:cs="Times New Roman"/>
                <w:sz w:val="21"/>
                <w:szCs w:val="21"/>
                <w:lang w:val="en-GB" w:eastAsia="zh-CN"/>
              </w:rPr>
              <w:t>To ensure adequate sample size, we set the significance threshold for instrumental variables at P &lt; 5e-06</w:t>
            </w:r>
            <w:r w:rsidRPr="00534815">
              <w:rPr>
                <w:rFonts w:ascii="Times New Roman" w:eastAsia="SimSun" w:hAnsi="Times New Roman" w:cs="Times New Roman"/>
                <w:sz w:val="21"/>
                <w:szCs w:val="21"/>
                <w:lang w:val="en-GB" w:eastAsia="zh-CN"/>
              </w:rPr>
              <w:t>〔</w:t>
            </w:r>
            <w:r w:rsidRPr="00534815">
              <w:rPr>
                <w:rFonts w:ascii="Times New Roman" w:eastAsia="SimSun" w:hAnsi="Times New Roman" w:cs="Times New Roman"/>
                <w:sz w:val="21"/>
                <w:szCs w:val="21"/>
                <w:lang w:val="en-GB" w:eastAsia="zh-CN"/>
              </w:rPr>
              <w:t>16</w:t>
            </w:r>
            <w:r w:rsidRPr="00534815">
              <w:rPr>
                <w:rFonts w:ascii="Times New Roman" w:eastAsia="SimSun" w:hAnsi="Times New Roman" w:cs="Times New Roman"/>
                <w:sz w:val="21"/>
                <w:szCs w:val="21"/>
                <w:lang w:val="en-GB" w:eastAsia="zh-CN"/>
              </w:rPr>
              <w:t>〕</w:t>
            </w:r>
            <w:r w:rsidRPr="00534815">
              <w:rPr>
                <w:rFonts w:ascii="Times New Roman" w:eastAsia="SimSun" w:hAnsi="Times New Roman" w:cs="Times New Roman"/>
                <w:sz w:val="21"/>
                <w:szCs w:val="21"/>
                <w:lang w:val="en-GB" w:eastAsia="zh-CN"/>
              </w:rPr>
              <w:t xml:space="preserve">.   To preserve the independence of SNPs, we applied rigorous thresholds with r² &lt; 0.001 and kb = 10,000.   </w:t>
            </w:r>
            <w:r w:rsidRPr="00534815">
              <w:rPr>
                <w:rFonts w:ascii="Times New Roman" w:eastAsia="SimSun" w:hAnsi="Times New Roman" w:cs="Times New Roman"/>
                <w:sz w:val="21"/>
                <w:szCs w:val="21"/>
                <w:lang w:val="en-GB" w:eastAsia="zh-CN"/>
              </w:rPr>
              <w:lastRenderedPageBreak/>
              <w:t>The strength of IVs was evaluated using</w:t>
            </w:r>
            <w:r w:rsidRPr="00534815">
              <w:rPr>
                <w:rFonts w:ascii="Times New Roman" w:eastAsia="SimSun" w:hAnsi="Times New Roman" w:cs="Times New Roman"/>
                <w:sz w:val="21"/>
                <w:szCs w:val="21"/>
                <w:lang w:val="en-GB" w:eastAsia="zh-CN"/>
              </w:rPr>
              <w:t xml:space="preserve"> F-statistics (F = beta²/se²)</w:t>
            </w:r>
            <w:r w:rsidRPr="00534815">
              <w:rPr>
                <w:rFonts w:ascii="Times New Roman" w:eastAsia="SimSun" w:hAnsi="Times New Roman" w:cs="Times New Roman"/>
                <w:sz w:val="21"/>
                <w:szCs w:val="21"/>
                <w:lang w:val="en-GB" w:eastAsia="zh-CN"/>
              </w:rPr>
              <w:t>〔</w:t>
            </w:r>
            <w:r w:rsidRPr="00534815">
              <w:rPr>
                <w:rFonts w:ascii="Times New Roman" w:eastAsia="SimSun" w:hAnsi="Times New Roman" w:cs="Times New Roman"/>
                <w:sz w:val="21"/>
                <w:szCs w:val="21"/>
                <w:lang w:val="en-GB" w:eastAsia="zh-CN"/>
              </w:rPr>
              <w:t>17</w:t>
            </w:r>
            <w:r w:rsidRPr="00534815">
              <w:rPr>
                <w:rFonts w:ascii="Times New Roman" w:eastAsia="SimSun" w:hAnsi="Times New Roman" w:cs="Times New Roman"/>
                <w:sz w:val="21"/>
                <w:szCs w:val="21"/>
                <w:lang w:val="en-GB" w:eastAsia="zh-CN"/>
              </w:rPr>
              <w:t>〕</w:t>
            </w:r>
            <w:r w:rsidRPr="00534815">
              <w:rPr>
                <w:rFonts w:ascii="Times New Roman" w:eastAsia="SimSun" w:hAnsi="Times New Roman" w:cs="Times New Roman"/>
                <w:sz w:val="21"/>
                <w:szCs w:val="21"/>
                <w:lang w:val="en-GB" w:eastAsia="zh-CN"/>
              </w:rPr>
              <w:t>, and SNPs with F-values less than 10 were excluded to ensure significance and minimize the likelihood of weak instrument bias.</w:t>
            </w:r>
          </w:p>
        </w:tc>
      </w:tr>
      <w:tr w:rsidR="00534815" w:rsidRPr="00534815" w14:paraId="0999FC1F" w14:textId="77777777">
        <w:tc>
          <w:tcPr>
            <w:tcW w:w="587" w:type="dxa"/>
            <w:shd w:val="clear" w:color="auto" w:fill="auto"/>
          </w:tcPr>
          <w:p w14:paraId="4F63229B"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auto"/>
          </w:tcPr>
          <w:p w14:paraId="293378CA"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c)</w:t>
            </w:r>
          </w:p>
        </w:tc>
        <w:tc>
          <w:tcPr>
            <w:tcW w:w="7041" w:type="dxa"/>
            <w:shd w:val="clear" w:color="auto" w:fill="auto"/>
          </w:tcPr>
          <w:p w14:paraId="36ADA71D"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Describe the MR estimator (e.g. two-stage least squares, Wald ratio) and related </w:t>
            </w:r>
            <w:r w:rsidRPr="00534815">
              <w:rPr>
                <w:rFonts w:ascii="Times New Roman" w:eastAsia="Times New Roman" w:hAnsi="Times New Roman" w:cs="Times New Roman"/>
                <w:sz w:val="21"/>
                <w:szCs w:val="21"/>
                <w:lang w:val="en-GB" w:eastAsia="en-GB"/>
              </w:rPr>
              <w:t>statistics. Detail the included covariates and, in case of two-sample MR, whether the same covariate set was used for adjustment in the two samples</w:t>
            </w:r>
          </w:p>
        </w:tc>
        <w:tc>
          <w:tcPr>
            <w:tcW w:w="720" w:type="dxa"/>
          </w:tcPr>
          <w:p w14:paraId="3EF0D32F"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w:t>
            </w:r>
          </w:p>
        </w:tc>
        <w:tc>
          <w:tcPr>
            <w:tcW w:w="4320" w:type="dxa"/>
          </w:tcPr>
          <w:p w14:paraId="37E28F23"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The main analysis method is Inverse Variance Weighted (IVW). And the MR Results were cross-verified by MR-</w:t>
            </w:r>
            <w:r w:rsidRPr="00534815">
              <w:rPr>
                <w:rFonts w:ascii="Times New Roman" w:eastAsia="Times New Roman" w:hAnsi="Times New Roman" w:cs="Times New Roman"/>
                <w:sz w:val="21"/>
                <w:szCs w:val="21"/>
                <w:lang w:val="en-GB" w:eastAsia="en-GB"/>
              </w:rPr>
              <w:t>Egger regression, Weighted median, Weighted mode and Simple mode to ensure the validity and robustness of the research results.</w:t>
            </w:r>
          </w:p>
        </w:tc>
      </w:tr>
      <w:tr w:rsidR="00534815" w:rsidRPr="00534815" w14:paraId="66A1397F" w14:textId="77777777">
        <w:tc>
          <w:tcPr>
            <w:tcW w:w="587" w:type="dxa"/>
            <w:shd w:val="clear" w:color="auto" w:fill="EEEEEE"/>
          </w:tcPr>
          <w:p w14:paraId="7369F2E5"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EEEEEE"/>
          </w:tcPr>
          <w:p w14:paraId="42983FE4"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d)</w:t>
            </w:r>
          </w:p>
        </w:tc>
        <w:tc>
          <w:tcPr>
            <w:tcW w:w="7041" w:type="dxa"/>
            <w:shd w:val="clear" w:color="auto" w:fill="EEEEEE"/>
          </w:tcPr>
          <w:p w14:paraId="65D7DBAD"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Explain how missing data were addressed</w:t>
            </w:r>
          </w:p>
        </w:tc>
        <w:tc>
          <w:tcPr>
            <w:tcW w:w="720" w:type="dxa"/>
            <w:shd w:val="clear" w:color="auto" w:fill="EEEEEE"/>
          </w:tcPr>
          <w:p w14:paraId="2513717D"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w:t>
            </w:r>
          </w:p>
        </w:tc>
        <w:tc>
          <w:tcPr>
            <w:tcW w:w="4320" w:type="dxa"/>
            <w:shd w:val="clear" w:color="auto" w:fill="EEEEEE"/>
          </w:tcPr>
          <w:p w14:paraId="75F582A0"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 xml:space="preserve">For SNPs missing from the outcome, SNPs with a strong linkage imbalance (r2&gt;0.8) </w:t>
            </w:r>
            <w:r w:rsidRPr="00534815">
              <w:rPr>
                <w:rFonts w:ascii="Times New Roman" w:eastAsia="SimSun" w:hAnsi="Times New Roman" w:cs="Times New Roman"/>
                <w:sz w:val="21"/>
                <w:szCs w:val="21"/>
                <w:lang w:val="en-US" w:eastAsia="zh-CN"/>
              </w:rPr>
              <w:t>were used to fill in the missing SNPS.</w:t>
            </w:r>
          </w:p>
        </w:tc>
      </w:tr>
      <w:tr w:rsidR="00534815" w:rsidRPr="00534815" w14:paraId="78512F1A" w14:textId="77777777">
        <w:tc>
          <w:tcPr>
            <w:tcW w:w="587" w:type="dxa"/>
            <w:shd w:val="clear" w:color="auto" w:fill="auto"/>
          </w:tcPr>
          <w:p w14:paraId="5227A343"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auto"/>
          </w:tcPr>
          <w:p w14:paraId="55AF3148"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e)</w:t>
            </w:r>
          </w:p>
        </w:tc>
        <w:tc>
          <w:tcPr>
            <w:tcW w:w="7041" w:type="dxa"/>
            <w:shd w:val="clear" w:color="auto" w:fill="auto"/>
          </w:tcPr>
          <w:p w14:paraId="3D027F3B"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If applicable, indicate how multiple testing was addressed</w:t>
            </w:r>
          </w:p>
        </w:tc>
        <w:tc>
          <w:tcPr>
            <w:tcW w:w="720" w:type="dxa"/>
          </w:tcPr>
          <w:p w14:paraId="23D7DFBD"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c>
          <w:tcPr>
            <w:tcW w:w="4320" w:type="dxa"/>
          </w:tcPr>
          <w:p w14:paraId="2BAF1F51"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Inapplicability</w:t>
            </w:r>
          </w:p>
        </w:tc>
      </w:tr>
      <w:tr w:rsidR="00534815" w:rsidRPr="00534815" w14:paraId="705E82E2" w14:textId="77777777">
        <w:tc>
          <w:tcPr>
            <w:tcW w:w="587" w:type="dxa"/>
            <w:shd w:val="clear" w:color="auto" w:fill="EEEEEE"/>
          </w:tcPr>
          <w:p w14:paraId="5D88FFFD"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7</w:t>
            </w:r>
          </w:p>
        </w:tc>
        <w:tc>
          <w:tcPr>
            <w:tcW w:w="1822" w:type="dxa"/>
            <w:shd w:val="clear" w:color="auto" w:fill="EEEEEE"/>
          </w:tcPr>
          <w:p w14:paraId="6BD17D60"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Assessment of assumptions</w:t>
            </w:r>
          </w:p>
        </w:tc>
        <w:tc>
          <w:tcPr>
            <w:tcW w:w="7041" w:type="dxa"/>
            <w:shd w:val="clear" w:color="auto" w:fill="EEEEEE"/>
          </w:tcPr>
          <w:p w14:paraId="5EC3BE5D" w14:textId="77777777" w:rsidR="00E64266" w:rsidRPr="00534815" w:rsidRDefault="00534815">
            <w:pPr>
              <w:tabs>
                <w:tab w:val="left" w:pos="1620"/>
              </w:tabs>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Describe any methods or prior knowledge used to assess the assumptions or justify their validity</w:t>
            </w:r>
            <w:r w:rsidRPr="00534815">
              <w:rPr>
                <w:rFonts w:ascii="Times New Roman" w:eastAsia="Cambria" w:hAnsi="Times New Roman" w:cs="Times New Roman"/>
                <w:sz w:val="21"/>
                <w:szCs w:val="21"/>
                <w:lang w:val="en-GB" w:eastAsia="en-US"/>
              </w:rPr>
              <w:tab/>
            </w:r>
          </w:p>
        </w:tc>
        <w:tc>
          <w:tcPr>
            <w:tcW w:w="720" w:type="dxa"/>
            <w:shd w:val="clear" w:color="auto" w:fill="EEEEEE"/>
          </w:tcPr>
          <w:p w14:paraId="166AE49B" w14:textId="77777777" w:rsidR="00E64266" w:rsidRPr="00534815" w:rsidRDefault="00534815">
            <w:pPr>
              <w:tabs>
                <w:tab w:val="left" w:pos="1620"/>
              </w:tabs>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2</w:t>
            </w:r>
          </w:p>
        </w:tc>
        <w:tc>
          <w:tcPr>
            <w:tcW w:w="4320" w:type="dxa"/>
            <w:shd w:val="clear" w:color="auto" w:fill="EEEEEE"/>
          </w:tcPr>
          <w:p w14:paraId="1DD0DA97" w14:textId="77777777" w:rsidR="00E64266" w:rsidRPr="00534815" w:rsidRDefault="00534815">
            <w:pPr>
              <w:tabs>
                <w:tab w:val="left" w:pos="1620"/>
              </w:tabs>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SimSun" w:hAnsi="Times New Roman" w:cs="Times New Roman"/>
                <w:sz w:val="21"/>
                <w:szCs w:val="21"/>
                <w:lang w:val="en-US" w:eastAsia="zh-CN"/>
              </w:rPr>
              <w:t xml:space="preserve">With </w:t>
            </w:r>
            <w:r w:rsidRPr="00534815">
              <w:rPr>
                <w:rFonts w:ascii="Times New Roman" w:eastAsia="SimSun" w:hAnsi="Times New Roman" w:cs="Times New Roman"/>
                <w:sz w:val="21"/>
                <w:szCs w:val="21"/>
                <w:lang w:val="en-US" w:eastAsia="zh-CN"/>
              </w:rPr>
              <w:t>the concept of the gut-brain-skin axis being widely discussed, growing evidence suggests potential associations between rosacea and various neurodegenerative and neuropsychiatric conditions, including Parkinson's disease</w:t>
            </w:r>
            <w:r w:rsidRPr="00534815">
              <w:rPr>
                <w:rFonts w:ascii="Times New Roman" w:eastAsia="SimSun" w:hAnsi="Times New Roman" w:cs="Times New Roman"/>
                <w:sz w:val="21"/>
                <w:szCs w:val="21"/>
                <w:lang w:val="en-US" w:eastAsia="zh-CN"/>
              </w:rPr>
              <w:t>〔</w:t>
            </w:r>
            <w:r w:rsidRPr="00534815">
              <w:rPr>
                <w:rFonts w:ascii="Times New Roman" w:eastAsia="SimSun" w:hAnsi="Times New Roman" w:cs="Times New Roman"/>
                <w:sz w:val="21"/>
                <w:szCs w:val="21"/>
                <w:lang w:val="en-US" w:eastAsia="zh-CN"/>
              </w:rPr>
              <w:t>5</w:t>
            </w:r>
            <w:r w:rsidRPr="00534815">
              <w:rPr>
                <w:rFonts w:ascii="Times New Roman" w:eastAsia="SimSun" w:hAnsi="Times New Roman" w:cs="Times New Roman"/>
                <w:sz w:val="21"/>
                <w:szCs w:val="21"/>
                <w:lang w:val="en-US" w:eastAsia="zh-CN"/>
              </w:rPr>
              <w:t>〕</w:t>
            </w:r>
            <w:r w:rsidRPr="00534815">
              <w:rPr>
                <w:rFonts w:ascii="Times New Roman" w:eastAsia="SimSun" w:hAnsi="Times New Roman" w:cs="Times New Roman"/>
                <w:sz w:val="21"/>
                <w:szCs w:val="21"/>
                <w:lang w:val="en-US" w:eastAsia="zh-CN"/>
              </w:rPr>
              <w:t>, Alzheimer's disease</w:t>
            </w:r>
            <w:r w:rsidRPr="00534815">
              <w:rPr>
                <w:rFonts w:ascii="Times New Roman" w:eastAsia="SimSun" w:hAnsi="Times New Roman" w:cs="Times New Roman"/>
                <w:sz w:val="21"/>
                <w:szCs w:val="21"/>
                <w:lang w:val="en-US" w:eastAsia="zh-CN"/>
              </w:rPr>
              <w:t>〔</w:t>
            </w:r>
            <w:r w:rsidRPr="00534815">
              <w:rPr>
                <w:rFonts w:ascii="Times New Roman" w:eastAsia="SimSun" w:hAnsi="Times New Roman" w:cs="Times New Roman"/>
                <w:sz w:val="21"/>
                <w:szCs w:val="21"/>
                <w:lang w:val="en-US" w:eastAsia="zh-CN"/>
              </w:rPr>
              <w:t>6</w:t>
            </w:r>
            <w:r w:rsidRPr="00534815">
              <w:rPr>
                <w:rFonts w:ascii="Times New Roman" w:eastAsia="SimSun" w:hAnsi="Times New Roman" w:cs="Times New Roman"/>
                <w:sz w:val="21"/>
                <w:szCs w:val="21"/>
                <w:lang w:val="en-US" w:eastAsia="zh-CN"/>
              </w:rPr>
              <w:t>〕</w:t>
            </w:r>
            <w:r w:rsidRPr="00534815">
              <w:rPr>
                <w:rFonts w:ascii="Times New Roman" w:eastAsia="SimSun" w:hAnsi="Times New Roman" w:cs="Times New Roman"/>
                <w:sz w:val="21"/>
                <w:szCs w:val="21"/>
                <w:lang w:val="en-US" w:eastAsia="zh-CN"/>
              </w:rPr>
              <w:t>, anxiety</w:t>
            </w:r>
            <w:r w:rsidRPr="00534815">
              <w:rPr>
                <w:rFonts w:ascii="Times New Roman" w:eastAsia="SimSun" w:hAnsi="Times New Roman" w:cs="Times New Roman"/>
                <w:sz w:val="21"/>
                <w:szCs w:val="21"/>
                <w:lang w:val="en-US" w:eastAsia="zh-CN"/>
              </w:rPr>
              <w:t xml:space="preserve"> disorders, and depression.  </w:t>
            </w:r>
          </w:p>
        </w:tc>
      </w:tr>
      <w:tr w:rsidR="00534815" w:rsidRPr="00534815" w14:paraId="4C374968" w14:textId="77777777">
        <w:tc>
          <w:tcPr>
            <w:tcW w:w="587" w:type="dxa"/>
            <w:shd w:val="clear" w:color="auto" w:fill="auto"/>
          </w:tcPr>
          <w:p w14:paraId="74D0027F"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8</w:t>
            </w:r>
          </w:p>
        </w:tc>
        <w:tc>
          <w:tcPr>
            <w:tcW w:w="1822" w:type="dxa"/>
            <w:shd w:val="clear" w:color="auto" w:fill="auto"/>
          </w:tcPr>
          <w:p w14:paraId="6AFCBFA4"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Sensitivity analyses and additional analyses</w:t>
            </w:r>
          </w:p>
        </w:tc>
        <w:tc>
          <w:tcPr>
            <w:tcW w:w="7041" w:type="dxa"/>
            <w:shd w:val="clear" w:color="auto" w:fill="auto"/>
          </w:tcPr>
          <w:p w14:paraId="7D50DA01"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Describe any sensitivity analyses or additional analyses performed (e.g. comparison of effect estimates from different approaches, independent replication, bias analytic </w:t>
            </w:r>
            <w:r w:rsidRPr="00534815">
              <w:rPr>
                <w:rFonts w:ascii="Times New Roman" w:eastAsia="Times New Roman" w:hAnsi="Times New Roman" w:cs="Times New Roman"/>
                <w:sz w:val="21"/>
                <w:szCs w:val="21"/>
                <w:lang w:val="en-GB" w:eastAsia="en-GB"/>
              </w:rPr>
              <w:t>techniques, validation of instruments, simulations)</w:t>
            </w:r>
          </w:p>
        </w:tc>
        <w:tc>
          <w:tcPr>
            <w:tcW w:w="720" w:type="dxa"/>
          </w:tcPr>
          <w:p w14:paraId="21C85A11"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4-5</w:t>
            </w:r>
          </w:p>
        </w:tc>
        <w:tc>
          <w:tcPr>
            <w:tcW w:w="4320" w:type="dxa"/>
          </w:tcPr>
          <w:p w14:paraId="1E3401D7"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US" w:eastAsia="zh-CN"/>
              </w:rPr>
              <w:t>To assess the robustness of our findings, comprehensive sensitivity analyses were performed. We employed multiple MR methods, including weighted median method and MR-Egger regression, to complement the primary IVW analysis. Potential pleiotropy was evaluat</w:t>
            </w:r>
            <w:r w:rsidRPr="00534815">
              <w:rPr>
                <w:rFonts w:ascii="Times New Roman" w:eastAsia="Times New Roman" w:hAnsi="Times New Roman" w:cs="Times New Roman"/>
                <w:sz w:val="21"/>
                <w:szCs w:val="21"/>
                <w:lang w:val="en-US" w:eastAsia="zh-CN"/>
              </w:rPr>
              <w:t>ed using MR-PRESSO test and MR-Egger intercept test, while heterogeneity was assessed using Cochran's Q statistic. Instrument strength was validated through F-statistics calculation and linkage disequilibrium assessment (r² &lt; 0.001, kb = 10,000). Leave-one</w:t>
            </w:r>
            <w:r w:rsidRPr="00534815">
              <w:rPr>
                <w:rFonts w:ascii="Times New Roman" w:eastAsia="Times New Roman" w:hAnsi="Times New Roman" w:cs="Times New Roman"/>
                <w:sz w:val="21"/>
                <w:szCs w:val="21"/>
                <w:lang w:val="en-US" w:eastAsia="zh-CN"/>
              </w:rPr>
              <w:t xml:space="preserve">-out analyses were conducted to identify influential outliers. Additionally, bidirectional MR analyses were performed to investigate </w:t>
            </w:r>
            <w:r w:rsidRPr="00534815">
              <w:rPr>
                <w:rFonts w:ascii="Times New Roman" w:eastAsia="Times New Roman" w:hAnsi="Times New Roman" w:cs="Times New Roman"/>
                <w:sz w:val="21"/>
                <w:szCs w:val="21"/>
                <w:lang w:val="en-US" w:eastAsia="zh-CN"/>
              </w:rPr>
              <w:lastRenderedPageBreak/>
              <w:t xml:space="preserve">potential reverse causation, with all analyses implemented using R software with </w:t>
            </w:r>
            <w:proofErr w:type="spellStart"/>
            <w:r w:rsidRPr="00534815">
              <w:rPr>
                <w:rFonts w:ascii="Times New Roman" w:eastAsia="Times New Roman" w:hAnsi="Times New Roman" w:cs="Times New Roman"/>
                <w:sz w:val="21"/>
                <w:szCs w:val="21"/>
                <w:lang w:val="en-US" w:eastAsia="zh-CN"/>
              </w:rPr>
              <w:t>TwoSampleMR</w:t>
            </w:r>
            <w:proofErr w:type="spellEnd"/>
            <w:r w:rsidRPr="00534815">
              <w:rPr>
                <w:rFonts w:ascii="Times New Roman" w:eastAsia="Times New Roman" w:hAnsi="Times New Roman" w:cs="Times New Roman"/>
                <w:sz w:val="21"/>
                <w:szCs w:val="21"/>
                <w:lang w:val="en-US" w:eastAsia="zh-CN"/>
              </w:rPr>
              <w:t xml:space="preserve"> and MR-PRESSO packages.</w:t>
            </w:r>
          </w:p>
        </w:tc>
      </w:tr>
      <w:tr w:rsidR="00534815" w:rsidRPr="00534815" w14:paraId="298EB899" w14:textId="77777777">
        <w:tc>
          <w:tcPr>
            <w:tcW w:w="587" w:type="dxa"/>
            <w:shd w:val="clear" w:color="auto" w:fill="EEEEEE"/>
          </w:tcPr>
          <w:p w14:paraId="0007EC62"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lastRenderedPageBreak/>
              <w:t>9</w:t>
            </w:r>
          </w:p>
        </w:tc>
        <w:tc>
          <w:tcPr>
            <w:tcW w:w="1822" w:type="dxa"/>
            <w:shd w:val="clear" w:color="auto" w:fill="EEEEEE"/>
          </w:tcPr>
          <w:p w14:paraId="4B0417A9"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Software and pre-registration</w:t>
            </w:r>
          </w:p>
        </w:tc>
        <w:tc>
          <w:tcPr>
            <w:tcW w:w="7041" w:type="dxa"/>
            <w:shd w:val="clear" w:color="auto" w:fill="EEEEEE"/>
          </w:tcPr>
          <w:p w14:paraId="770C80BD"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shd w:val="clear" w:color="auto" w:fill="EEEEEE"/>
          </w:tcPr>
          <w:p w14:paraId="35B3D20A"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shd w:val="clear" w:color="auto" w:fill="EEEEEE"/>
          </w:tcPr>
          <w:p w14:paraId="4E8D9B61"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73E9B960" w14:textId="77777777">
        <w:tc>
          <w:tcPr>
            <w:tcW w:w="587" w:type="dxa"/>
            <w:shd w:val="clear" w:color="auto" w:fill="auto"/>
          </w:tcPr>
          <w:p w14:paraId="634C8FAF"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0B311F11"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a)</w:t>
            </w:r>
          </w:p>
        </w:tc>
        <w:tc>
          <w:tcPr>
            <w:tcW w:w="7041" w:type="dxa"/>
            <w:shd w:val="clear" w:color="auto" w:fill="auto"/>
          </w:tcPr>
          <w:p w14:paraId="768197A1"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Name statistical software and package(s), including version and settings used </w:t>
            </w:r>
          </w:p>
        </w:tc>
        <w:tc>
          <w:tcPr>
            <w:tcW w:w="720" w:type="dxa"/>
          </w:tcPr>
          <w:p w14:paraId="64A2EE20"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w:t>
            </w:r>
          </w:p>
        </w:tc>
        <w:tc>
          <w:tcPr>
            <w:tcW w:w="4320" w:type="dxa"/>
          </w:tcPr>
          <w:p w14:paraId="59963E87"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All statistical analyses were performed using R Studio software (version 4.4.1). The causal relationships between rosacea and the aforementioned disorders were </w:t>
            </w:r>
            <w:proofErr w:type="spellStart"/>
            <w:r w:rsidRPr="00534815">
              <w:rPr>
                <w:rFonts w:ascii="Times New Roman" w:eastAsia="Times New Roman" w:hAnsi="Times New Roman" w:cs="Times New Roman"/>
                <w:sz w:val="21"/>
                <w:szCs w:val="21"/>
                <w:lang w:val="en-GB" w:eastAsia="en-GB"/>
              </w:rPr>
              <w:t>analyzed</w:t>
            </w:r>
            <w:proofErr w:type="spellEnd"/>
            <w:r w:rsidRPr="00534815">
              <w:rPr>
                <w:rFonts w:ascii="Times New Roman" w:eastAsia="Times New Roman" w:hAnsi="Times New Roman" w:cs="Times New Roman"/>
                <w:sz w:val="21"/>
                <w:szCs w:val="21"/>
                <w:lang w:val="en-GB" w:eastAsia="en-GB"/>
              </w:rPr>
              <w:t xml:space="preserve"> using the "Two Sample MR" package (version 0.6.8), with P &lt; 0.05 considered as evidence</w:t>
            </w:r>
            <w:r w:rsidRPr="00534815">
              <w:rPr>
                <w:rFonts w:ascii="Times New Roman" w:eastAsia="Times New Roman" w:hAnsi="Times New Roman" w:cs="Times New Roman"/>
                <w:sz w:val="21"/>
                <w:szCs w:val="21"/>
                <w:lang w:val="en-GB" w:eastAsia="en-GB"/>
              </w:rPr>
              <w:t xml:space="preserve"> of potential causal effects.</w:t>
            </w:r>
          </w:p>
        </w:tc>
      </w:tr>
      <w:tr w:rsidR="00534815" w:rsidRPr="00534815" w14:paraId="0F831E8D" w14:textId="77777777">
        <w:tc>
          <w:tcPr>
            <w:tcW w:w="587" w:type="dxa"/>
            <w:tcBorders>
              <w:bottom w:val="single" w:sz="6" w:space="0" w:color="7F7F7F"/>
            </w:tcBorders>
            <w:shd w:val="clear" w:color="auto" w:fill="EEEEEE"/>
          </w:tcPr>
          <w:p w14:paraId="68798D23"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tcBorders>
              <w:bottom w:val="single" w:sz="6" w:space="0" w:color="7F7F7F"/>
            </w:tcBorders>
            <w:shd w:val="clear" w:color="auto" w:fill="EEEEEE"/>
          </w:tcPr>
          <w:p w14:paraId="1A285BE6"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b)</w:t>
            </w:r>
          </w:p>
        </w:tc>
        <w:tc>
          <w:tcPr>
            <w:tcW w:w="7041" w:type="dxa"/>
            <w:tcBorders>
              <w:bottom w:val="single" w:sz="6" w:space="0" w:color="7F7F7F"/>
            </w:tcBorders>
            <w:shd w:val="clear" w:color="auto" w:fill="EEEEEE"/>
          </w:tcPr>
          <w:p w14:paraId="195A346A"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34998047"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c>
          <w:tcPr>
            <w:tcW w:w="4320" w:type="dxa"/>
            <w:tcBorders>
              <w:bottom w:val="single" w:sz="6" w:space="0" w:color="7F7F7F"/>
            </w:tcBorders>
            <w:shd w:val="clear" w:color="auto" w:fill="EEEEEE"/>
          </w:tcPr>
          <w:p w14:paraId="7FDAFF5A"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No pre-registration</w:t>
            </w:r>
          </w:p>
        </w:tc>
      </w:tr>
      <w:tr w:rsidR="00534815" w:rsidRPr="00534815" w14:paraId="34FAC5D5" w14:textId="77777777">
        <w:tc>
          <w:tcPr>
            <w:tcW w:w="587" w:type="dxa"/>
            <w:tcBorders>
              <w:top w:val="single" w:sz="6" w:space="0" w:color="7F7F7F"/>
            </w:tcBorders>
            <w:shd w:val="clear" w:color="auto" w:fill="auto"/>
          </w:tcPr>
          <w:p w14:paraId="3437CEA1" w14:textId="77777777" w:rsidR="00E64266" w:rsidRPr="00534815" w:rsidRDefault="00E64266">
            <w:pPr>
              <w:spacing w:beforeLines="40" w:before="96" w:afterLines="40" w:after="96" w:line="24" w:lineRule="atLeast"/>
              <w:rPr>
                <w:rFonts w:ascii="Times New Roman" w:eastAsia="Times New Roman" w:hAnsi="Times New Roman" w:cs="Times New Roman"/>
                <w:b/>
                <w:bCs/>
                <w:sz w:val="21"/>
                <w:szCs w:val="21"/>
                <w:lang w:val="en-GB" w:eastAsia="en-GB"/>
              </w:rPr>
            </w:pPr>
          </w:p>
        </w:tc>
        <w:tc>
          <w:tcPr>
            <w:tcW w:w="1822" w:type="dxa"/>
            <w:tcBorders>
              <w:top w:val="single" w:sz="6" w:space="0" w:color="7F7F7F"/>
            </w:tcBorders>
            <w:shd w:val="clear" w:color="auto" w:fill="auto"/>
          </w:tcPr>
          <w:p w14:paraId="5BFED44C"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RESULTS</w:t>
            </w:r>
          </w:p>
        </w:tc>
        <w:tc>
          <w:tcPr>
            <w:tcW w:w="7041" w:type="dxa"/>
            <w:tcBorders>
              <w:top w:val="single" w:sz="6" w:space="0" w:color="7F7F7F"/>
            </w:tcBorders>
            <w:shd w:val="clear" w:color="auto" w:fill="auto"/>
          </w:tcPr>
          <w:p w14:paraId="5A235155"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tcBorders>
              <w:top w:val="single" w:sz="6" w:space="0" w:color="7F7F7F"/>
            </w:tcBorders>
          </w:tcPr>
          <w:p w14:paraId="17F40F09"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tcBorders>
              <w:top w:val="single" w:sz="6" w:space="0" w:color="7F7F7F"/>
            </w:tcBorders>
          </w:tcPr>
          <w:p w14:paraId="08F187FE"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5367E6B0" w14:textId="77777777">
        <w:tc>
          <w:tcPr>
            <w:tcW w:w="587" w:type="dxa"/>
            <w:shd w:val="clear" w:color="auto" w:fill="EEEEEE"/>
          </w:tcPr>
          <w:p w14:paraId="13845CD1"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10</w:t>
            </w:r>
          </w:p>
        </w:tc>
        <w:tc>
          <w:tcPr>
            <w:tcW w:w="1822" w:type="dxa"/>
            <w:shd w:val="clear" w:color="auto" w:fill="EEEEEE"/>
          </w:tcPr>
          <w:p w14:paraId="57E968A2"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Descriptive data</w:t>
            </w:r>
          </w:p>
        </w:tc>
        <w:tc>
          <w:tcPr>
            <w:tcW w:w="7041" w:type="dxa"/>
            <w:shd w:val="clear" w:color="auto" w:fill="EEEEEE"/>
          </w:tcPr>
          <w:p w14:paraId="305FFD39"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shd w:val="clear" w:color="auto" w:fill="EEEEEE"/>
          </w:tcPr>
          <w:p w14:paraId="6D823C89"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shd w:val="clear" w:color="auto" w:fill="EEEEEE"/>
          </w:tcPr>
          <w:p w14:paraId="385942E4"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08CCBC9A" w14:textId="77777777">
        <w:tc>
          <w:tcPr>
            <w:tcW w:w="587" w:type="dxa"/>
            <w:shd w:val="clear" w:color="auto" w:fill="auto"/>
          </w:tcPr>
          <w:p w14:paraId="5409E12D"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1A106320"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a)</w:t>
            </w:r>
          </w:p>
        </w:tc>
        <w:tc>
          <w:tcPr>
            <w:tcW w:w="7041" w:type="dxa"/>
            <w:shd w:val="clear" w:color="auto" w:fill="auto"/>
          </w:tcPr>
          <w:p w14:paraId="01B78C0F"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Report the numbers of individuals at each stage of included </w:t>
            </w:r>
            <w:r w:rsidRPr="00534815">
              <w:rPr>
                <w:rFonts w:ascii="Times New Roman" w:eastAsia="Times New Roman" w:hAnsi="Times New Roman" w:cs="Times New Roman"/>
                <w:sz w:val="21"/>
                <w:szCs w:val="21"/>
                <w:lang w:val="en-GB" w:eastAsia="en-GB"/>
              </w:rPr>
              <w:t>studies and reasons for exclusion. Consider use of a flow diagram</w:t>
            </w:r>
          </w:p>
        </w:tc>
        <w:tc>
          <w:tcPr>
            <w:tcW w:w="720" w:type="dxa"/>
          </w:tcPr>
          <w:p w14:paraId="7984CF39"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hint="eastAsia"/>
                <w:sz w:val="21"/>
                <w:szCs w:val="21"/>
                <w:lang w:val="en-US" w:eastAsia="zh-CN"/>
              </w:rPr>
              <w:t>3</w:t>
            </w:r>
          </w:p>
        </w:tc>
        <w:tc>
          <w:tcPr>
            <w:tcW w:w="4320" w:type="dxa"/>
          </w:tcPr>
          <w:p w14:paraId="770EAB40"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 xml:space="preserve">In this study, we identified 13 independent SNPs as instrumental variables for rosacea (exposure) through rigorous screening. All 13 SNPs were utilized in </w:t>
            </w:r>
            <w:proofErr w:type="spellStart"/>
            <w:r w:rsidRPr="00534815">
              <w:rPr>
                <w:rFonts w:ascii="Times New Roman" w:eastAsia="Times New Roman" w:hAnsi="Times New Roman" w:cs="Times New Roman"/>
                <w:sz w:val="21"/>
                <w:szCs w:val="21"/>
                <w:lang w:val="en-GB" w:eastAsia="zh-CN"/>
              </w:rPr>
              <w:t>analyzing</w:t>
            </w:r>
            <w:proofErr w:type="spellEnd"/>
            <w:r w:rsidRPr="00534815">
              <w:rPr>
                <w:rFonts w:ascii="Times New Roman" w:eastAsia="Times New Roman" w:hAnsi="Times New Roman" w:cs="Times New Roman"/>
                <w:sz w:val="21"/>
                <w:szCs w:val="21"/>
                <w:lang w:val="en-GB" w:eastAsia="zh-CN"/>
              </w:rPr>
              <w:t xml:space="preserve"> causal relationships wi</w:t>
            </w:r>
            <w:r w:rsidRPr="00534815">
              <w:rPr>
                <w:rFonts w:ascii="Times New Roman" w:eastAsia="Times New Roman" w:hAnsi="Times New Roman" w:cs="Times New Roman"/>
                <w:sz w:val="21"/>
                <w:szCs w:val="21"/>
                <w:lang w:val="en-GB" w:eastAsia="zh-CN"/>
              </w:rPr>
              <w:t>th Parkinson's disease, Alzheimer's disease, and anxiety, while 12 SNPs were used for depression analysis (rs146915541 was excluded due to its absence in the depression GWAS dataset). For reverse MR analysis, we identified 12, 25, 20, and 32 SNPs for Parki</w:t>
            </w:r>
            <w:r w:rsidRPr="00534815">
              <w:rPr>
                <w:rFonts w:ascii="Times New Roman" w:eastAsia="Times New Roman" w:hAnsi="Times New Roman" w:cs="Times New Roman"/>
                <w:sz w:val="21"/>
                <w:szCs w:val="21"/>
                <w:lang w:val="en-GB" w:eastAsia="zh-CN"/>
              </w:rPr>
              <w:t>nson's disease, Alzheimer's disease, anxiety disorders, and depression, respectively. The sample sizes for each dataset were: rosacea (1,195 cases, 211,139 controls), Parkinson's disease (2,162 cases, 216,630 controls), Alzheimer's disease (954 cases, 487,</w:t>
            </w:r>
            <w:r w:rsidRPr="00534815">
              <w:rPr>
                <w:rFonts w:ascii="Times New Roman" w:eastAsia="Times New Roman" w:hAnsi="Times New Roman" w:cs="Times New Roman"/>
                <w:sz w:val="21"/>
                <w:szCs w:val="21"/>
                <w:lang w:val="en-GB" w:eastAsia="zh-CN"/>
              </w:rPr>
              <w:t>331 controls), anxiety disorders (12,513 cases, 198,110 controls), and depression (27,568 cases, 457,030 controls).</w:t>
            </w:r>
          </w:p>
        </w:tc>
      </w:tr>
      <w:tr w:rsidR="00534815" w:rsidRPr="00534815" w14:paraId="4B5EE925" w14:textId="77777777">
        <w:tc>
          <w:tcPr>
            <w:tcW w:w="587" w:type="dxa"/>
            <w:shd w:val="clear" w:color="auto" w:fill="EEEEEE"/>
          </w:tcPr>
          <w:p w14:paraId="316C0749"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EEEEEE"/>
          </w:tcPr>
          <w:p w14:paraId="18603CDC"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b)</w:t>
            </w:r>
          </w:p>
        </w:tc>
        <w:tc>
          <w:tcPr>
            <w:tcW w:w="7041" w:type="dxa"/>
            <w:shd w:val="clear" w:color="auto" w:fill="EEEEEE"/>
          </w:tcPr>
          <w:p w14:paraId="3F0B8662"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Report summary statistics for phenotypic exposure(s), outcome(s), and other relevant variables (e.g. means, SDs, proportions)</w:t>
            </w:r>
          </w:p>
        </w:tc>
        <w:tc>
          <w:tcPr>
            <w:tcW w:w="720" w:type="dxa"/>
            <w:shd w:val="clear" w:color="auto" w:fill="EEEEEE"/>
          </w:tcPr>
          <w:p w14:paraId="382F3BDD"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c>
          <w:tcPr>
            <w:tcW w:w="4320" w:type="dxa"/>
            <w:shd w:val="clear" w:color="auto" w:fill="EEEEEE"/>
          </w:tcPr>
          <w:p w14:paraId="07185419"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US" w:eastAsia="en-GB"/>
              </w:rPr>
            </w:pPr>
            <w:r w:rsidRPr="00534815">
              <w:rPr>
                <w:rFonts w:ascii="Times New Roman" w:hAnsi="Times New Roman" w:cs="Times New Roman"/>
                <w:sz w:val="21"/>
                <w:szCs w:val="21"/>
                <w:lang w:val="en-US" w:eastAsia="zh-CN"/>
              </w:rPr>
              <w:t>Table</w:t>
            </w:r>
            <w:r w:rsidRPr="00534815">
              <w:rPr>
                <w:rFonts w:ascii="Times New Roman" w:hAnsi="Times New Roman" w:cs="Times New Roman" w:hint="eastAsia"/>
                <w:sz w:val="21"/>
                <w:szCs w:val="21"/>
                <w:lang w:val="en-US" w:eastAsia="zh-CN"/>
              </w:rPr>
              <w:t xml:space="preserve"> 1</w:t>
            </w:r>
          </w:p>
        </w:tc>
      </w:tr>
      <w:tr w:rsidR="00534815" w:rsidRPr="00534815" w14:paraId="2D35F090" w14:textId="77777777">
        <w:tc>
          <w:tcPr>
            <w:tcW w:w="587" w:type="dxa"/>
            <w:shd w:val="clear" w:color="auto" w:fill="auto"/>
          </w:tcPr>
          <w:p w14:paraId="132314C6"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43E0ABB9"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c)</w:t>
            </w:r>
          </w:p>
        </w:tc>
        <w:tc>
          <w:tcPr>
            <w:tcW w:w="7041" w:type="dxa"/>
            <w:shd w:val="clear" w:color="auto" w:fill="auto"/>
          </w:tcPr>
          <w:p w14:paraId="1D28B01A"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If the data sources include meta-analyses of previous studies, provide the assessments of heterogeneity across these studies</w:t>
            </w:r>
          </w:p>
        </w:tc>
        <w:tc>
          <w:tcPr>
            <w:tcW w:w="720" w:type="dxa"/>
          </w:tcPr>
          <w:p w14:paraId="3CF88B65"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c>
          <w:tcPr>
            <w:tcW w:w="4320" w:type="dxa"/>
          </w:tcPr>
          <w:p w14:paraId="26087324"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There was no meta-analysis.</w:t>
            </w:r>
          </w:p>
        </w:tc>
      </w:tr>
      <w:tr w:rsidR="00534815" w:rsidRPr="00534815" w14:paraId="2455C9BB" w14:textId="77777777">
        <w:tc>
          <w:tcPr>
            <w:tcW w:w="587" w:type="dxa"/>
            <w:shd w:val="clear" w:color="auto" w:fill="EEEEEE"/>
          </w:tcPr>
          <w:p w14:paraId="095A9EE8"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EEEEEE"/>
          </w:tcPr>
          <w:p w14:paraId="748ECE8B"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d)</w:t>
            </w:r>
          </w:p>
        </w:tc>
        <w:tc>
          <w:tcPr>
            <w:tcW w:w="7041" w:type="dxa"/>
            <w:shd w:val="clear" w:color="auto" w:fill="EEEEEE"/>
          </w:tcPr>
          <w:p w14:paraId="2596A767"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For </w:t>
            </w:r>
            <w:r w:rsidRPr="00534815">
              <w:rPr>
                <w:rFonts w:ascii="Times New Roman" w:eastAsia="Times New Roman" w:hAnsi="Times New Roman" w:cs="Times New Roman"/>
                <w:iCs/>
                <w:sz w:val="21"/>
                <w:szCs w:val="21"/>
                <w:lang w:val="en-GB" w:eastAsia="en-GB"/>
              </w:rPr>
              <w:t>two-sample</w:t>
            </w:r>
            <w:r w:rsidRPr="00534815">
              <w:rPr>
                <w:rFonts w:ascii="Times New Roman" w:eastAsia="Times New Roman" w:hAnsi="Times New Roman" w:cs="Times New Roman"/>
                <w:sz w:val="21"/>
                <w:szCs w:val="21"/>
                <w:lang w:val="en-GB" w:eastAsia="en-GB"/>
              </w:rPr>
              <w:t xml:space="preserve"> MR:</w:t>
            </w:r>
          </w:p>
          <w:p w14:paraId="1FA0EC77"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   </w:t>
            </w:r>
            <w:proofErr w:type="spellStart"/>
            <w:r w:rsidRPr="00534815">
              <w:rPr>
                <w:rFonts w:ascii="Times New Roman" w:eastAsia="Times New Roman" w:hAnsi="Times New Roman" w:cs="Times New Roman"/>
                <w:sz w:val="21"/>
                <w:szCs w:val="21"/>
                <w:lang w:val="en-GB" w:eastAsia="en-GB"/>
              </w:rPr>
              <w:t>i</w:t>
            </w:r>
            <w:proofErr w:type="spellEnd"/>
            <w:r w:rsidRPr="00534815">
              <w:rPr>
                <w:rFonts w:ascii="Times New Roman" w:eastAsia="Times New Roman" w:hAnsi="Times New Roman" w:cs="Times New Roman"/>
                <w:sz w:val="21"/>
                <w:szCs w:val="21"/>
                <w:lang w:val="en-GB" w:eastAsia="en-GB"/>
              </w:rPr>
              <w:t xml:space="preserve">.  Provide justification of the similarity of the genetic </w:t>
            </w:r>
            <w:r w:rsidRPr="00534815">
              <w:rPr>
                <w:rFonts w:ascii="Times New Roman" w:eastAsia="Times New Roman" w:hAnsi="Times New Roman" w:cs="Times New Roman"/>
                <w:sz w:val="21"/>
                <w:szCs w:val="21"/>
                <w:lang w:val="en-GB" w:eastAsia="en-GB"/>
              </w:rPr>
              <w:t>variant-exposure associations between the exposure and outcome samples</w:t>
            </w:r>
          </w:p>
          <w:p w14:paraId="7B9C6718"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   ii.  Provide information on the number of individuals who overlap between the exposure and outcome studies</w:t>
            </w:r>
          </w:p>
        </w:tc>
        <w:tc>
          <w:tcPr>
            <w:tcW w:w="720" w:type="dxa"/>
            <w:shd w:val="clear" w:color="auto" w:fill="EEEEEE"/>
          </w:tcPr>
          <w:p w14:paraId="3A2C0A11"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w:t>
            </w:r>
          </w:p>
        </w:tc>
        <w:tc>
          <w:tcPr>
            <w:tcW w:w="4320" w:type="dxa"/>
            <w:shd w:val="clear" w:color="auto" w:fill="EEEEEE"/>
          </w:tcPr>
          <w:p w14:paraId="468AFBE0"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proofErr w:type="spellStart"/>
            <w:r w:rsidRPr="00534815">
              <w:rPr>
                <w:rFonts w:ascii="Times New Roman" w:eastAsia="SimSun" w:hAnsi="Times New Roman" w:cs="Times New Roman"/>
                <w:sz w:val="21"/>
                <w:szCs w:val="21"/>
                <w:lang w:val="en-US" w:eastAsia="zh-CN"/>
              </w:rPr>
              <w:t>i</w:t>
            </w:r>
            <w:proofErr w:type="spellEnd"/>
            <w:r w:rsidRPr="00534815">
              <w:rPr>
                <w:rFonts w:ascii="Times New Roman" w:eastAsia="SimSun" w:hAnsi="Times New Roman" w:cs="Times New Roman"/>
                <w:sz w:val="21"/>
                <w:szCs w:val="21"/>
                <w:lang w:val="en-US" w:eastAsia="zh-CN"/>
              </w:rPr>
              <w:t>. All genetic instruments were derived from European ancestry-based GWAS</w:t>
            </w:r>
            <w:r w:rsidRPr="00534815">
              <w:rPr>
                <w:rFonts w:ascii="Times New Roman" w:eastAsia="SimSun" w:hAnsi="Times New Roman" w:cs="Times New Roman"/>
                <w:sz w:val="21"/>
                <w:szCs w:val="21"/>
                <w:lang w:val="en-US" w:eastAsia="zh-CN"/>
              </w:rPr>
              <w:t>, ensuring consistent genetic variant-exposure associations across datasets.  We identified 13 independent SNPs as valid instruments for rosacea, with consistent effect sizes across populations.</w:t>
            </w:r>
          </w:p>
          <w:p w14:paraId="5CEDA813"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ii.  The analysis utilized 13 SNPs for Parkinson's disease, A</w:t>
            </w:r>
            <w:r w:rsidRPr="00534815">
              <w:rPr>
                <w:rFonts w:ascii="Times New Roman" w:eastAsia="SimSun" w:hAnsi="Times New Roman" w:cs="Times New Roman"/>
                <w:sz w:val="21"/>
                <w:szCs w:val="21"/>
                <w:lang w:val="en-US" w:eastAsia="zh-CN"/>
              </w:rPr>
              <w:t>lzheimer's disease, and anxiety outcomes, while 12 SNPs were used for depression (rs146915541 was unavailable in depression GWAS).  Based on the source populations and study designs, there was minimal sample overlap between exposure and outcome datasets.</w:t>
            </w:r>
          </w:p>
        </w:tc>
      </w:tr>
      <w:tr w:rsidR="00534815" w:rsidRPr="00534815" w14:paraId="74DBA3A2" w14:textId="77777777">
        <w:tc>
          <w:tcPr>
            <w:tcW w:w="587" w:type="dxa"/>
            <w:shd w:val="clear" w:color="auto" w:fill="auto"/>
          </w:tcPr>
          <w:p w14:paraId="0A28C2D5"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11</w:t>
            </w:r>
          </w:p>
        </w:tc>
        <w:tc>
          <w:tcPr>
            <w:tcW w:w="1822" w:type="dxa"/>
            <w:shd w:val="clear" w:color="auto" w:fill="auto"/>
          </w:tcPr>
          <w:p w14:paraId="58C72C2F"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Main results</w:t>
            </w:r>
          </w:p>
        </w:tc>
        <w:tc>
          <w:tcPr>
            <w:tcW w:w="7041" w:type="dxa"/>
            <w:shd w:val="clear" w:color="auto" w:fill="auto"/>
          </w:tcPr>
          <w:p w14:paraId="6BF6F9DD"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tcPr>
          <w:p w14:paraId="7CDC779C"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tcPr>
          <w:p w14:paraId="30E5A444"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67122D0F" w14:textId="77777777">
        <w:tc>
          <w:tcPr>
            <w:tcW w:w="587" w:type="dxa"/>
            <w:shd w:val="clear" w:color="auto" w:fill="EEEEEE"/>
          </w:tcPr>
          <w:p w14:paraId="29218360"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EEEEEE"/>
          </w:tcPr>
          <w:p w14:paraId="05B9C7BB"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a)</w:t>
            </w:r>
          </w:p>
        </w:tc>
        <w:tc>
          <w:tcPr>
            <w:tcW w:w="7041" w:type="dxa"/>
            <w:shd w:val="clear" w:color="auto" w:fill="EEEEEE"/>
          </w:tcPr>
          <w:p w14:paraId="432FF9D8"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Report the associations between genetic variant and exposure, and between genetic variant and outcome, preferably on an interpretable scale</w:t>
            </w:r>
          </w:p>
        </w:tc>
        <w:tc>
          <w:tcPr>
            <w:tcW w:w="720" w:type="dxa"/>
            <w:shd w:val="clear" w:color="auto" w:fill="EEEEEE"/>
          </w:tcPr>
          <w:p w14:paraId="2290B40E"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4-5</w:t>
            </w:r>
          </w:p>
        </w:tc>
        <w:tc>
          <w:tcPr>
            <w:tcW w:w="4320" w:type="dxa"/>
            <w:shd w:val="clear" w:color="auto" w:fill="EEEEEE"/>
          </w:tcPr>
          <w:p w14:paraId="245835BC" w14:textId="3D294B2A" w:rsidR="00E64266" w:rsidRPr="00534815" w:rsidRDefault="00534815">
            <w:pPr>
              <w:widowControl w:val="0"/>
              <w:spacing w:line="360" w:lineRule="auto"/>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 xml:space="preserve">Supplementary Table </w:t>
            </w:r>
            <w:r w:rsidR="007A0455" w:rsidRPr="00534815">
              <w:rPr>
                <w:rFonts w:ascii="Times New Roman" w:eastAsia="SimSun" w:hAnsi="Times New Roman" w:cs="Times New Roman" w:hint="eastAsia"/>
                <w:sz w:val="21"/>
                <w:szCs w:val="21"/>
                <w:lang w:val="en-US" w:eastAsia="zh-CN"/>
              </w:rPr>
              <w:t>2</w:t>
            </w:r>
            <w:r w:rsidRPr="00534815">
              <w:rPr>
                <w:rFonts w:ascii="Times New Roman" w:eastAsia="SimSun" w:hAnsi="Times New Roman" w:cs="Times New Roman"/>
                <w:sz w:val="21"/>
                <w:szCs w:val="21"/>
                <w:lang w:val="en-US" w:eastAsia="zh-CN"/>
              </w:rPr>
              <w:t>-</w:t>
            </w:r>
            <w:r w:rsidR="007A0455" w:rsidRPr="00534815">
              <w:rPr>
                <w:rFonts w:ascii="Times New Roman" w:eastAsia="SimSun" w:hAnsi="Times New Roman" w:cs="Times New Roman" w:hint="eastAsia"/>
                <w:sz w:val="21"/>
                <w:szCs w:val="21"/>
                <w:lang w:val="en-US" w:eastAsia="zh-CN"/>
              </w:rPr>
              <w:t>5</w:t>
            </w:r>
          </w:p>
        </w:tc>
      </w:tr>
      <w:tr w:rsidR="00534815" w:rsidRPr="00534815" w14:paraId="1F6514C9" w14:textId="77777777">
        <w:tc>
          <w:tcPr>
            <w:tcW w:w="587" w:type="dxa"/>
            <w:shd w:val="clear" w:color="auto" w:fill="auto"/>
          </w:tcPr>
          <w:p w14:paraId="3F578864"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1C184C68"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b)</w:t>
            </w:r>
          </w:p>
        </w:tc>
        <w:tc>
          <w:tcPr>
            <w:tcW w:w="7041" w:type="dxa"/>
            <w:shd w:val="clear" w:color="auto" w:fill="auto"/>
          </w:tcPr>
          <w:p w14:paraId="6B37F0B8"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Report MR estimates of the relationship between exposure </w:t>
            </w:r>
            <w:r w:rsidRPr="00534815">
              <w:rPr>
                <w:rFonts w:ascii="Times New Roman" w:eastAsia="Times New Roman" w:hAnsi="Times New Roman" w:cs="Times New Roman"/>
                <w:sz w:val="21"/>
                <w:szCs w:val="21"/>
                <w:lang w:val="en-GB" w:eastAsia="en-GB"/>
              </w:rPr>
              <w:t>and outcome, and the measures of uncertainty from the MR analysis, on an interpretable scale, such as odds ratio or relative risk per SD difference</w:t>
            </w:r>
          </w:p>
        </w:tc>
        <w:tc>
          <w:tcPr>
            <w:tcW w:w="720" w:type="dxa"/>
          </w:tcPr>
          <w:p w14:paraId="5C1AB2DC" w14:textId="77777777" w:rsidR="00E64266" w:rsidRPr="00534815" w:rsidRDefault="00E64266">
            <w:pPr>
              <w:spacing w:beforeLines="40" w:before="96" w:afterLines="40" w:after="96" w:line="24" w:lineRule="atLeast"/>
              <w:rPr>
                <w:rFonts w:ascii="Times New Roman" w:eastAsia="SimSun" w:hAnsi="Times New Roman" w:cs="Times New Roman"/>
                <w:sz w:val="21"/>
                <w:szCs w:val="21"/>
                <w:lang w:val="en-US" w:eastAsia="zh-CN"/>
              </w:rPr>
            </w:pPr>
          </w:p>
        </w:tc>
        <w:tc>
          <w:tcPr>
            <w:tcW w:w="4320" w:type="dxa"/>
          </w:tcPr>
          <w:p w14:paraId="074C910B"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r>
      <w:tr w:rsidR="00534815" w:rsidRPr="00534815" w14:paraId="6F4B5790" w14:textId="77777777">
        <w:tc>
          <w:tcPr>
            <w:tcW w:w="587" w:type="dxa"/>
            <w:shd w:val="clear" w:color="auto" w:fill="EEEEEE"/>
          </w:tcPr>
          <w:p w14:paraId="03DB28EE"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EEEEEE"/>
          </w:tcPr>
          <w:p w14:paraId="09BDF7FF"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c)</w:t>
            </w:r>
          </w:p>
        </w:tc>
        <w:tc>
          <w:tcPr>
            <w:tcW w:w="7041" w:type="dxa"/>
            <w:shd w:val="clear" w:color="auto" w:fill="EEEEEE"/>
          </w:tcPr>
          <w:p w14:paraId="57DFBAB1"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If relevant, consider translating estimates of relative risk into absolute risk for a meaningful time</w:t>
            </w:r>
            <w:r w:rsidRPr="00534815">
              <w:rPr>
                <w:rFonts w:ascii="Times New Roman" w:eastAsia="Times New Roman" w:hAnsi="Times New Roman" w:cs="Times New Roman"/>
                <w:sz w:val="21"/>
                <w:szCs w:val="21"/>
                <w:lang w:val="en-GB" w:eastAsia="en-GB"/>
              </w:rPr>
              <w:t xml:space="preserve"> period</w:t>
            </w:r>
          </w:p>
        </w:tc>
        <w:tc>
          <w:tcPr>
            <w:tcW w:w="720" w:type="dxa"/>
            <w:shd w:val="clear" w:color="auto" w:fill="EEEEEE"/>
          </w:tcPr>
          <w:p w14:paraId="3D09F5F6"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SimSun" w:hAnsi="Times New Roman" w:cs="Times New Roman"/>
                <w:sz w:val="21"/>
                <w:szCs w:val="21"/>
                <w:lang w:val="en-US" w:eastAsia="zh-CN"/>
              </w:rPr>
              <w:t>4-5</w:t>
            </w:r>
          </w:p>
        </w:tc>
        <w:tc>
          <w:tcPr>
            <w:tcW w:w="4320" w:type="dxa"/>
            <w:shd w:val="clear" w:color="auto" w:fill="EEEEEE"/>
          </w:tcPr>
          <w:p w14:paraId="422DBA28" w14:textId="6CBDB680"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 xml:space="preserve">Supplementary Table </w:t>
            </w:r>
            <w:r w:rsidR="007A0455" w:rsidRPr="00534815">
              <w:rPr>
                <w:rFonts w:ascii="Times New Roman" w:eastAsia="SimSun" w:hAnsi="Times New Roman" w:cs="Times New Roman" w:hint="eastAsia"/>
                <w:sz w:val="21"/>
                <w:szCs w:val="21"/>
                <w:lang w:val="en-US" w:eastAsia="zh-CN"/>
              </w:rPr>
              <w:t>2</w:t>
            </w:r>
            <w:r w:rsidRPr="00534815">
              <w:rPr>
                <w:rFonts w:ascii="Times New Roman" w:eastAsia="SimSun" w:hAnsi="Times New Roman" w:cs="Times New Roman"/>
                <w:sz w:val="21"/>
                <w:szCs w:val="21"/>
                <w:lang w:val="en-US" w:eastAsia="zh-CN"/>
              </w:rPr>
              <w:t>-</w:t>
            </w:r>
            <w:r w:rsidR="007A0455" w:rsidRPr="00534815">
              <w:rPr>
                <w:rFonts w:ascii="Times New Roman" w:eastAsia="SimSun" w:hAnsi="Times New Roman" w:cs="Times New Roman" w:hint="eastAsia"/>
                <w:sz w:val="21"/>
                <w:szCs w:val="21"/>
                <w:lang w:val="en-US" w:eastAsia="zh-CN"/>
              </w:rPr>
              <w:t>5</w:t>
            </w:r>
          </w:p>
        </w:tc>
      </w:tr>
      <w:tr w:rsidR="00534815" w:rsidRPr="00534815" w14:paraId="7DCDDFE7" w14:textId="77777777">
        <w:tc>
          <w:tcPr>
            <w:tcW w:w="587" w:type="dxa"/>
            <w:shd w:val="clear" w:color="auto" w:fill="auto"/>
          </w:tcPr>
          <w:p w14:paraId="386B10A5"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7E6A61FB"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d)</w:t>
            </w:r>
          </w:p>
        </w:tc>
        <w:tc>
          <w:tcPr>
            <w:tcW w:w="7041" w:type="dxa"/>
            <w:shd w:val="clear" w:color="auto" w:fill="auto"/>
          </w:tcPr>
          <w:p w14:paraId="523DC46E"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Consider plots to visualize results (e.g. forest plot, scatterplot of associations between genetic variants and outcome versus between genetic variants and exposure)</w:t>
            </w:r>
          </w:p>
        </w:tc>
        <w:tc>
          <w:tcPr>
            <w:tcW w:w="720" w:type="dxa"/>
          </w:tcPr>
          <w:p w14:paraId="26A59FAE" w14:textId="77777777" w:rsidR="00E64266" w:rsidRPr="00534815" w:rsidRDefault="00E64266">
            <w:pPr>
              <w:spacing w:beforeLines="40" w:before="96" w:afterLines="40" w:after="96" w:line="24" w:lineRule="atLeast"/>
              <w:rPr>
                <w:rFonts w:ascii="Times New Roman" w:eastAsia="SimSun" w:hAnsi="Times New Roman" w:cs="Times New Roman"/>
                <w:sz w:val="21"/>
                <w:szCs w:val="21"/>
                <w:lang w:val="en-US" w:eastAsia="zh-CN"/>
              </w:rPr>
            </w:pPr>
          </w:p>
        </w:tc>
        <w:tc>
          <w:tcPr>
            <w:tcW w:w="4320" w:type="dxa"/>
          </w:tcPr>
          <w:p w14:paraId="3AEBA962"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Fig.2 </w:t>
            </w:r>
          </w:p>
        </w:tc>
      </w:tr>
      <w:tr w:rsidR="00534815" w:rsidRPr="00534815" w14:paraId="6DA68EC7" w14:textId="77777777">
        <w:tc>
          <w:tcPr>
            <w:tcW w:w="587" w:type="dxa"/>
            <w:shd w:val="clear" w:color="auto" w:fill="EEEEEE"/>
          </w:tcPr>
          <w:p w14:paraId="5E138FCF"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12</w:t>
            </w:r>
          </w:p>
        </w:tc>
        <w:tc>
          <w:tcPr>
            <w:tcW w:w="1822" w:type="dxa"/>
            <w:shd w:val="clear" w:color="auto" w:fill="EEEEEE"/>
          </w:tcPr>
          <w:p w14:paraId="2F80F1CF"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Assessment of assumptions</w:t>
            </w:r>
          </w:p>
        </w:tc>
        <w:tc>
          <w:tcPr>
            <w:tcW w:w="7041" w:type="dxa"/>
            <w:shd w:val="clear" w:color="auto" w:fill="EEEEEE"/>
          </w:tcPr>
          <w:p w14:paraId="00C9647A"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shd w:val="clear" w:color="auto" w:fill="EEEEEE"/>
          </w:tcPr>
          <w:p w14:paraId="49203A5E"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shd w:val="clear" w:color="auto" w:fill="EEEEEE"/>
          </w:tcPr>
          <w:p w14:paraId="746BFBC4"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7EDC088A" w14:textId="77777777">
        <w:tc>
          <w:tcPr>
            <w:tcW w:w="587" w:type="dxa"/>
            <w:shd w:val="clear" w:color="auto" w:fill="auto"/>
          </w:tcPr>
          <w:p w14:paraId="29C05CCF"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53B5360F"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a)</w:t>
            </w:r>
          </w:p>
        </w:tc>
        <w:tc>
          <w:tcPr>
            <w:tcW w:w="7041" w:type="dxa"/>
            <w:shd w:val="clear" w:color="auto" w:fill="auto"/>
          </w:tcPr>
          <w:p w14:paraId="69E7B483"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Report the assessment of the validity of the assumptions</w:t>
            </w:r>
          </w:p>
        </w:tc>
        <w:tc>
          <w:tcPr>
            <w:tcW w:w="720" w:type="dxa"/>
          </w:tcPr>
          <w:p w14:paraId="79050856"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4-5</w:t>
            </w:r>
          </w:p>
        </w:tc>
        <w:tc>
          <w:tcPr>
            <w:tcW w:w="4320" w:type="dxa"/>
          </w:tcPr>
          <w:p w14:paraId="511DCA05"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 xml:space="preserve">All MR assumptions were evaluated: instrument strength was confirmed (F-statistics &gt; 10), no </w:t>
            </w:r>
            <w:r w:rsidRPr="00534815">
              <w:rPr>
                <w:rFonts w:ascii="Times New Roman" w:eastAsia="Times New Roman" w:hAnsi="Times New Roman" w:cs="Times New Roman"/>
                <w:sz w:val="21"/>
                <w:szCs w:val="21"/>
                <w:lang w:val="en-GB" w:eastAsia="zh-CN"/>
              </w:rPr>
              <w:lastRenderedPageBreak/>
              <w:t xml:space="preserve">significant horizontal pleiotropy was detected (MR-Egger intercept P &gt; 0.05), and independence was </w:t>
            </w:r>
            <w:r w:rsidRPr="00534815">
              <w:rPr>
                <w:rFonts w:ascii="Times New Roman" w:eastAsia="Times New Roman" w:hAnsi="Times New Roman" w:cs="Times New Roman"/>
                <w:sz w:val="21"/>
                <w:szCs w:val="21"/>
                <w:lang w:val="en-GB" w:eastAsia="zh-CN"/>
              </w:rPr>
              <w:t>ensured through LD checking (R² &lt; 0.001).</w:t>
            </w:r>
          </w:p>
        </w:tc>
      </w:tr>
      <w:tr w:rsidR="00534815" w:rsidRPr="00534815" w14:paraId="05CEB8BE" w14:textId="77777777">
        <w:tc>
          <w:tcPr>
            <w:tcW w:w="587" w:type="dxa"/>
            <w:shd w:val="clear" w:color="auto" w:fill="EEEEEE"/>
          </w:tcPr>
          <w:p w14:paraId="5A409775"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EEEEEE"/>
          </w:tcPr>
          <w:p w14:paraId="7AFF511F"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b)</w:t>
            </w:r>
          </w:p>
        </w:tc>
        <w:tc>
          <w:tcPr>
            <w:tcW w:w="7041" w:type="dxa"/>
            <w:shd w:val="clear" w:color="auto" w:fill="EEEEEE"/>
          </w:tcPr>
          <w:p w14:paraId="2FD80880"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Report any additional statistics (e.g., assessments of heterogeneity </w:t>
            </w:r>
            <w:r w:rsidRPr="00534815">
              <w:rPr>
                <w:rFonts w:ascii="Times New Roman" w:eastAsia="Times New Roman" w:hAnsi="Times New Roman" w:cs="Times New Roman"/>
                <w:sz w:val="21"/>
                <w:szCs w:val="21"/>
                <w:lang w:eastAsia="en-GB"/>
              </w:rPr>
              <w:t>across genetic variants</w:t>
            </w:r>
            <w:r w:rsidRPr="00534815">
              <w:rPr>
                <w:rFonts w:ascii="Times New Roman" w:eastAsia="Times New Roman" w:hAnsi="Times New Roman" w:cs="Times New Roman"/>
                <w:sz w:val="21"/>
                <w:szCs w:val="21"/>
                <w:lang w:val="en-GB" w:eastAsia="en-GB"/>
              </w:rPr>
              <w:t xml:space="preserve">, such as </w:t>
            </w:r>
            <w:r w:rsidRPr="00534815">
              <w:rPr>
                <w:rFonts w:ascii="Times New Roman" w:eastAsia="Times New Roman" w:hAnsi="Times New Roman" w:cs="Times New Roman"/>
                <w:i/>
                <w:sz w:val="21"/>
                <w:szCs w:val="21"/>
                <w:lang w:val="en-GB" w:eastAsia="en-GB"/>
              </w:rPr>
              <w:t>I</w:t>
            </w:r>
            <w:r w:rsidRPr="00534815">
              <w:rPr>
                <w:rFonts w:ascii="Times New Roman" w:eastAsia="Times New Roman" w:hAnsi="Times New Roman" w:cs="Times New Roman"/>
                <w:i/>
                <w:sz w:val="21"/>
                <w:szCs w:val="21"/>
                <w:vertAlign w:val="superscript"/>
                <w:lang w:val="en-GB" w:eastAsia="en-GB"/>
              </w:rPr>
              <w:t>2</w:t>
            </w:r>
            <w:r w:rsidRPr="00534815">
              <w:rPr>
                <w:rFonts w:ascii="Times New Roman" w:eastAsia="Times New Roman" w:hAnsi="Times New Roman" w:cs="Times New Roman"/>
                <w:sz w:val="21"/>
                <w:szCs w:val="21"/>
                <w:lang w:val="en-GB" w:eastAsia="en-GB"/>
              </w:rPr>
              <w:t>, Q statistic or E-value)</w:t>
            </w:r>
          </w:p>
        </w:tc>
        <w:tc>
          <w:tcPr>
            <w:tcW w:w="720" w:type="dxa"/>
            <w:shd w:val="clear" w:color="auto" w:fill="EEEEEE"/>
          </w:tcPr>
          <w:p w14:paraId="0DCAE242"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8</w:t>
            </w:r>
          </w:p>
        </w:tc>
        <w:tc>
          <w:tcPr>
            <w:tcW w:w="4320" w:type="dxa"/>
            <w:shd w:val="clear" w:color="auto" w:fill="EEEEEE"/>
          </w:tcPr>
          <w:p w14:paraId="3B56A397"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US" w:eastAsia="en-GB"/>
              </w:rPr>
            </w:pPr>
            <w:r w:rsidRPr="00534815">
              <w:rPr>
                <w:rFonts w:ascii="Times New Roman" w:eastAsia="SimSun" w:hAnsi="Times New Roman" w:cs="Times New Roman"/>
                <w:sz w:val="21"/>
                <w:szCs w:val="21"/>
                <w:lang w:val="en-US" w:eastAsia="zh-CN"/>
              </w:rPr>
              <w:t>Supplementary Table 6-7</w:t>
            </w:r>
          </w:p>
        </w:tc>
      </w:tr>
      <w:tr w:rsidR="00534815" w:rsidRPr="00534815" w14:paraId="087E7106" w14:textId="77777777">
        <w:tc>
          <w:tcPr>
            <w:tcW w:w="587" w:type="dxa"/>
            <w:shd w:val="clear" w:color="auto" w:fill="auto"/>
          </w:tcPr>
          <w:p w14:paraId="6691FF2D"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13</w:t>
            </w:r>
          </w:p>
        </w:tc>
        <w:tc>
          <w:tcPr>
            <w:tcW w:w="1822" w:type="dxa"/>
            <w:shd w:val="clear" w:color="auto" w:fill="auto"/>
          </w:tcPr>
          <w:p w14:paraId="09F75D5C"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Sensitivity analyses and additional analyses</w:t>
            </w:r>
          </w:p>
        </w:tc>
        <w:tc>
          <w:tcPr>
            <w:tcW w:w="7041" w:type="dxa"/>
            <w:shd w:val="clear" w:color="auto" w:fill="auto"/>
          </w:tcPr>
          <w:p w14:paraId="71C53722"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tcPr>
          <w:p w14:paraId="35E113B4"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tcPr>
          <w:p w14:paraId="16BDC014"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39DDB965" w14:textId="77777777">
        <w:tc>
          <w:tcPr>
            <w:tcW w:w="587" w:type="dxa"/>
            <w:shd w:val="clear" w:color="auto" w:fill="EEEEEE"/>
          </w:tcPr>
          <w:p w14:paraId="75C297AB"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EEEEEE"/>
          </w:tcPr>
          <w:p w14:paraId="45416691"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a)</w:t>
            </w:r>
          </w:p>
        </w:tc>
        <w:tc>
          <w:tcPr>
            <w:tcW w:w="7041" w:type="dxa"/>
            <w:shd w:val="clear" w:color="auto" w:fill="EEEEEE"/>
          </w:tcPr>
          <w:p w14:paraId="7908B4CB"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Report any sensitivity analyses to assess the robustness of the main results to violations of the assumptions</w:t>
            </w:r>
          </w:p>
        </w:tc>
        <w:tc>
          <w:tcPr>
            <w:tcW w:w="720" w:type="dxa"/>
            <w:shd w:val="clear" w:color="auto" w:fill="EEEEEE"/>
          </w:tcPr>
          <w:p w14:paraId="5E0CD411"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c>
          <w:tcPr>
            <w:tcW w:w="4320" w:type="dxa"/>
            <w:shd w:val="clear" w:color="auto" w:fill="EEEEEE"/>
          </w:tcPr>
          <w:p w14:paraId="2D3087FD" w14:textId="532AD6D0" w:rsidR="00E64266" w:rsidRPr="00534815" w:rsidRDefault="00534815">
            <w:pPr>
              <w:spacing w:beforeLines="40" w:before="96" w:afterLines="40" w:after="96" w:line="24" w:lineRule="atLeast"/>
              <w:rPr>
                <w:rFonts w:ascii="Times New Roman" w:eastAsia="Times New Roman" w:hAnsi="Times New Roman" w:cs="Times New Roman"/>
                <w:sz w:val="21"/>
                <w:szCs w:val="21"/>
                <w:lang w:val="en-US" w:eastAsia="en-GB"/>
              </w:rPr>
            </w:pPr>
            <w:r w:rsidRPr="00534815">
              <w:rPr>
                <w:rFonts w:ascii="Times New Roman" w:eastAsia="SimSun" w:hAnsi="Times New Roman" w:cs="Times New Roman"/>
                <w:sz w:val="21"/>
                <w:szCs w:val="21"/>
                <w:lang w:val="en-US" w:eastAsia="zh-CN"/>
              </w:rPr>
              <w:t xml:space="preserve">Supplementary Table </w:t>
            </w:r>
            <w:r w:rsidR="007A0455" w:rsidRPr="00534815">
              <w:rPr>
                <w:rFonts w:ascii="Times New Roman" w:eastAsia="SimSun" w:hAnsi="Times New Roman" w:cs="Times New Roman" w:hint="eastAsia"/>
                <w:sz w:val="21"/>
                <w:szCs w:val="21"/>
                <w:lang w:val="en-US" w:eastAsia="zh-CN"/>
              </w:rPr>
              <w:t>2</w:t>
            </w:r>
            <w:r w:rsidRPr="00534815">
              <w:rPr>
                <w:rFonts w:ascii="Times New Roman" w:eastAsia="SimSun" w:hAnsi="Times New Roman" w:cs="Times New Roman"/>
                <w:sz w:val="21"/>
                <w:szCs w:val="21"/>
                <w:lang w:val="en-US" w:eastAsia="zh-CN"/>
              </w:rPr>
              <w:t>-</w:t>
            </w:r>
            <w:r w:rsidR="007A0455" w:rsidRPr="00534815">
              <w:rPr>
                <w:rFonts w:ascii="Times New Roman" w:eastAsia="SimSun" w:hAnsi="Times New Roman" w:cs="Times New Roman" w:hint="eastAsia"/>
                <w:sz w:val="21"/>
                <w:szCs w:val="21"/>
                <w:lang w:val="en-US" w:eastAsia="zh-CN"/>
              </w:rPr>
              <w:t>5</w:t>
            </w:r>
          </w:p>
        </w:tc>
      </w:tr>
      <w:tr w:rsidR="00534815" w:rsidRPr="00534815" w14:paraId="6E240CCA" w14:textId="77777777">
        <w:tc>
          <w:tcPr>
            <w:tcW w:w="587" w:type="dxa"/>
            <w:shd w:val="clear" w:color="auto" w:fill="auto"/>
          </w:tcPr>
          <w:p w14:paraId="0A1E3249"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437BBEC9"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b)</w:t>
            </w:r>
          </w:p>
        </w:tc>
        <w:tc>
          <w:tcPr>
            <w:tcW w:w="7041" w:type="dxa"/>
            <w:shd w:val="clear" w:color="auto" w:fill="auto"/>
          </w:tcPr>
          <w:p w14:paraId="7D52FB8F"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Report results from other sensitivity analyses or additional analyses</w:t>
            </w:r>
          </w:p>
        </w:tc>
        <w:tc>
          <w:tcPr>
            <w:tcW w:w="720" w:type="dxa"/>
          </w:tcPr>
          <w:p w14:paraId="73899548"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c>
          <w:tcPr>
            <w:tcW w:w="4320" w:type="dxa"/>
          </w:tcPr>
          <w:p w14:paraId="0030E093"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hAnsi="Times New Roman" w:cs="Times New Roman"/>
                <w:sz w:val="21"/>
                <w:szCs w:val="21"/>
                <w:lang w:val="en-US" w:eastAsia="zh-CN"/>
              </w:rPr>
              <w:t>Fig.3</w:t>
            </w:r>
          </w:p>
        </w:tc>
      </w:tr>
      <w:tr w:rsidR="00534815" w:rsidRPr="00534815" w14:paraId="0D0F7BFF" w14:textId="77777777">
        <w:tc>
          <w:tcPr>
            <w:tcW w:w="587" w:type="dxa"/>
            <w:shd w:val="clear" w:color="auto" w:fill="EEEEEE"/>
          </w:tcPr>
          <w:p w14:paraId="780B93B9"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EEEEEE"/>
          </w:tcPr>
          <w:p w14:paraId="6F2F0F79"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c)</w:t>
            </w:r>
          </w:p>
        </w:tc>
        <w:tc>
          <w:tcPr>
            <w:tcW w:w="7041" w:type="dxa"/>
            <w:shd w:val="clear" w:color="auto" w:fill="EEEEEE"/>
          </w:tcPr>
          <w:p w14:paraId="7B718B1E"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Report any assessment of </w:t>
            </w:r>
            <w:r w:rsidRPr="00534815">
              <w:rPr>
                <w:rFonts w:ascii="Times New Roman" w:eastAsia="Times New Roman" w:hAnsi="Times New Roman" w:cs="Times New Roman"/>
                <w:sz w:val="21"/>
                <w:szCs w:val="21"/>
                <w:lang w:val="en-GB" w:eastAsia="en-GB"/>
              </w:rPr>
              <w:t>direction of causal relationship (e.g., bidirectional MR)</w:t>
            </w:r>
          </w:p>
        </w:tc>
        <w:tc>
          <w:tcPr>
            <w:tcW w:w="720" w:type="dxa"/>
            <w:shd w:val="clear" w:color="auto" w:fill="EEEEEE"/>
          </w:tcPr>
          <w:p w14:paraId="4DF2E8F8"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c>
          <w:tcPr>
            <w:tcW w:w="4320" w:type="dxa"/>
            <w:shd w:val="clear" w:color="auto" w:fill="EEEEEE"/>
          </w:tcPr>
          <w:p w14:paraId="7AE061A9" w14:textId="62F4CBE9" w:rsidR="00E64266" w:rsidRPr="00534815" w:rsidRDefault="00534815">
            <w:pPr>
              <w:spacing w:beforeLines="40" w:before="96" w:afterLines="40" w:after="96" w:line="24" w:lineRule="atLeast"/>
              <w:rPr>
                <w:rFonts w:ascii="Times New Roman" w:eastAsia="Times New Roman" w:hAnsi="Times New Roman" w:cs="Times New Roman"/>
                <w:sz w:val="21"/>
                <w:szCs w:val="21"/>
                <w:lang w:val="en-US" w:eastAsia="en-GB"/>
              </w:rPr>
            </w:pPr>
            <w:r w:rsidRPr="00534815">
              <w:rPr>
                <w:rFonts w:ascii="Times New Roman" w:eastAsia="SimSun" w:hAnsi="Times New Roman" w:cs="Times New Roman"/>
                <w:sz w:val="21"/>
                <w:szCs w:val="21"/>
                <w:lang w:val="en-US" w:eastAsia="zh-CN"/>
              </w:rPr>
              <w:t xml:space="preserve">Supplementary Table </w:t>
            </w:r>
            <w:r w:rsidR="007A0455" w:rsidRPr="00534815">
              <w:rPr>
                <w:rFonts w:ascii="Times New Roman" w:eastAsia="SimSun" w:hAnsi="Times New Roman" w:cs="Times New Roman" w:hint="eastAsia"/>
                <w:sz w:val="21"/>
                <w:szCs w:val="21"/>
                <w:lang w:val="en-US" w:eastAsia="zh-CN"/>
              </w:rPr>
              <w:t>4</w:t>
            </w:r>
            <w:r w:rsidRPr="00534815">
              <w:rPr>
                <w:rFonts w:ascii="Times New Roman" w:eastAsia="SimSun" w:hAnsi="Times New Roman" w:cs="Times New Roman"/>
                <w:sz w:val="21"/>
                <w:szCs w:val="21"/>
                <w:lang w:val="en-US" w:eastAsia="zh-CN"/>
              </w:rPr>
              <w:t>-</w:t>
            </w:r>
            <w:r w:rsidR="007A0455" w:rsidRPr="00534815">
              <w:rPr>
                <w:rFonts w:ascii="Times New Roman" w:eastAsia="SimSun" w:hAnsi="Times New Roman" w:cs="Times New Roman" w:hint="eastAsia"/>
                <w:sz w:val="21"/>
                <w:szCs w:val="21"/>
                <w:lang w:val="en-US" w:eastAsia="zh-CN"/>
              </w:rPr>
              <w:t>5</w:t>
            </w:r>
          </w:p>
        </w:tc>
      </w:tr>
      <w:tr w:rsidR="00534815" w:rsidRPr="00534815" w14:paraId="5A4D769A" w14:textId="77777777">
        <w:tc>
          <w:tcPr>
            <w:tcW w:w="587" w:type="dxa"/>
            <w:shd w:val="clear" w:color="auto" w:fill="auto"/>
          </w:tcPr>
          <w:p w14:paraId="261492D2"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7E514A11"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d)</w:t>
            </w:r>
          </w:p>
        </w:tc>
        <w:tc>
          <w:tcPr>
            <w:tcW w:w="7041" w:type="dxa"/>
            <w:shd w:val="clear" w:color="auto" w:fill="auto"/>
          </w:tcPr>
          <w:p w14:paraId="0F936ED5"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When relevant, report and compare with estimates from non-MR analyses</w:t>
            </w:r>
          </w:p>
        </w:tc>
        <w:tc>
          <w:tcPr>
            <w:tcW w:w="720" w:type="dxa"/>
          </w:tcPr>
          <w:p w14:paraId="260F9036"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c>
          <w:tcPr>
            <w:tcW w:w="4320" w:type="dxa"/>
          </w:tcPr>
          <w:p w14:paraId="3E1C2F40"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hint="eastAsia"/>
                <w:sz w:val="21"/>
                <w:szCs w:val="21"/>
                <w:lang w:val="en-US" w:eastAsia="zh-CN"/>
              </w:rPr>
              <w:t>U</w:t>
            </w:r>
            <w:r w:rsidRPr="00534815">
              <w:rPr>
                <w:rFonts w:ascii="Times New Roman" w:eastAsia="SimSun" w:hAnsi="Times New Roman" w:cs="Times New Roman"/>
                <w:sz w:val="21"/>
                <w:szCs w:val="21"/>
                <w:lang w:val="en-US" w:eastAsia="zh-CN"/>
              </w:rPr>
              <w:t>ncorrelated</w:t>
            </w:r>
          </w:p>
        </w:tc>
      </w:tr>
      <w:tr w:rsidR="00534815" w:rsidRPr="00534815" w14:paraId="621382B0" w14:textId="77777777">
        <w:tc>
          <w:tcPr>
            <w:tcW w:w="587" w:type="dxa"/>
            <w:tcBorders>
              <w:bottom w:val="single" w:sz="6" w:space="0" w:color="7F7F7F"/>
            </w:tcBorders>
            <w:shd w:val="clear" w:color="auto" w:fill="EEEEEE"/>
          </w:tcPr>
          <w:p w14:paraId="68CBCF4E"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tcBorders>
              <w:bottom w:val="single" w:sz="6" w:space="0" w:color="7F7F7F"/>
            </w:tcBorders>
            <w:shd w:val="clear" w:color="auto" w:fill="EEEEEE"/>
          </w:tcPr>
          <w:p w14:paraId="6DDCC99C"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e)</w:t>
            </w:r>
          </w:p>
        </w:tc>
        <w:tc>
          <w:tcPr>
            <w:tcW w:w="7041" w:type="dxa"/>
            <w:tcBorders>
              <w:bottom w:val="single" w:sz="6" w:space="0" w:color="7F7F7F"/>
            </w:tcBorders>
            <w:shd w:val="clear" w:color="auto" w:fill="EEEEEE"/>
          </w:tcPr>
          <w:p w14:paraId="4A2F638D"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Consider additional plots to visualize results (e.g., leave-one-out analyses)</w:t>
            </w:r>
          </w:p>
        </w:tc>
        <w:tc>
          <w:tcPr>
            <w:tcW w:w="720" w:type="dxa"/>
            <w:tcBorders>
              <w:bottom w:val="single" w:sz="6" w:space="0" w:color="7F7F7F"/>
            </w:tcBorders>
            <w:shd w:val="clear" w:color="auto" w:fill="EEEEEE"/>
          </w:tcPr>
          <w:p w14:paraId="170AF80F" w14:textId="77777777" w:rsidR="00E64266" w:rsidRPr="00534815" w:rsidRDefault="00E64266">
            <w:pPr>
              <w:spacing w:beforeLines="40" w:before="96" w:afterLines="40" w:after="96" w:line="24" w:lineRule="atLeast"/>
              <w:rPr>
                <w:rFonts w:ascii="Times New Roman" w:eastAsia="Times New Roman" w:hAnsi="Times New Roman" w:cs="Times New Roman"/>
                <w:sz w:val="21"/>
                <w:szCs w:val="21"/>
                <w:lang w:val="en-GB" w:eastAsia="en-GB"/>
              </w:rPr>
            </w:pPr>
          </w:p>
        </w:tc>
        <w:tc>
          <w:tcPr>
            <w:tcW w:w="4320" w:type="dxa"/>
            <w:tcBorders>
              <w:bottom w:val="single" w:sz="6" w:space="0" w:color="7F7F7F"/>
            </w:tcBorders>
            <w:shd w:val="clear" w:color="auto" w:fill="EEEEEE"/>
          </w:tcPr>
          <w:p w14:paraId="1ADB1724"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hAnsi="Times New Roman" w:cs="Times New Roman"/>
                <w:sz w:val="21"/>
                <w:szCs w:val="21"/>
                <w:lang w:val="en-US" w:eastAsia="zh-CN"/>
              </w:rPr>
              <w:t>Fig.2</w:t>
            </w:r>
          </w:p>
        </w:tc>
      </w:tr>
      <w:tr w:rsidR="00534815" w:rsidRPr="00534815" w14:paraId="5CC5302F" w14:textId="77777777">
        <w:tc>
          <w:tcPr>
            <w:tcW w:w="587" w:type="dxa"/>
            <w:tcBorders>
              <w:top w:val="single" w:sz="6" w:space="0" w:color="7F7F7F"/>
            </w:tcBorders>
            <w:shd w:val="clear" w:color="auto" w:fill="auto"/>
          </w:tcPr>
          <w:p w14:paraId="21898623" w14:textId="77777777" w:rsidR="00E64266" w:rsidRPr="00534815" w:rsidRDefault="00E64266">
            <w:pPr>
              <w:spacing w:beforeLines="40" w:before="96" w:afterLines="40" w:after="96" w:line="24" w:lineRule="atLeast"/>
              <w:rPr>
                <w:rFonts w:ascii="Times New Roman" w:eastAsia="Times New Roman" w:hAnsi="Times New Roman" w:cs="Times New Roman"/>
                <w:b/>
                <w:bCs/>
                <w:sz w:val="21"/>
                <w:szCs w:val="21"/>
                <w:lang w:val="en-GB" w:eastAsia="en-GB"/>
              </w:rPr>
            </w:pPr>
          </w:p>
        </w:tc>
        <w:tc>
          <w:tcPr>
            <w:tcW w:w="1822" w:type="dxa"/>
            <w:tcBorders>
              <w:top w:val="single" w:sz="6" w:space="0" w:color="7F7F7F"/>
            </w:tcBorders>
            <w:shd w:val="clear" w:color="auto" w:fill="auto"/>
          </w:tcPr>
          <w:p w14:paraId="33EBAB48"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DISCUSSION</w:t>
            </w:r>
          </w:p>
        </w:tc>
        <w:tc>
          <w:tcPr>
            <w:tcW w:w="7041" w:type="dxa"/>
            <w:tcBorders>
              <w:top w:val="single" w:sz="6" w:space="0" w:color="7F7F7F"/>
            </w:tcBorders>
            <w:shd w:val="clear" w:color="auto" w:fill="auto"/>
          </w:tcPr>
          <w:p w14:paraId="7316B654"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tcBorders>
              <w:top w:val="single" w:sz="6" w:space="0" w:color="7F7F7F"/>
            </w:tcBorders>
          </w:tcPr>
          <w:p w14:paraId="495DB82A"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tcBorders>
              <w:top w:val="single" w:sz="6" w:space="0" w:color="7F7F7F"/>
            </w:tcBorders>
          </w:tcPr>
          <w:p w14:paraId="2B6F02A5"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6A2DA3C4" w14:textId="77777777">
        <w:tc>
          <w:tcPr>
            <w:tcW w:w="587" w:type="dxa"/>
            <w:shd w:val="clear" w:color="auto" w:fill="EEEEEE"/>
          </w:tcPr>
          <w:p w14:paraId="13D6566A"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14</w:t>
            </w:r>
          </w:p>
        </w:tc>
        <w:tc>
          <w:tcPr>
            <w:tcW w:w="1822" w:type="dxa"/>
            <w:shd w:val="clear" w:color="auto" w:fill="EEEEEE"/>
          </w:tcPr>
          <w:p w14:paraId="20BDE418"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Key results </w:t>
            </w:r>
          </w:p>
        </w:tc>
        <w:tc>
          <w:tcPr>
            <w:tcW w:w="7041" w:type="dxa"/>
            <w:shd w:val="clear" w:color="auto" w:fill="EEEEEE"/>
          </w:tcPr>
          <w:p w14:paraId="2FE4406A"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Summarize key results with reference to study objectives</w:t>
            </w:r>
          </w:p>
        </w:tc>
        <w:tc>
          <w:tcPr>
            <w:tcW w:w="720" w:type="dxa"/>
            <w:shd w:val="clear" w:color="auto" w:fill="EEEEEE"/>
          </w:tcPr>
          <w:p w14:paraId="6287F839"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5</w:t>
            </w:r>
          </w:p>
        </w:tc>
        <w:tc>
          <w:tcPr>
            <w:tcW w:w="4320" w:type="dxa"/>
            <w:shd w:val="clear" w:color="auto" w:fill="EEEEEE"/>
          </w:tcPr>
          <w:p w14:paraId="154A9B1F"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Our findings revealed that genetic liability to rosacea was causally associated with elevated depression risk.   However, no causal relationships were identified between rosacea and Parkinson's disease, Alzheimer's disease, or anxiety disorders.   Similarl</w:t>
            </w:r>
            <w:r w:rsidRPr="00534815">
              <w:rPr>
                <w:rFonts w:ascii="Times New Roman" w:eastAsia="Times New Roman" w:hAnsi="Times New Roman" w:cs="Times New Roman"/>
                <w:sz w:val="21"/>
                <w:szCs w:val="21"/>
                <w:lang w:val="en-GB" w:eastAsia="zh-CN"/>
              </w:rPr>
              <w:t xml:space="preserve">y, reverse MR analysis found no causal relationship between these neurodegenerative and neuropsychiatric disorders and rosacea.  </w:t>
            </w:r>
          </w:p>
        </w:tc>
      </w:tr>
      <w:tr w:rsidR="00534815" w:rsidRPr="00534815" w14:paraId="56BDB269" w14:textId="77777777">
        <w:tc>
          <w:tcPr>
            <w:tcW w:w="587" w:type="dxa"/>
            <w:shd w:val="clear" w:color="auto" w:fill="auto"/>
          </w:tcPr>
          <w:p w14:paraId="73F0762F"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15</w:t>
            </w:r>
          </w:p>
        </w:tc>
        <w:tc>
          <w:tcPr>
            <w:tcW w:w="1822" w:type="dxa"/>
            <w:shd w:val="clear" w:color="auto" w:fill="auto"/>
          </w:tcPr>
          <w:p w14:paraId="6AF2DD10"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Limitations</w:t>
            </w:r>
          </w:p>
        </w:tc>
        <w:tc>
          <w:tcPr>
            <w:tcW w:w="7041" w:type="dxa"/>
            <w:shd w:val="clear" w:color="auto" w:fill="auto"/>
          </w:tcPr>
          <w:p w14:paraId="02178F8D"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Discuss limitations of the study, taking into account the validity of the IV assumptions, other sources of </w:t>
            </w:r>
            <w:r w:rsidRPr="00534815">
              <w:rPr>
                <w:rFonts w:ascii="Times New Roman" w:eastAsia="Times New Roman" w:hAnsi="Times New Roman" w:cs="Times New Roman"/>
                <w:sz w:val="21"/>
                <w:szCs w:val="21"/>
                <w:lang w:val="en-GB" w:eastAsia="en-GB"/>
              </w:rPr>
              <w:t>potential bias, and imprecision. Discuss both direction and magnitude of any potential bias and any efforts to address them</w:t>
            </w:r>
            <w:r w:rsidRPr="00534815">
              <w:rPr>
                <w:rFonts w:ascii="Times New Roman" w:eastAsia="Times New Roman" w:hAnsi="Times New Roman" w:cs="Times New Roman"/>
                <w:sz w:val="21"/>
                <w:szCs w:val="21"/>
                <w:shd w:val="clear" w:color="auto" w:fill="FFFFFF"/>
                <w:lang w:val="en-GB" w:eastAsia="en-GB"/>
              </w:rPr>
              <w:t> </w:t>
            </w:r>
          </w:p>
        </w:tc>
        <w:tc>
          <w:tcPr>
            <w:tcW w:w="720" w:type="dxa"/>
          </w:tcPr>
          <w:p w14:paraId="5CEAB484"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10-11</w:t>
            </w:r>
          </w:p>
        </w:tc>
        <w:tc>
          <w:tcPr>
            <w:tcW w:w="4320" w:type="dxa"/>
          </w:tcPr>
          <w:p w14:paraId="331C10CF"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Despite implementing rigorous statistical methodologies, several important limitations of our study warrant consideration.    Primarily, the GWAS data utilized in this analysis were derived exclusively from populations of European ancestry, potentially con</w:t>
            </w:r>
            <w:r w:rsidRPr="00534815">
              <w:rPr>
                <w:rFonts w:ascii="Times New Roman" w:eastAsia="Times New Roman" w:hAnsi="Times New Roman" w:cs="Times New Roman"/>
                <w:sz w:val="21"/>
                <w:szCs w:val="21"/>
                <w:lang w:val="en-GB" w:eastAsia="zh-CN"/>
              </w:rPr>
              <w:t xml:space="preserve">straining the </w:t>
            </w:r>
            <w:r w:rsidRPr="00534815">
              <w:rPr>
                <w:rFonts w:ascii="Times New Roman" w:eastAsia="Times New Roman" w:hAnsi="Times New Roman" w:cs="Times New Roman"/>
                <w:sz w:val="21"/>
                <w:szCs w:val="21"/>
                <w:lang w:val="en-GB" w:eastAsia="zh-CN"/>
              </w:rPr>
              <w:lastRenderedPageBreak/>
              <w:t>generalizability of genetic variation patterns across diverse ethnic groups. This limitation is particularly significant as genetic architecture, environmental factors, and disease manifestations can vary substantially across different popula</w:t>
            </w:r>
            <w:r w:rsidRPr="00534815">
              <w:rPr>
                <w:rFonts w:ascii="Times New Roman" w:eastAsia="Times New Roman" w:hAnsi="Times New Roman" w:cs="Times New Roman"/>
                <w:sz w:val="21"/>
                <w:szCs w:val="21"/>
                <w:lang w:val="en-GB" w:eastAsia="zh-CN"/>
              </w:rPr>
              <w:t>tions. The lack of diverse ethnic representation in genetic databases represents a crucial gap in our understanding of these associations in non-European populations.    Furthermore, although Mendelian randomization is designed to reduce confounding, resid</w:t>
            </w:r>
            <w:r w:rsidRPr="00534815">
              <w:rPr>
                <w:rFonts w:ascii="Times New Roman" w:eastAsia="Times New Roman" w:hAnsi="Times New Roman" w:cs="Times New Roman"/>
                <w:sz w:val="21"/>
                <w:szCs w:val="21"/>
                <w:lang w:val="en-GB" w:eastAsia="zh-CN"/>
              </w:rPr>
              <w:t>ual confounding can still occur if the genetic instruments exhibit pleiotropy or are correlated with unmeasured confounders.</w:t>
            </w:r>
            <w:r w:rsidRPr="00534815">
              <w:rPr>
                <w:rFonts w:ascii="Times New Roman" w:eastAsia="Times New Roman" w:hAnsi="Times New Roman" w:cs="Times New Roman" w:hint="eastAsia"/>
                <w:sz w:val="21"/>
                <w:szCs w:val="21"/>
                <w:lang w:val="en-US" w:eastAsia="zh-CN"/>
              </w:rPr>
              <w:t xml:space="preserve"> </w:t>
            </w:r>
            <w:r w:rsidRPr="00534815">
              <w:rPr>
                <w:rFonts w:ascii="Times New Roman" w:eastAsia="Times New Roman" w:hAnsi="Times New Roman" w:cs="Times New Roman"/>
                <w:sz w:val="21"/>
                <w:szCs w:val="21"/>
                <w:lang w:val="en-GB" w:eastAsia="zh-CN"/>
              </w:rPr>
              <w:t>Additionally, MR studies may be limited by sample size and statistical power, particularly when investigating complex traits with m</w:t>
            </w:r>
            <w:r w:rsidRPr="00534815">
              <w:rPr>
                <w:rFonts w:ascii="Times New Roman" w:eastAsia="Times New Roman" w:hAnsi="Times New Roman" w:cs="Times New Roman"/>
                <w:sz w:val="21"/>
                <w:szCs w:val="21"/>
                <w:lang w:val="en-GB" w:eastAsia="zh-CN"/>
              </w:rPr>
              <w:t>odest genetic effects.</w:t>
            </w:r>
          </w:p>
        </w:tc>
      </w:tr>
      <w:tr w:rsidR="00534815" w:rsidRPr="00534815" w14:paraId="4D69072C" w14:textId="77777777">
        <w:tc>
          <w:tcPr>
            <w:tcW w:w="587" w:type="dxa"/>
            <w:shd w:val="clear" w:color="auto" w:fill="EEEEEE"/>
          </w:tcPr>
          <w:p w14:paraId="46723E7C"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lastRenderedPageBreak/>
              <w:t>16</w:t>
            </w:r>
          </w:p>
        </w:tc>
        <w:tc>
          <w:tcPr>
            <w:tcW w:w="1822" w:type="dxa"/>
            <w:shd w:val="clear" w:color="auto" w:fill="EEEEEE"/>
          </w:tcPr>
          <w:p w14:paraId="27D3FACF"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Interpretation</w:t>
            </w:r>
          </w:p>
        </w:tc>
        <w:tc>
          <w:tcPr>
            <w:tcW w:w="7041" w:type="dxa"/>
            <w:shd w:val="clear" w:color="auto" w:fill="EEEEEE"/>
          </w:tcPr>
          <w:p w14:paraId="0A498FEC"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shd w:val="clear" w:color="auto" w:fill="EEEEEE"/>
          </w:tcPr>
          <w:p w14:paraId="43231778"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shd w:val="clear" w:color="auto" w:fill="EEEEEE"/>
          </w:tcPr>
          <w:p w14:paraId="34481C0E"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28AC6C3F" w14:textId="77777777">
        <w:tc>
          <w:tcPr>
            <w:tcW w:w="587" w:type="dxa"/>
            <w:shd w:val="clear" w:color="auto" w:fill="auto"/>
          </w:tcPr>
          <w:p w14:paraId="514504C4"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en-US"/>
              </w:rPr>
            </w:pPr>
          </w:p>
        </w:tc>
        <w:tc>
          <w:tcPr>
            <w:tcW w:w="1822" w:type="dxa"/>
            <w:shd w:val="clear" w:color="auto" w:fill="auto"/>
          </w:tcPr>
          <w:p w14:paraId="5FD4AE9D"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a)</w:t>
            </w:r>
          </w:p>
        </w:tc>
        <w:tc>
          <w:tcPr>
            <w:tcW w:w="7041" w:type="dxa"/>
            <w:shd w:val="clear" w:color="auto" w:fill="auto"/>
          </w:tcPr>
          <w:p w14:paraId="7D3BADF3"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Meaning: Give a cautious overall interpretation of results in the context of their limitations and in comparison with other studies</w:t>
            </w:r>
          </w:p>
        </w:tc>
        <w:tc>
          <w:tcPr>
            <w:tcW w:w="720" w:type="dxa"/>
          </w:tcPr>
          <w:p w14:paraId="758D3936"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11</w:t>
            </w:r>
          </w:p>
        </w:tc>
        <w:tc>
          <w:tcPr>
            <w:tcW w:w="4320" w:type="dxa"/>
          </w:tcPr>
          <w:p w14:paraId="45D8C939"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 xml:space="preserve">Rosacea and depression are interconnected through chronic inflammation </w:t>
            </w:r>
            <w:r w:rsidRPr="00534815">
              <w:rPr>
                <w:rFonts w:ascii="Times New Roman" w:eastAsia="Times New Roman" w:hAnsi="Times New Roman" w:cs="Times New Roman"/>
                <w:sz w:val="21"/>
                <w:szCs w:val="21"/>
                <w:lang w:val="en-GB" w:eastAsia="zh-CN"/>
              </w:rPr>
              <w:t>and neuroimmune dysregulation. Elevated levels of pro-inflammatory cytokines and neuropeptides in rosacea perturb neuroendocrine-immune crosstalk, thereby fostering neuroinflammation. Stress-induced dysregulation of the HPA axis further amplifies inflammat</w:t>
            </w:r>
            <w:r w:rsidRPr="00534815">
              <w:rPr>
                <w:rFonts w:ascii="Times New Roman" w:eastAsia="Times New Roman" w:hAnsi="Times New Roman" w:cs="Times New Roman"/>
                <w:sz w:val="21"/>
                <w:szCs w:val="21"/>
                <w:lang w:val="en-GB" w:eastAsia="zh-CN"/>
              </w:rPr>
              <w:t>ory processes, thereby exacerbating depressive symptoms.</w:t>
            </w:r>
          </w:p>
        </w:tc>
      </w:tr>
      <w:tr w:rsidR="00534815" w:rsidRPr="00534815" w14:paraId="725E6CAE" w14:textId="77777777">
        <w:tc>
          <w:tcPr>
            <w:tcW w:w="587" w:type="dxa"/>
            <w:shd w:val="clear" w:color="auto" w:fill="EEEEEE"/>
          </w:tcPr>
          <w:p w14:paraId="79C16CDF"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EEEEEE"/>
          </w:tcPr>
          <w:p w14:paraId="0C7AABDD"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b)</w:t>
            </w:r>
          </w:p>
        </w:tc>
        <w:tc>
          <w:tcPr>
            <w:tcW w:w="7041" w:type="dxa"/>
            <w:shd w:val="clear" w:color="auto" w:fill="EEEEEE"/>
          </w:tcPr>
          <w:p w14:paraId="591FF2B5"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Mechanism: Discuss underlying biological mechanisms that could drive a potential causal relationship between the investigated exposure and the outcome, and whether the gene-environment </w:t>
            </w:r>
            <w:r w:rsidRPr="00534815">
              <w:rPr>
                <w:rFonts w:ascii="Times New Roman" w:eastAsia="Times New Roman" w:hAnsi="Times New Roman" w:cs="Times New Roman"/>
                <w:sz w:val="21"/>
                <w:szCs w:val="21"/>
                <w:lang w:val="en-GB" w:eastAsia="en-GB"/>
              </w:rPr>
              <w:t>equivalence assumption is reasonable. Use causal language carefully, clarifying that IV estimates may provide causal effects only under certain assumptions</w:t>
            </w:r>
          </w:p>
        </w:tc>
        <w:tc>
          <w:tcPr>
            <w:tcW w:w="720" w:type="dxa"/>
            <w:shd w:val="clear" w:color="auto" w:fill="EEEEEE"/>
          </w:tcPr>
          <w:p w14:paraId="39AEF726"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7-8</w:t>
            </w:r>
          </w:p>
        </w:tc>
        <w:tc>
          <w:tcPr>
            <w:tcW w:w="4320" w:type="dxa"/>
            <w:shd w:val="clear" w:color="auto" w:fill="EEEEEE"/>
          </w:tcPr>
          <w:p w14:paraId="084C4E24"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Our study identified three potential mechanistic pathways linking rosacea to depression.  First,</w:t>
            </w:r>
            <w:r w:rsidRPr="00534815">
              <w:rPr>
                <w:rFonts w:ascii="Times New Roman" w:eastAsia="Times New Roman" w:hAnsi="Times New Roman" w:cs="Times New Roman"/>
                <w:sz w:val="21"/>
                <w:szCs w:val="21"/>
                <w:lang w:val="en-GB" w:eastAsia="zh-CN"/>
              </w:rPr>
              <w:t xml:space="preserve"> the immune-inflammatory pathway involves the activation of inflammatory cascades through NALP3 and TLR2 </w:t>
            </w:r>
            <w:proofErr w:type="spellStart"/>
            <w:r w:rsidRPr="00534815">
              <w:rPr>
                <w:rFonts w:ascii="Times New Roman" w:eastAsia="Times New Roman" w:hAnsi="Times New Roman" w:cs="Times New Roman"/>
                <w:sz w:val="21"/>
                <w:szCs w:val="21"/>
                <w:lang w:val="en-GB" w:eastAsia="zh-CN"/>
              </w:rPr>
              <w:t>signaling</w:t>
            </w:r>
            <w:proofErr w:type="spellEnd"/>
            <w:r w:rsidRPr="00534815">
              <w:rPr>
                <w:rFonts w:ascii="Times New Roman" w:eastAsia="Times New Roman" w:hAnsi="Times New Roman" w:cs="Times New Roman"/>
                <w:sz w:val="21"/>
                <w:szCs w:val="21"/>
                <w:lang w:val="en-GB" w:eastAsia="zh-CN"/>
              </w:rPr>
              <w:t xml:space="preserve">, leading to increased pro-inflammatory cytokines (IL-1β, IL-17, IL-8) and substance P, which are implicated in both conditions.  Second, the </w:t>
            </w:r>
            <w:r w:rsidRPr="00534815">
              <w:rPr>
                <w:rFonts w:ascii="Times New Roman" w:eastAsia="Times New Roman" w:hAnsi="Times New Roman" w:cs="Times New Roman"/>
                <w:sz w:val="21"/>
                <w:szCs w:val="21"/>
                <w:lang w:val="en-GB" w:eastAsia="zh-CN"/>
              </w:rPr>
              <w:t xml:space="preserve">neuroendocrine mechanism </w:t>
            </w:r>
            <w:proofErr w:type="spellStart"/>
            <w:r w:rsidRPr="00534815">
              <w:rPr>
                <w:rFonts w:ascii="Times New Roman" w:eastAsia="Times New Roman" w:hAnsi="Times New Roman" w:cs="Times New Roman"/>
                <w:sz w:val="21"/>
                <w:szCs w:val="21"/>
                <w:lang w:val="en-GB" w:eastAsia="zh-CN"/>
              </w:rPr>
              <w:t>centers</w:t>
            </w:r>
            <w:proofErr w:type="spellEnd"/>
            <w:r w:rsidRPr="00534815">
              <w:rPr>
                <w:rFonts w:ascii="Times New Roman" w:eastAsia="Times New Roman" w:hAnsi="Times New Roman" w:cs="Times New Roman"/>
                <w:sz w:val="21"/>
                <w:szCs w:val="21"/>
                <w:lang w:val="en-GB" w:eastAsia="zh-CN"/>
              </w:rPr>
              <w:t xml:space="preserve"> on HPA axis dysfunction, where chronic facial inflammation triggers psychological stress and altered cortisol </w:t>
            </w:r>
            <w:r w:rsidRPr="00534815">
              <w:rPr>
                <w:rFonts w:ascii="Times New Roman" w:eastAsia="Times New Roman" w:hAnsi="Times New Roman" w:cs="Times New Roman"/>
                <w:sz w:val="21"/>
                <w:szCs w:val="21"/>
                <w:lang w:val="en-GB" w:eastAsia="zh-CN"/>
              </w:rPr>
              <w:lastRenderedPageBreak/>
              <w:t>secretion, supported by reduced BDNF levels in rosacea patients with comorbid depression.  Third, the gut-brain-s</w:t>
            </w:r>
            <w:r w:rsidRPr="00534815">
              <w:rPr>
                <w:rFonts w:ascii="Times New Roman" w:eastAsia="Times New Roman" w:hAnsi="Times New Roman" w:cs="Times New Roman"/>
                <w:sz w:val="21"/>
                <w:szCs w:val="21"/>
                <w:lang w:val="en-GB" w:eastAsia="zh-CN"/>
              </w:rPr>
              <w:t>kin axis suggests that gut microbiota alterations may simultaneously affect both skin homeostasis and neuropsychiatric health.  These interconnected mechanisms provide a biological basis for the observed causal relationship between rosacea and depression.</w:t>
            </w:r>
          </w:p>
        </w:tc>
      </w:tr>
      <w:tr w:rsidR="00534815" w:rsidRPr="00534815" w14:paraId="2A3F479F" w14:textId="77777777">
        <w:tc>
          <w:tcPr>
            <w:tcW w:w="587" w:type="dxa"/>
            <w:shd w:val="clear" w:color="auto" w:fill="auto"/>
          </w:tcPr>
          <w:p w14:paraId="2B7C327E" w14:textId="77777777" w:rsidR="00E64266" w:rsidRPr="00534815" w:rsidRDefault="00E64266">
            <w:pPr>
              <w:spacing w:beforeLines="40" w:before="96" w:afterLines="40" w:after="96" w:line="24" w:lineRule="atLeast"/>
              <w:jc w:val="right"/>
              <w:rPr>
                <w:rFonts w:ascii="Times New Roman" w:eastAsia="Cambria" w:hAnsi="Times New Roman" w:cs="Times New Roman"/>
                <w:b/>
                <w:bCs/>
                <w:sz w:val="21"/>
                <w:szCs w:val="21"/>
                <w:lang w:val="en-GB" w:eastAsia="zh-CN"/>
              </w:rPr>
            </w:pPr>
          </w:p>
        </w:tc>
        <w:tc>
          <w:tcPr>
            <w:tcW w:w="1822" w:type="dxa"/>
            <w:shd w:val="clear" w:color="auto" w:fill="auto"/>
          </w:tcPr>
          <w:p w14:paraId="56A9D92C" w14:textId="77777777" w:rsidR="00E64266" w:rsidRPr="00534815" w:rsidRDefault="00534815">
            <w:pPr>
              <w:spacing w:beforeLines="40" w:before="96" w:afterLines="40" w:after="96" w:line="24" w:lineRule="atLeast"/>
              <w:jc w:val="right"/>
              <w:rPr>
                <w:rFonts w:ascii="Times New Roman" w:eastAsia="Cambria" w:hAnsi="Times New Roman" w:cs="Times New Roman"/>
                <w:sz w:val="21"/>
                <w:szCs w:val="21"/>
                <w:lang w:val="en-GB" w:eastAsia="en-US"/>
              </w:rPr>
            </w:pPr>
            <w:r w:rsidRPr="00534815">
              <w:rPr>
                <w:rFonts w:ascii="Times New Roman" w:eastAsia="Cambria" w:hAnsi="Times New Roman" w:cs="Times New Roman"/>
                <w:sz w:val="21"/>
                <w:szCs w:val="21"/>
                <w:lang w:val="en-GB" w:eastAsia="en-US"/>
              </w:rPr>
              <w:t>c)</w:t>
            </w:r>
          </w:p>
        </w:tc>
        <w:tc>
          <w:tcPr>
            <w:tcW w:w="7041" w:type="dxa"/>
            <w:shd w:val="clear" w:color="auto" w:fill="auto"/>
          </w:tcPr>
          <w:p w14:paraId="4CFD5F2D" w14:textId="77777777" w:rsidR="00E64266" w:rsidRPr="00534815" w:rsidRDefault="00534815">
            <w:pPr>
              <w:tabs>
                <w:tab w:val="left" w:pos="1350"/>
              </w:tabs>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Clinical relevance: Discuss whether the results have clinical or public policy relevance, and </w:t>
            </w:r>
            <w:r w:rsidRPr="00534815">
              <w:rPr>
                <w:rFonts w:ascii="Times New Roman" w:eastAsia="Times New Roman" w:hAnsi="Times New Roman" w:cs="Times New Roman"/>
                <w:sz w:val="21"/>
                <w:szCs w:val="21"/>
                <w:lang w:eastAsia="en-GB"/>
              </w:rPr>
              <w:t>to what extent they inform effect sizes of possible interventions</w:t>
            </w:r>
          </w:p>
        </w:tc>
        <w:tc>
          <w:tcPr>
            <w:tcW w:w="720" w:type="dxa"/>
          </w:tcPr>
          <w:p w14:paraId="2F39144B" w14:textId="77777777" w:rsidR="00E64266" w:rsidRPr="00534815" w:rsidRDefault="00534815">
            <w:pPr>
              <w:tabs>
                <w:tab w:val="left" w:pos="1350"/>
              </w:tabs>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10-11</w:t>
            </w:r>
          </w:p>
        </w:tc>
        <w:tc>
          <w:tcPr>
            <w:tcW w:w="4320" w:type="dxa"/>
          </w:tcPr>
          <w:p w14:paraId="3BCC5E02" w14:textId="77777777" w:rsidR="00E64266" w:rsidRPr="00534815" w:rsidRDefault="00534815">
            <w:pPr>
              <w:tabs>
                <w:tab w:val="left" w:pos="1350"/>
              </w:tabs>
              <w:spacing w:beforeLines="40" w:before="96" w:afterLines="40" w:after="96" w:line="24" w:lineRule="atLeast"/>
              <w:rPr>
                <w:rFonts w:ascii="Times New Roman" w:eastAsia="Times New Roman" w:hAnsi="Times New Roman" w:cs="Times New Roman"/>
                <w:sz w:val="21"/>
                <w:szCs w:val="21"/>
                <w:lang w:val="en-GB" w:eastAsia="zh-CN"/>
              </w:rPr>
            </w:pPr>
            <w:r w:rsidRPr="00534815">
              <w:rPr>
                <w:rFonts w:ascii="Times New Roman" w:eastAsia="Times New Roman" w:hAnsi="Times New Roman" w:cs="Times New Roman"/>
                <w:sz w:val="21"/>
                <w:szCs w:val="21"/>
                <w:lang w:val="en-GB" w:eastAsia="zh-CN"/>
              </w:rPr>
              <w:t>Our findings have important clinical implications.  The causal relationship between r</w:t>
            </w:r>
            <w:r w:rsidRPr="00534815">
              <w:rPr>
                <w:rFonts w:ascii="Times New Roman" w:eastAsia="Times New Roman" w:hAnsi="Times New Roman" w:cs="Times New Roman"/>
                <w:sz w:val="21"/>
                <w:szCs w:val="21"/>
                <w:lang w:val="en-GB" w:eastAsia="zh-CN"/>
              </w:rPr>
              <w:t>osacea and depression suggests the need for integrated care approaches, including routine depression screening in rosacea management, anti-inflammatory therapies targeting both conditions, and multidisciplinary treatment models combining dermatological and</w:t>
            </w:r>
            <w:r w:rsidRPr="00534815">
              <w:rPr>
                <w:rFonts w:ascii="Times New Roman" w:eastAsia="Times New Roman" w:hAnsi="Times New Roman" w:cs="Times New Roman"/>
                <w:sz w:val="21"/>
                <w:szCs w:val="21"/>
                <w:lang w:val="en-GB" w:eastAsia="zh-CN"/>
              </w:rPr>
              <w:t xml:space="preserve"> psychiatric care.  While specific intervention effects need evaluation through clinical trials, these results support comprehensive care strategies addressing both skin symptoms and psychological well-being.</w:t>
            </w:r>
          </w:p>
        </w:tc>
      </w:tr>
      <w:tr w:rsidR="00534815" w:rsidRPr="00534815" w14:paraId="5232C836" w14:textId="77777777">
        <w:tc>
          <w:tcPr>
            <w:tcW w:w="587" w:type="dxa"/>
            <w:tcBorders>
              <w:bottom w:val="single" w:sz="6" w:space="0" w:color="7F7F7F"/>
            </w:tcBorders>
            <w:shd w:val="clear" w:color="auto" w:fill="EEEEEE"/>
          </w:tcPr>
          <w:p w14:paraId="58AB70E2"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17</w:t>
            </w:r>
          </w:p>
        </w:tc>
        <w:tc>
          <w:tcPr>
            <w:tcW w:w="1822" w:type="dxa"/>
            <w:tcBorders>
              <w:bottom w:val="single" w:sz="6" w:space="0" w:color="7F7F7F"/>
            </w:tcBorders>
            <w:shd w:val="clear" w:color="auto" w:fill="EEEEEE"/>
          </w:tcPr>
          <w:p w14:paraId="44166AF0"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 xml:space="preserve">Generalizability  </w:t>
            </w:r>
            <w:r w:rsidRPr="00534815">
              <w:rPr>
                <w:rFonts w:ascii="Times New Roman" w:eastAsia="Times New Roman" w:hAnsi="Times New Roman" w:cs="Times New Roman"/>
                <w:sz w:val="21"/>
                <w:szCs w:val="21"/>
                <w:lang w:val="en-GB" w:eastAsia="en-GB"/>
              </w:rPr>
              <w:t> </w:t>
            </w:r>
          </w:p>
        </w:tc>
        <w:tc>
          <w:tcPr>
            <w:tcW w:w="7041" w:type="dxa"/>
            <w:tcBorders>
              <w:bottom w:val="single" w:sz="6" w:space="0" w:color="7F7F7F"/>
            </w:tcBorders>
            <w:shd w:val="clear" w:color="auto" w:fill="EEEEEE"/>
          </w:tcPr>
          <w:p w14:paraId="2B11550D"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sz w:val="21"/>
                <w:szCs w:val="21"/>
                <w:lang w:val="en-GB" w:eastAsia="en-GB"/>
              </w:rPr>
              <w:t xml:space="preserve">Discuss the </w:t>
            </w:r>
            <w:r w:rsidRPr="00534815">
              <w:rPr>
                <w:rFonts w:ascii="Times New Roman" w:eastAsia="Times New Roman" w:hAnsi="Times New Roman" w:cs="Times New Roman"/>
                <w:sz w:val="21"/>
                <w:szCs w:val="21"/>
                <w:lang w:val="en-GB" w:eastAsia="en-GB"/>
              </w:rPr>
              <w:t>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52F8A1B9"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10-11</w:t>
            </w:r>
          </w:p>
        </w:tc>
        <w:tc>
          <w:tcPr>
            <w:tcW w:w="4320" w:type="dxa"/>
            <w:tcBorders>
              <w:bottom w:val="single" w:sz="6" w:space="0" w:color="7F7F7F"/>
            </w:tcBorders>
            <w:shd w:val="clear" w:color="auto" w:fill="EEEEEE"/>
          </w:tcPr>
          <w:p w14:paraId="2761136B"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US" w:eastAsia="zh-CN"/>
              </w:rPr>
            </w:pPr>
            <w:r w:rsidRPr="00534815">
              <w:rPr>
                <w:rFonts w:ascii="Times New Roman" w:eastAsia="Times New Roman" w:hAnsi="Times New Roman" w:cs="Times New Roman"/>
                <w:sz w:val="21"/>
                <w:szCs w:val="21"/>
                <w:lang w:val="en-GB" w:eastAsia="zh-CN"/>
              </w:rPr>
              <w:t xml:space="preserve">Our findings, based on European genetic data, may have limited generalizability to other ethnicities.  </w:t>
            </w:r>
            <w:r w:rsidRPr="00534815">
              <w:rPr>
                <w:rFonts w:ascii="Times New Roman" w:eastAsia="Times New Roman" w:hAnsi="Times New Roman" w:cs="Times New Roman"/>
                <w:sz w:val="21"/>
                <w:szCs w:val="21"/>
                <w:lang w:val="en-GB" w:eastAsia="zh-CN"/>
              </w:rPr>
              <w:t>The results reflect lifetime genetic effects rather than acute exposures, and the impact may vary with disease severity.  Future studies in diverse populations are needed to validate these findings</w:t>
            </w:r>
            <w:r w:rsidRPr="00534815">
              <w:rPr>
                <w:rFonts w:ascii="Times New Roman" w:eastAsia="Times New Roman" w:hAnsi="Times New Roman" w:cs="Times New Roman"/>
                <w:sz w:val="21"/>
                <w:szCs w:val="21"/>
                <w:lang w:val="en-US" w:eastAsia="zh-CN"/>
              </w:rPr>
              <w:t>.</w:t>
            </w:r>
          </w:p>
        </w:tc>
      </w:tr>
      <w:tr w:rsidR="00534815" w:rsidRPr="00534815" w14:paraId="14B0E134" w14:textId="77777777">
        <w:tc>
          <w:tcPr>
            <w:tcW w:w="587" w:type="dxa"/>
            <w:tcBorders>
              <w:top w:val="single" w:sz="6" w:space="0" w:color="7F7F7F"/>
            </w:tcBorders>
            <w:shd w:val="clear" w:color="auto" w:fill="auto"/>
          </w:tcPr>
          <w:p w14:paraId="01379F61" w14:textId="77777777" w:rsidR="00E64266" w:rsidRPr="00534815" w:rsidRDefault="00E64266">
            <w:pPr>
              <w:spacing w:beforeLines="40" w:before="96" w:afterLines="40" w:after="96" w:line="24" w:lineRule="atLeast"/>
              <w:rPr>
                <w:rFonts w:ascii="Times New Roman" w:eastAsia="Times New Roman" w:hAnsi="Times New Roman" w:cs="Times New Roman"/>
                <w:b/>
                <w:bCs/>
                <w:sz w:val="21"/>
                <w:szCs w:val="21"/>
                <w:lang w:val="en-GB" w:eastAsia="zh-CN"/>
              </w:rPr>
            </w:pPr>
          </w:p>
        </w:tc>
        <w:tc>
          <w:tcPr>
            <w:tcW w:w="1822" w:type="dxa"/>
            <w:tcBorders>
              <w:top w:val="single" w:sz="6" w:space="0" w:color="7F7F7F"/>
            </w:tcBorders>
            <w:shd w:val="clear" w:color="auto" w:fill="auto"/>
          </w:tcPr>
          <w:p w14:paraId="4DEA04F5"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OTHER INFORMATION</w:t>
            </w:r>
          </w:p>
        </w:tc>
        <w:tc>
          <w:tcPr>
            <w:tcW w:w="7041" w:type="dxa"/>
            <w:tcBorders>
              <w:top w:val="single" w:sz="6" w:space="0" w:color="7F7F7F"/>
            </w:tcBorders>
            <w:shd w:val="clear" w:color="auto" w:fill="auto"/>
          </w:tcPr>
          <w:p w14:paraId="25CD181A"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720" w:type="dxa"/>
            <w:tcBorders>
              <w:top w:val="single" w:sz="6" w:space="0" w:color="7F7F7F"/>
            </w:tcBorders>
          </w:tcPr>
          <w:p w14:paraId="48226E5E"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c>
          <w:tcPr>
            <w:tcW w:w="4320" w:type="dxa"/>
            <w:tcBorders>
              <w:top w:val="single" w:sz="6" w:space="0" w:color="7F7F7F"/>
            </w:tcBorders>
          </w:tcPr>
          <w:p w14:paraId="6BF0EC94" w14:textId="77777777" w:rsidR="00E64266" w:rsidRPr="00534815" w:rsidRDefault="00E64266">
            <w:pPr>
              <w:spacing w:beforeLines="40" w:before="96" w:afterLines="40" w:after="96" w:line="24" w:lineRule="atLeast"/>
              <w:rPr>
                <w:rFonts w:ascii="Times New Roman" w:eastAsia="Cambria" w:hAnsi="Times New Roman" w:cs="Times New Roman"/>
                <w:sz w:val="21"/>
                <w:szCs w:val="21"/>
                <w:lang w:val="en-GB" w:eastAsia="en-US"/>
              </w:rPr>
            </w:pPr>
          </w:p>
        </w:tc>
      </w:tr>
      <w:tr w:rsidR="00534815" w:rsidRPr="00534815" w14:paraId="6D5C1534" w14:textId="77777777">
        <w:tc>
          <w:tcPr>
            <w:tcW w:w="587" w:type="dxa"/>
            <w:shd w:val="clear" w:color="auto" w:fill="EEEEEE"/>
          </w:tcPr>
          <w:p w14:paraId="60BC500B"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18</w:t>
            </w:r>
          </w:p>
        </w:tc>
        <w:tc>
          <w:tcPr>
            <w:tcW w:w="1822" w:type="dxa"/>
            <w:shd w:val="clear" w:color="auto" w:fill="EEEEEE"/>
          </w:tcPr>
          <w:p w14:paraId="3357B321" w14:textId="77777777" w:rsidR="00E64266" w:rsidRPr="00534815" w:rsidRDefault="00534815">
            <w:pPr>
              <w:spacing w:beforeLines="40" w:before="96" w:afterLines="40" w:after="96" w:line="24" w:lineRule="atLeast"/>
              <w:rPr>
                <w:rFonts w:ascii="Times New Roman" w:eastAsia="Cambria" w:hAnsi="Times New Roman" w:cs="Times New Roman"/>
                <w:sz w:val="21"/>
                <w:szCs w:val="21"/>
                <w:lang w:val="en-GB" w:eastAsia="en-US"/>
              </w:rPr>
            </w:pPr>
            <w:r w:rsidRPr="00534815">
              <w:rPr>
                <w:rFonts w:ascii="Times New Roman" w:eastAsia="Times New Roman" w:hAnsi="Times New Roman" w:cs="Times New Roman"/>
                <w:b/>
                <w:bCs/>
                <w:sz w:val="21"/>
                <w:szCs w:val="21"/>
                <w:lang w:val="en-GB" w:eastAsia="en-GB"/>
              </w:rPr>
              <w:t>Funding</w:t>
            </w:r>
          </w:p>
        </w:tc>
        <w:tc>
          <w:tcPr>
            <w:tcW w:w="7041" w:type="dxa"/>
            <w:shd w:val="clear" w:color="auto" w:fill="EEEEEE"/>
          </w:tcPr>
          <w:p w14:paraId="467FB980"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Describe sources of </w:t>
            </w:r>
            <w:r w:rsidRPr="00534815">
              <w:rPr>
                <w:rFonts w:ascii="Times New Roman" w:eastAsia="Times New Roman" w:hAnsi="Times New Roman" w:cs="Times New Roman"/>
                <w:sz w:val="21"/>
                <w:szCs w:val="21"/>
                <w:lang w:val="en-GB" w:eastAsia="en-GB"/>
              </w:rPr>
              <w:t>funding and the role of funders in the present study and, if applicable, sources of funding for the databases and original study or studies on which the present study is based</w:t>
            </w:r>
          </w:p>
        </w:tc>
        <w:tc>
          <w:tcPr>
            <w:tcW w:w="720" w:type="dxa"/>
            <w:shd w:val="clear" w:color="auto" w:fill="EEEEEE"/>
          </w:tcPr>
          <w:p w14:paraId="2CFC4C67" w14:textId="66C3B2FF" w:rsidR="00E64266" w:rsidRPr="00534815" w:rsidRDefault="0096593C">
            <w:pPr>
              <w:spacing w:beforeLines="40" w:before="96" w:afterLines="40" w:after="96" w:line="24" w:lineRule="atLeast"/>
              <w:rPr>
                <w:rFonts w:ascii="Times New Roman" w:eastAsiaTheme="minorEastAsia" w:hAnsi="Times New Roman" w:cs="Times New Roman"/>
                <w:sz w:val="21"/>
                <w:szCs w:val="21"/>
                <w:lang w:val="en-GB" w:eastAsia="zh-CN"/>
              </w:rPr>
            </w:pPr>
            <w:r w:rsidRPr="00534815">
              <w:rPr>
                <w:rFonts w:ascii="Times New Roman" w:eastAsiaTheme="minorEastAsia" w:hAnsi="Times New Roman" w:cs="Times New Roman" w:hint="eastAsia"/>
                <w:sz w:val="21"/>
                <w:szCs w:val="21"/>
                <w:lang w:val="en-GB" w:eastAsia="zh-CN"/>
              </w:rPr>
              <w:t>11</w:t>
            </w:r>
          </w:p>
        </w:tc>
        <w:tc>
          <w:tcPr>
            <w:tcW w:w="4320" w:type="dxa"/>
            <w:shd w:val="clear" w:color="auto" w:fill="EEEEEE"/>
          </w:tcPr>
          <w:p w14:paraId="660BCA48"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This research did not receive any specific grant from funding agencies in the</w:t>
            </w:r>
            <w:r w:rsidRPr="00534815">
              <w:rPr>
                <w:rFonts w:ascii="Times New Roman" w:eastAsia="Times New Roman" w:hAnsi="Times New Roman" w:cs="Times New Roman"/>
                <w:sz w:val="21"/>
                <w:szCs w:val="21"/>
                <w:lang w:val="en-GB" w:eastAsia="en-GB"/>
              </w:rPr>
              <w:t xml:space="preserve"> public, commercial, or not-for-profit sectors.</w:t>
            </w:r>
          </w:p>
        </w:tc>
      </w:tr>
      <w:tr w:rsidR="00534815" w:rsidRPr="00534815" w14:paraId="15B931F5" w14:textId="77777777">
        <w:tc>
          <w:tcPr>
            <w:tcW w:w="587" w:type="dxa"/>
            <w:shd w:val="clear" w:color="auto" w:fill="auto"/>
          </w:tcPr>
          <w:p w14:paraId="00A65F0F"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t>19</w:t>
            </w:r>
          </w:p>
        </w:tc>
        <w:tc>
          <w:tcPr>
            <w:tcW w:w="1822" w:type="dxa"/>
            <w:shd w:val="clear" w:color="auto" w:fill="auto"/>
          </w:tcPr>
          <w:p w14:paraId="09997CF9"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Data and data sharing </w:t>
            </w:r>
          </w:p>
        </w:tc>
        <w:tc>
          <w:tcPr>
            <w:tcW w:w="7041" w:type="dxa"/>
            <w:shd w:val="clear" w:color="auto" w:fill="auto"/>
          </w:tcPr>
          <w:p w14:paraId="605C0A9D"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 xml:space="preserve">Provide the data used to perform all analyses or report where and how the data can be accessed, and reference these sources in the article. Provide the </w:t>
            </w:r>
            <w:r w:rsidRPr="00534815">
              <w:rPr>
                <w:rFonts w:ascii="Times New Roman" w:eastAsia="Times New Roman" w:hAnsi="Times New Roman" w:cs="Times New Roman"/>
                <w:sz w:val="21"/>
                <w:szCs w:val="21"/>
                <w:lang w:val="en-GB" w:eastAsia="en-GB"/>
              </w:rPr>
              <w:lastRenderedPageBreak/>
              <w:t xml:space="preserve">statistical code needed to </w:t>
            </w:r>
            <w:r w:rsidRPr="00534815">
              <w:rPr>
                <w:rFonts w:ascii="Times New Roman" w:eastAsia="Times New Roman" w:hAnsi="Times New Roman" w:cs="Times New Roman"/>
                <w:sz w:val="21"/>
                <w:szCs w:val="21"/>
                <w:lang w:val="en-GB" w:eastAsia="en-GB"/>
              </w:rPr>
              <w:t>reproduce the results in the article, or report whether the code is publicly accessible and if so, where</w:t>
            </w:r>
          </w:p>
        </w:tc>
        <w:tc>
          <w:tcPr>
            <w:tcW w:w="720" w:type="dxa"/>
          </w:tcPr>
          <w:p w14:paraId="46100A2E"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lastRenderedPageBreak/>
              <w:t>11</w:t>
            </w:r>
          </w:p>
        </w:tc>
        <w:tc>
          <w:tcPr>
            <w:tcW w:w="4320" w:type="dxa"/>
          </w:tcPr>
          <w:p w14:paraId="70636079" w14:textId="77777777" w:rsidR="00E64266" w:rsidRPr="00534815" w:rsidRDefault="00534815">
            <w:pPr>
              <w:widowControl w:val="0"/>
              <w:jc w:val="both"/>
              <w:rPr>
                <w:rFonts w:ascii="Times New Roman" w:hAnsi="Times New Roman" w:cs="Times New Roman"/>
                <w:sz w:val="21"/>
                <w:szCs w:val="21"/>
                <w:lang w:val="en-US"/>
              </w:rPr>
            </w:pPr>
            <w:r w:rsidRPr="00534815">
              <w:rPr>
                <w:rFonts w:ascii="Times New Roman" w:eastAsia="DengXian" w:hAnsi="Times New Roman" w:cs="Times New Roman"/>
                <w:kern w:val="2"/>
                <w:sz w:val="21"/>
                <w:szCs w:val="21"/>
                <w:lang w:val="en-US" w:eastAsia="zh-CN" w:bidi="ar"/>
              </w:rPr>
              <w:t>As for the data analyzed in this article are available from the IEU Open GWAS database, as follows.</w:t>
            </w:r>
          </w:p>
          <w:p w14:paraId="2F78F306" w14:textId="77777777" w:rsidR="00E64266" w:rsidRPr="00534815" w:rsidRDefault="00534815">
            <w:pPr>
              <w:widowControl w:val="0"/>
              <w:jc w:val="both"/>
              <w:rPr>
                <w:rFonts w:ascii="Times New Roman" w:hAnsi="Times New Roman" w:cs="Times New Roman"/>
                <w:sz w:val="21"/>
                <w:szCs w:val="21"/>
                <w:lang w:val="en-US"/>
              </w:rPr>
            </w:pPr>
            <w:r w:rsidRPr="00534815">
              <w:rPr>
                <w:rFonts w:ascii="Times New Roman" w:eastAsia="DengXian" w:hAnsi="Times New Roman" w:cs="Times New Roman"/>
                <w:kern w:val="2"/>
                <w:sz w:val="21"/>
                <w:szCs w:val="21"/>
                <w:lang w:val="en-US" w:eastAsia="zh-CN" w:bidi="ar"/>
              </w:rPr>
              <w:lastRenderedPageBreak/>
              <w:t>https://gwas.mrcieu.ac.uk/datasets/finn-b-L12_ROSACEA/ (for rosacea). </w:t>
            </w:r>
          </w:p>
          <w:p w14:paraId="4E100AC4" w14:textId="77777777" w:rsidR="00E64266" w:rsidRPr="00534815" w:rsidRDefault="00534815">
            <w:pPr>
              <w:widowControl w:val="0"/>
              <w:jc w:val="both"/>
              <w:rPr>
                <w:rFonts w:ascii="Times New Roman" w:hAnsi="Times New Roman" w:cs="Times New Roman"/>
                <w:sz w:val="21"/>
                <w:szCs w:val="21"/>
                <w:lang w:val="en-US"/>
              </w:rPr>
            </w:pPr>
            <w:r w:rsidRPr="00534815">
              <w:rPr>
                <w:rFonts w:ascii="Times New Roman" w:eastAsia="DengXian" w:hAnsi="Times New Roman" w:cs="Times New Roman"/>
                <w:kern w:val="2"/>
                <w:sz w:val="21"/>
                <w:szCs w:val="21"/>
                <w:lang w:val="en-US" w:eastAsia="zh-CN" w:bidi="ar"/>
              </w:rPr>
              <w:t>https://gwas.mrcieu.ac.uk/datasets/finn-b-G6_PARKINSON/ (for</w:t>
            </w:r>
            <w:r w:rsidRPr="00534815">
              <w:rPr>
                <w:rFonts w:ascii="Times New Roman" w:eastAsia="SimSun" w:hAnsi="Times New Roman" w:cs="Times New Roman"/>
                <w:sz w:val="21"/>
                <w:szCs w:val="21"/>
                <w:lang w:val="en-US" w:eastAsia="zh-CN" w:bidi="ar"/>
              </w:rPr>
              <w:t xml:space="preserve"> P</w:t>
            </w:r>
            <w:r w:rsidRPr="00534815">
              <w:rPr>
                <w:rFonts w:ascii="Times New Roman" w:eastAsia="DengXian" w:hAnsi="Times New Roman" w:cs="Times New Roman"/>
                <w:kern w:val="2"/>
                <w:sz w:val="21"/>
                <w:szCs w:val="21"/>
                <w:lang w:val="en-US" w:eastAsia="zh-CN" w:bidi="ar"/>
              </w:rPr>
              <w:t>arkinson’s disease). </w:t>
            </w:r>
          </w:p>
          <w:p w14:paraId="5879D605" w14:textId="77777777" w:rsidR="00E64266" w:rsidRPr="00534815" w:rsidRDefault="00534815">
            <w:pPr>
              <w:widowControl w:val="0"/>
              <w:jc w:val="both"/>
              <w:rPr>
                <w:rFonts w:ascii="Times New Roman" w:hAnsi="Times New Roman" w:cs="Times New Roman"/>
                <w:sz w:val="21"/>
                <w:szCs w:val="21"/>
                <w:lang w:val="en-US"/>
              </w:rPr>
            </w:pPr>
            <w:hyperlink r:id="rId10" w:history="1">
              <w:r w:rsidR="00E64266" w:rsidRPr="00534815">
                <w:rPr>
                  <w:rStyle w:val="Hyperlink"/>
                  <w:rFonts w:ascii="Times New Roman" w:hAnsi="Times New Roman" w:cs="Times New Roman"/>
                  <w:color w:val="auto"/>
                  <w:sz w:val="21"/>
                  <w:szCs w:val="21"/>
                  <w:u w:val="none"/>
                  <w:lang w:val="en-US"/>
                </w:rPr>
                <w:t>https://gwas.mrcieu.ac.uk/datasets/ieu-b-5067/ (for</w:t>
              </w:r>
            </w:hyperlink>
            <w:r w:rsidR="00E64266" w:rsidRPr="00534815">
              <w:rPr>
                <w:rFonts w:ascii="Times New Roman" w:eastAsia="DengXian" w:hAnsi="Times New Roman" w:cs="Times New Roman"/>
                <w:kern w:val="2"/>
                <w:sz w:val="21"/>
                <w:szCs w:val="21"/>
                <w:lang w:val="en-US" w:eastAsia="zh-CN" w:bidi="ar"/>
              </w:rPr>
              <w:t xml:space="preserve"> Alzheimer's disease).</w:t>
            </w:r>
          </w:p>
          <w:p w14:paraId="55146F55" w14:textId="77777777" w:rsidR="00E64266" w:rsidRPr="00534815" w:rsidRDefault="00534815">
            <w:pPr>
              <w:widowControl w:val="0"/>
              <w:jc w:val="both"/>
              <w:rPr>
                <w:rFonts w:ascii="Times New Roman" w:hAnsi="Times New Roman" w:cs="Times New Roman"/>
                <w:sz w:val="21"/>
                <w:szCs w:val="21"/>
                <w:lang w:val="en-US"/>
              </w:rPr>
            </w:pPr>
            <w:r w:rsidRPr="00534815">
              <w:rPr>
                <w:rFonts w:ascii="Times New Roman" w:eastAsia="DengXian" w:hAnsi="Times New Roman" w:cs="Times New Roman"/>
                <w:kern w:val="2"/>
                <w:sz w:val="21"/>
                <w:szCs w:val="21"/>
                <w:lang w:val="en-US" w:eastAsia="zh-CN" w:bidi="ar"/>
              </w:rPr>
              <w:t xml:space="preserve">https://gwas.mrcieu.ac.uk/datasets/finn-b-F5_ALLANXIOUS/ (for </w:t>
            </w:r>
            <w:r w:rsidRPr="00534815">
              <w:rPr>
                <w:rFonts w:ascii="Times New Roman" w:eastAsia="SimSun" w:hAnsi="Times New Roman" w:cs="Times New Roman"/>
                <w:sz w:val="21"/>
                <w:szCs w:val="21"/>
                <w:lang w:val="en-US" w:eastAsia="zh-CN" w:bidi="ar"/>
              </w:rPr>
              <w:t>Anxiety disorders</w:t>
            </w:r>
            <w:r w:rsidRPr="00534815">
              <w:rPr>
                <w:rFonts w:ascii="Times New Roman" w:eastAsia="DengXian" w:hAnsi="Times New Roman" w:cs="Times New Roman"/>
                <w:kern w:val="2"/>
                <w:sz w:val="21"/>
                <w:szCs w:val="21"/>
                <w:lang w:val="en-US" w:eastAsia="zh-CN" w:bidi="ar"/>
              </w:rPr>
              <w:t>).</w:t>
            </w:r>
          </w:p>
          <w:p w14:paraId="74C71D3A" w14:textId="69FA2CFD" w:rsidR="00E64266" w:rsidRPr="00534815" w:rsidRDefault="00534815" w:rsidP="0096593C">
            <w:pPr>
              <w:rPr>
                <w:rFonts w:ascii="Times New Roman" w:eastAsiaTheme="minorEastAsia" w:hAnsi="Times New Roman" w:cs="Times New Roman"/>
                <w:sz w:val="21"/>
                <w:szCs w:val="21"/>
                <w:lang w:eastAsia="zh-CN"/>
              </w:rPr>
            </w:pPr>
            <w:r w:rsidRPr="00534815">
              <w:rPr>
                <w:rFonts w:ascii="Times New Roman" w:eastAsia="DengXian" w:hAnsi="Times New Roman" w:cs="Times New Roman"/>
                <w:kern w:val="2"/>
                <w:sz w:val="21"/>
                <w:szCs w:val="21"/>
                <w:lang w:val="en-US" w:eastAsia="zh-CN" w:bidi="ar"/>
              </w:rPr>
              <w:t>https://gwas.mrcieu.ac.uk/datasets/ebi-a-GCST90038650/ (for</w:t>
            </w:r>
            <w:r w:rsidRPr="00534815">
              <w:rPr>
                <w:rFonts w:ascii="Times New Roman" w:eastAsia="SimSun" w:hAnsi="Times New Roman" w:cs="Times New Roman"/>
                <w:kern w:val="2"/>
                <w:sz w:val="21"/>
                <w:szCs w:val="21"/>
                <w:lang w:val="en-US" w:eastAsia="zh-CN" w:bidi="ar"/>
              </w:rPr>
              <w:t xml:space="preserve"> Depression</w:t>
            </w:r>
            <w:r w:rsidRPr="00534815">
              <w:rPr>
                <w:rFonts w:ascii="Times New Roman" w:eastAsia="DengXian" w:hAnsi="Times New Roman" w:cs="Times New Roman"/>
                <w:kern w:val="2"/>
                <w:sz w:val="21"/>
                <w:szCs w:val="21"/>
                <w:lang w:val="en-US" w:eastAsia="zh-CN" w:bidi="ar"/>
              </w:rPr>
              <w:t>).</w:t>
            </w:r>
          </w:p>
        </w:tc>
      </w:tr>
      <w:tr w:rsidR="00534815" w:rsidRPr="00534815" w14:paraId="0139E86C" w14:textId="77777777">
        <w:tc>
          <w:tcPr>
            <w:tcW w:w="587" w:type="dxa"/>
            <w:tcBorders>
              <w:bottom w:val="single" w:sz="6" w:space="0" w:color="7F7F7F"/>
            </w:tcBorders>
            <w:shd w:val="clear" w:color="auto" w:fill="EEEEEE"/>
          </w:tcPr>
          <w:p w14:paraId="7CBE4F74" w14:textId="77777777" w:rsidR="00E64266" w:rsidRPr="00534815" w:rsidRDefault="00534815">
            <w:pPr>
              <w:spacing w:beforeLines="40" w:before="96" w:afterLines="40" w:after="96" w:line="24" w:lineRule="atLeast"/>
              <w:rPr>
                <w:rFonts w:ascii="Times New Roman" w:eastAsia="Times New Roman" w:hAnsi="Times New Roman" w:cs="Times New Roman"/>
                <w:b/>
                <w:bCs/>
                <w:sz w:val="21"/>
                <w:szCs w:val="21"/>
                <w:lang w:val="en-GB" w:eastAsia="en-GB"/>
              </w:rPr>
            </w:pPr>
            <w:r w:rsidRPr="00534815">
              <w:rPr>
                <w:rFonts w:ascii="Times New Roman" w:eastAsia="Times New Roman" w:hAnsi="Times New Roman" w:cs="Times New Roman"/>
                <w:sz w:val="21"/>
                <w:szCs w:val="21"/>
                <w:lang w:val="en-GB" w:eastAsia="en-GB"/>
              </w:rPr>
              <w:lastRenderedPageBreak/>
              <w:t>20</w:t>
            </w:r>
          </w:p>
        </w:tc>
        <w:tc>
          <w:tcPr>
            <w:tcW w:w="1822" w:type="dxa"/>
            <w:tcBorders>
              <w:bottom w:val="single" w:sz="6" w:space="0" w:color="7F7F7F"/>
            </w:tcBorders>
            <w:shd w:val="clear" w:color="auto" w:fill="EEEEEE"/>
          </w:tcPr>
          <w:p w14:paraId="2BFB11F9"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b/>
                <w:bCs/>
                <w:sz w:val="21"/>
                <w:szCs w:val="21"/>
                <w:lang w:val="en-GB" w:eastAsia="en-GB"/>
              </w:rPr>
              <w:t>Conflicts of Interest  </w:t>
            </w:r>
          </w:p>
        </w:tc>
        <w:tc>
          <w:tcPr>
            <w:tcW w:w="7041" w:type="dxa"/>
            <w:tcBorders>
              <w:bottom w:val="single" w:sz="6" w:space="0" w:color="7F7F7F"/>
            </w:tcBorders>
            <w:shd w:val="clear" w:color="auto" w:fill="EEEEEE"/>
          </w:tcPr>
          <w:p w14:paraId="59ED489C" w14:textId="77777777" w:rsidR="00E64266" w:rsidRPr="00534815" w:rsidRDefault="00534815">
            <w:pPr>
              <w:spacing w:beforeLines="40" w:before="96" w:afterLines="40" w:after="96" w:line="24" w:lineRule="atLeast"/>
              <w:rPr>
                <w:rFonts w:ascii="Times New Roman" w:eastAsia="Times New Roman" w:hAnsi="Times New Roman" w:cs="Times New Roman"/>
                <w:sz w:val="21"/>
                <w:szCs w:val="21"/>
                <w:lang w:val="en-GB" w:eastAsia="en-GB"/>
              </w:rPr>
            </w:pPr>
            <w:r w:rsidRPr="00534815">
              <w:rPr>
                <w:rFonts w:ascii="Times New Roman" w:eastAsia="Times New Roman" w:hAnsi="Times New Roman" w:cs="Times New Roman"/>
                <w:sz w:val="21"/>
                <w:szCs w:val="21"/>
                <w:lang w:val="en-GB" w:eastAsia="en-GB"/>
              </w:rPr>
              <w:t>All authors should declare all</w:t>
            </w:r>
            <w:r w:rsidRPr="00534815">
              <w:rPr>
                <w:rFonts w:ascii="Times New Roman" w:eastAsia="Times New Roman" w:hAnsi="Times New Roman" w:cs="Times New Roman"/>
                <w:sz w:val="21"/>
                <w:szCs w:val="21"/>
                <w:lang w:val="en-GB" w:eastAsia="en-GB"/>
              </w:rPr>
              <w:t xml:space="preserve"> potential conflicts of interest</w:t>
            </w:r>
          </w:p>
        </w:tc>
        <w:tc>
          <w:tcPr>
            <w:tcW w:w="720" w:type="dxa"/>
            <w:tcBorders>
              <w:bottom w:val="single" w:sz="6" w:space="0" w:color="7F7F7F"/>
            </w:tcBorders>
            <w:shd w:val="clear" w:color="auto" w:fill="EEEEEE"/>
          </w:tcPr>
          <w:p w14:paraId="7F0769A0" w14:textId="77777777" w:rsidR="00E64266" w:rsidRPr="00534815" w:rsidRDefault="00534815">
            <w:pPr>
              <w:spacing w:beforeLines="40" w:before="96" w:afterLines="40" w:after="96" w:line="24" w:lineRule="atLeast"/>
              <w:rPr>
                <w:rFonts w:ascii="Times New Roman" w:eastAsia="SimSun" w:hAnsi="Times New Roman" w:cs="Times New Roman"/>
                <w:sz w:val="21"/>
                <w:szCs w:val="21"/>
                <w:lang w:val="en-US" w:eastAsia="zh-CN"/>
              </w:rPr>
            </w:pPr>
            <w:r w:rsidRPr="00534815">
              <w:rPr>
                <w:rFonts w:ascii="Times New Roman" w:eastAsia="SimSun" w:hAnsi="Times New Roman" w:cs="Times New Roman"/>
                <w:sz w:val="21"/>
                <w:szCs w:val="21"/>
                <w:lang w:val="en-US" w:eastAsia="zh-CN"/>
              </w:rPr>
              <w:t>11</w:t>
            </w:r>
          </w:p>
        </w:tc>
        <w:tc>
          <w:tcPr>
            <w:tcW w:w="4320" w:type="dxa"/>
            <w:tcBorders>
              <w:bottom w:val="single" w:sz="6" w:space="0" w:color="7F7F7F"/>
            </w:tcBorders>
            <w:shd w:val="clear" w:color="auto" w:fill="EEEEEE"/>
          </w:tcPr>
          <w:p w14:paraId="5A6C20F9" w14:textId="77777777" w:rsidR="00E64266" w:rsidRPr="00534815" w:rsidRDefault="00534815">
            <w:pPr>
              <w:widowControl w:val="0"/>
              <w:spacing w:line="360" w:lineRule="auto"/>
              <w:rPr>
                <w:rFonts w:ascii="Times New Roman" w:eastAsia="Times New Roman" w:hAnsi="Times New Roman" w:cs="Times New Roman"/>
                <w:sz w:val="21"/>
                <w:szCs w:val="21"/>
                <w:lang w:val="en-GB" w:eastAsia="en-GB"/>
              </w:rPr>
            </w:pPr>
            <w:r w:rsidRPr="00534815">
              <w:rPr>
                <w:rFonts w:ascii="Times New Roman" w:eastAsia="DengXian" w:hAnsi="Times New Roman" w:cs="Times New Roman"/>
                <w:kern w:val="2"/>
                <w:sz w:val="21"/>
                <w:szCs w:val="21"/>
                <w:lang w:val="en-US" w:eastAsia="zh-CN" w:bidi="ar"/>
              </w:rPr>
              <w:t>The authors declare that they have no conflict of interest.</w:t>
            </w:r>
          </w:p>
        </w:tc>
      </w:tr>
    </w:tbl>
    <w:p w14:paraId="2596234B" w14:textId="77777777" w:rsidR="00E64266" w:rsidRPr="00534815" w:rsidRDefault="00534815">
      <w:pPr>
        <w:spacing w:before="240" w:after="240"/>
        <w:rPr>
          <w:rFonts w:ascii="Times New Roman" w:hAnsi="Times New Roman" w:cs="Times New Roman"/>
          <w:sz w:val="21"/>
          <w:szCs w:val="21"/>
        </w:rPr>
      </w:pPr>
      <w:r w:rsidRPr="00534815">
        <w:rPr>
          <w:rFonts w:ascii="Times New Roman" w:hAnsi="Times New Roman" w:cs="Times New Roman"/>
          <w:sz w:val="21"/>
          <w:szCs w:val="21"/>
        </w:rPr>
        <w:t xml:space="preserve">This checklist is copyrighted by the Equator Network under the Creative Commons Attribution 3.0 </w:t>
      </w:r>
      <w:proofErr w:type="spellStart"/>
      <w:r w:rsidRPr="00534815">
        <w:rPr>
          <w:rFonts w:ascii="Times New Roman" w:hAnsi="Times New Roman" w:cs="Times New Roman"/>
          <w:sz w:val="21"/>
          <w:szCs w:val="21"/>
        </w:rPr>
        <w:t>Unported</w:t>
      </w:r>
      <w:proofErr w:type="spellEnd"/>
      <w:r w:rsidRPr="00534815">
        <w:rPr>
          <w:rFonts w:ascii="Times New Roman" w:hAnsi="Times New Roman" w:cs="Times New Roman"/>
          <w:sz w:val="21"/>
          <w:szCs w:val="21"/>
        </w:rPr>
        <w:t xml:space="preserve"> (CC BY 3.0) license.</w:t>
      </w:r>
    </w:p>
    <w:p w14:paraId="0BD4C699" w14:textId="77777777" w:rsidR="00E64266" w:rsidRPr="00534815" w:rsidRDefault="00534815">
      <w:pPr>
        <w:widowControl w:val="0"/>
        <w:autoSpaceDE w:val="0"/>
        <w:autoSpaceDN w:val="0"/>
        <w:adjustRightInd w:val="0"/>
        <w:spacing w:before="240" w:after="240" w:line="240" w:lineRule="auto"/>
        <w:ind w:left="640" w:hanging="640"/>
        <w:rPr>
          <w:rFonts w:ascii="Times New Roman" w:hAnsi="Times New Roman" w:cs="Times New Roman"/>
          <w:sz w:val="21"/>
          <w:szCs w:val="21"/>
        </w:rPr>
      </w:pPr>
      <w:r w:rsidRPr="00534815">
        <w:rPr>
          <w:rFonts w:ascii="Times New Roman" w:hAnsi="Times New Roman" w:cs="Times New Roman"/>
          <w:sz w:val="21"/>
          <w:szCs w:val="21"/>
        </w:rPr>
        <w:fldChar w:fldCharType="begin" w:fldLock="1"/>
      </w:r>
      <w:r w:rsidRPr="00534815">
        <w:rPr>
          <w:rFonts w:ascii="Times New Roman" w:hAnsi="Times New Roman" w:cs="Times New Roman"/>
          <w:sz w:val="21"/>
          <w:szCs w:val="21"/>
        </w:rPr>
        <w:instrText xml:space="preserve">ADDIN Mendeley Bibliography CSL_BIBLIOGRAPHY </w:instrText>
      </w:r>
      <w:r w:rsidRPr="00534815">
        <w:rPr>
          <w:rFonts w:ascii="Times New Roman" w:hAnsi="Times New Roman" w:cs="Times New Roman"/>
          <w:sz w:val="21"/>
          <w:szCs w:val="21"/>
        </w:rPr>
        <w:fldChar w:fldCharType="separate"/>
      </w:r>
      <w:r w:rsidRPr="00534815">
        <w:rPr>
          <w:rFonts w:ascii="Times New Roman" w:hAnsi="Times New Roman" w:cs="Times New Roman"/>
          <w:sz w:val="21"/>
          <w:szCs w:val="21"/>
        </w:rPr>
        <w:t xml:space="preserve">1. </w:t>
      </w:r>
      <w:r w:rsidRPr="00534815">
        <w:rPr>
          <w:rFonts w:ascii="Times New Roman" w:hAnsi="Times New Roman" w:cs="Times New Roman"/>
          <w:sz w:val="21"/>
          <w:szCs w:val="21"/>
        </w:rPr>
        <w:tab/>
        <w:t xml:space="preserve">Skrivankova VW, Richmond RC, Woolf BAR, Yarmolinsky J, Davies NM, Swanson SA, et al. Strengthening the Reporting of Observational Studies in Epidemiology using Mendelian Randomization (STROBE-MR) Statement. </w:t>
      </w:r>
      <w:r w:rsidRPr="00534815">
        <w:rPr>
          <w:rFonts w:ascii="Times New Roman" w:hAnsi="Times New Roman" w:cs="Times New Roman"/>
          <w:sz w:val="21"/>
          <w:szCs w:val="21"/>
        </w:rPr>
        <w:t xml:space="preserve">JAMA. 2021;under review. </w:t>
      </w:r>
    </w:p>
    <w:p w14:paraId="7CD38C18" w14:textId="77777777" w:rsidR="00E64266" w:rsidRPr="00534815" w:rsidRDefault="00534815">
      <w:pPr>
        <w:widowControl w:val="0"/>
        <w:autoSpaceDE w:val="0"/>
        <w:autoSpaceDN w:val="0"/>
        <w:adjustRightInd w:val="0"/>
        <w:spacing w:before="240" w:after="240" w:line="240" w:lineRule="auto"/>
        <w:ind w:left="640" w:hanging="640"/>
        <w:rPr>
          <w:rFonts w:ascii="Times New Roman" w:hAnsi="Times New Roman" w:cs="Times New Roman"/>
          <w:sz w:val="21"/>
          <w:szCs w:val="21"/>
        </w:rPr>
      </w:pPr>
      <w:r w:rsidRPr="00534815">
        <w:rPr>
          <w:rFonts w:ascii="Times New Roman" w:hAnsi="Times New Roman" w:cs="Times New Roman"/>
          <w:sz w:val="21"/>
          <w:szCs w:val="21"/>
        </w:rPr>
        <w:t xml:space="preserve">2. </w:t>
      </w:r>
      <w:r w:rsidRPr="00534815">
        <w:rPr>
          <w:rFonts w:ascii="Times New Roman" w:hAnsi="Times New Roman" w:cs="Times New Roman"/>
          <w:sz w:val="21"/>
          <w:szCs w:val="21"/>
        </w:rPr>
        <w:tab/>
        <w:t>Skrivankova VW, Richmond RC, Woolf BAR, Davies NM, Swanson SA, VanderWeele TJ, et al. Strengthening the Reporting of Observational Studies in Epidemiology using Mendelian Randomisation (STROBE-MR): Explanation and Elaboration.</w:t>
      </w:r>
      <w:r w:rsidRPr="00534815">
        <w:rPr>
          <w:rFonts w:ascii="Times New Roman" w:hAnsi="Times New Roman" w:cs="Times New Roman"/>
          <w:sz w:val="21"/>
          <w:szCs w:val="21"/>
        </w:rPr>
        <w:t xml:space="preserve"> BMJ. 2021;375:n2233. </w:t>
      </w:r>
    </w:p>
    <w:p w14:paraId="5AB2793A" w14:textId="77777777" w:rsidR="00E64266" w:rsidRPr="00534815" w:rsidRDefault="00534815">
      <w:pPr>
        <w:spacing w:before="240" w:after="240"/>
        <w:rPr>
          <w:rFonts w:ascii="Times New Roman" w:hAnsi="Times New Roman" w:cs="Times New Roman"/>
          <w:sz w:val="21"/>
          <w:szCs w:val="21"/>
        </w:rPr>
      </w:pPr>
      <w:r w:rsidRPr="00534815">
        <w:rPr>
          <w:rFonts w:ascii="Times New Roman" w:hAnsi="Times New Roman" w:cs="Times New Roman"/>
          <w:sz w:val="21"/>
          <w:szCs w:val="21"/>
        </w:rPr>
        <w:fldChar w:fldCharType="end"/>
      </w:r>
    </w:p>
    <w:sectPr w:rsidR="00E64266" w:rsidRPr="00534815" w:rsidSect="00534815">
      <w:footerReference w:type="even" r:id="rId11"/>
      <w:footerReference w:type="default" r:id="rId12"/>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CCE23" w14:textId="77777777" w:rsidR="00C65D73" w:rsidRDefault="00C65D73">
      <w:pPr>
        <w:spacing w:line="240" w:lineRule="auto"/>
      </w:pPr>
      <w:r>
        <w:separator/>
      </w:r>
    </w:p>
  </w:endnote>
  <w:endnote w:type="continuationSeparator" w:id="0">
    <w:p w14:paraId="50AF796B" w14:textId="77777777" w:rsidR="00C65D73" w:rsidRDefault="00C65D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Arial Unicode MS"/>
    <w:charset w:val="86"/>
    <w:family w:val="auto"/>
    <w:pitch w:val="variable"/>
    <w:sig w:usb0="00000000" w:usb1="38CF7CFA" w:usb2="00000016" w:usb3="00000000" w:csb0="0004000F" w:csb1="00000000"/>
  </w:font>
  <w:font w:name="DengXian Light">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72B70" w14:textId="77777777" w:rsidR="00E64266" w:rsidRDefault="00E64266">
    <w:pPr>
      <w:pStyle w:val="Footer"/>
      <w:framePr w:wrap="auto" w:vAnchor="text" w:hAnchor="margin" w:xAlign="right" w:y="1"/>
      <w:rPr>
        <w:rStyle w:val="PageNumber"/>
      </w:rPr>
    </w:pPr>
  </w:p>
  <w:p w14:paraId="13FA5383" w14:textId="77777777" w:rsidR="00E64266" w:rsidRDefault="00E6426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EF0A1" w14:textId="77777777" w:rsidR="00E64266" w:rsidRDefault="00534815">
    <w:pPr>
      <w:pStyle w:val="Footer"/>
      <w:jc w:val="right"/>
    </w:pPr>
    <w:r>
      <w:fldChar w:fldCharType="begin"/>
    </w:r>
    <w:r>
      <w:instrText xml:space="preserve"> PAGE   \* MERGEFORMAT </w:instrText>
    </w:r>
    <w:r>
      <w:fldChar w:fldCharType="separate"/>
    </w:r>
    <w:r>
      <w:rPr>
        <w:noProof/>
      </w:rPr>
      <w:t>12</w:t>
    </w:r>
    <w:r>
      <w:fldChar w:fldCharType="end"/>
    </w:r>
  </w:p>
  <w:p w14:paraId="2B122BE7" w14:textId="77777777" w:rsidR="00E64266" w:rsidRDefault="00E6426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AE8EB" w14:textId="77777777" w:rsidR="00C65D73" w:rsidRDefault="00C65D73">
      <w:r>
        <w:separator/>
      </w:r>
    </w:p>
  </w:footnote>
  <w:footnote w:type="continuationSeparator" w:id="0">
    <w:p w14:paraId="549B913A" w14:textId="77777777" w:rsidR="00C65D73" w:rsidRDefault="00C65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2ZWExMDIwMTAyNTlkY2I3MDQ0MGE2NzkwYzQ5NGQifQ=="/>
  </w:docVars>
  <w:rsids>
    <w:rsidRoot w:val="00914C56"/>
    <w:rsid w:val="00047A2C"/>
    <w:rsid w:val="000A4CE8"/>
    <w:rsid w:val="00112814"/>
    <w:rsid w:val="00251C61"/>
    <w:rsid w:val="002663E6"/>
    <w:rsid w:val="003D447D"/>
    <w:rsid w:val="003D47DD"/>
    <w:rsid w:val="004B5CBB"/>
    <w:rsid w:val="004E11D4"/>
    <w:rsid w:val="00514462"/>
    <w:rsid w:val="00534815"/>
    <w:rsid w:val="005520ED"/>
    <w:rsid w:val="005A0D0D"/>
    <w:rsid w:val="0066620C"/>
    <w:rsid w:val="00685D31"/>
    <w:rsid w:val="006912BF"/>
    <w:rsid w:val="006A41D0"/>
    <w:rsid w:val="006B08D5"/>
    <w:rsid w:val="007A0455"/>
    <w:rsid w:val="007A0E2E"/>
    <w:rsid w:val="007E0C04"/>
    <w:rsid w:val="00804498"/>
    <w:rsid w:val="00914C56"/>
    <w:rsid w:val="00950729"/>
    <w:rsid w:val="0096593C"/>
    <w:rsid w:val="009854A9"/>
    <w:rsid w:val="009D4A4B"/>
    <w:rsid w:val="009E033F"/>
    <w:rsid w:val="00BB6328"/>
    <w:rsid w:val="00C65D73"/>
    <w:rsid w:val="00D2382B"/>
    <w:rsid w:val="00D65199"/>
    <w:rsid w:val="00D8098C"/>
    <w:rsid w:val="00E64266"/>
    <w:rsid w:val="00ED48A3"/>
    <w:rsid w:val="00EF4B94"/>
    <w:rsid w:val="00FF794E"/>
    <w:rsid w:val="014C1394"/>
    <w:rsid w:val="05F72E03"/>
    <w:rsid w:val="07195ED0"/>
    <w:rsid w:val="07A00504"/>
    <w:rsid w:val="07DC081F"/>
    <w:rsid w:val="0BEA40E5"/>
    <w:rsid w:val="100C0C1E"/>
    <w:rsid w:val="119360D6"/>
    <w:rsid w:val="12B41104"/>
    <w:rsid w:val="14AE3227"/>
    <w:rsid w:val="16024CD6"/>
    <w:rsid w:val="197917AB"/>
    <w:rsid w:val="1AF71484"/>
    <w:rsid w:val="1BA06FF1"/>
    <w:rsid w:val="204E7A91"/>
    <w:rsid w:val="205E04E8"/>
    <w:rsid w:val="21084DEC"/>
    <w:rsid w:val="21C11B03"/>
    <w:rsid w:val="21C54F3E"/>
    <w:rsid w:val="222B5EB7"/>
    <w:rsid w:val="23931F66"/>
    <w:rsid w:val="24E129E6"/>
    <w:rsid w:val="285508BC"/>
    <w:rsid w:val="28A30A10"/>
    <w:rsid w:val="28EB22EE"/>
    <w:rsid w:val="290C07F0"/>
    <w:rsid w:val="2A4D466A"/>
    <w:rsid w:val="2CF03A90"/>
    <w:rsid w:val="2CFB648A"/>
    <w:rsid w:val="2D7D16EA"/>
    <w:rsid w:val="2E8B6BCA"/>
    <w:rsid w:val="2F1C004F"/>
    <w:rsid w:val="30F5600E"/>
    <w:rsid w:val="31735066"/>
    <w:rsid w:val="31D77266"/>
    <w:rsid w:val="32F52BCB"/>
    <w:rsid w:val="38B22D66"/>
    <w:rsid w:val="38F247F4"/>
    <w:rsid w:val="3A184B1B"/>
    <w:rsid w:val="3A8B592D"/>
    <w:rsid w:val="3DC06319"/>
    <w:rsid w:val="3DF64D47"/>
    <w:rsid w:val="3FD876AC"/>
    <w:rsid w:val="417031BB"/>
    <w:rsid w:val="427C033D"/>
    <w:rsid w:val="4304536D"/>
    <w:rsid w:val="43652B30"/>
    <w:rsid w:val="44B2001A"/>
    <w:rsid w:val="44EF0E8E"/>
    <w:rsid w:val="47AA6250"/>
    <w:rsid w:val="47D3493F"/>
    <w:rsid w:val="4A321846"/>
    <w:rsid w:val="4B5A1437"/>
    <w:rsid w:val="4F2852AB"/>
    <w:rsid w:val="4FD27302"/>
    <w:rsid w:val="5764742A"/>
    <w:rsid w:val="58F42EB1"/>
    <w:rsid w:val="5EB37FD7"/>
    <w:rsid w:val="5F630463"/>
    <w:rsid w:val="5FFA30AD"/>
    <w:rsid w:val="6C315445"/>
    <w:rsid w:val="6D203E37"/>
    <w:rsid w:val="6DE524CF"/>
    <w:rsid w:val="6DF62E78"/>
    <w:rsid w:val="6EFF5CCE"/>
    <w:rsid w:val="709C21CE"/>
    <w:rsid w:val="757A29FB"/>
    <w:rsid w:val="774424D0"/>
    <w:rsid w:val="77F0668A"/>
    <w:rsid w:val="79681DB5"/>
    <w:rsid w:val="7A1B47AA"/>
    <w:rsid w:val="7B555980"/>
    <w:rsid w:val="7BAD002C"/>
    <w:rsid w:val="7C4D42B1"/>
    <w:rsid w:val="7E90708F"/>
    <w:rsid w:val="7F8202AE"/>
    <w:rsid w:val="7F945FB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813C3"/>
  <w15:docId w15:val="{79E9F344-12C9-486D-82F6-8CF5D5516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rPr>
      <w:rFonts w:ascii="Arial" w:eastAsia="Arial" w:hAnsi="Arial" w:cs="Arial"/>
      <w:sz w:val="22"/>
      <w:szCs w:val="22"/>
      <w:lang w:val="en"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line="240" w:lineRule="auto"/>
    </w:pPr>
  </w:style>
  <w:style w:type="paragraph" w:styleId="Header">
    <w:name w:val="header"/>
    <w:basedOn w:val="Normal"/>
    <w:link w:val="HeaderChar"/>
    <w:uiPriority w:val="99"/>
    <w:unhideWhenUsed/>
    <w:pPr>
      <w:tabs>
        <w:tab w:val="center" w:pos="4153"/>
        <w:tab w:val="right" w:pos="8306"/>
      </w:tabs>
      <w:snapToGrid w:val="0"/>
      <w:spacing w:line="240" w:lineRule="auto"/>
      <w:jc w:val="center"/>
    </w:pPr>
    <w:rPr>
      <w:sz w:val="18"/>
      <w:szCs w:val="18"/>
    </w:rPr>
  </w:style>
  <w:style w:type="character" w:styleId="PageNumber">
    <w:name w:val="page number"/>
    <w:basedOn w:val="DefaultParagraphFont"/>
    <w:uiPriority w:val="99"/>
    <w:semiHidden/>
    <w:unhideWhenUsed/>
    <w:qFormat/>
  </w:style>
  <w:style w:type="character" w:styleId="FollowedHyperlink">
    <w:name w:val="FollowedHyperlink"/>
    <w:basedOn w:val="DefaultParagraphFont"/>
    <w:uiPriority w:val="99"/>
    <w:semiHidden/>
    <w:unhideWhenUsed/>
    <w:rPr>
      <w:color w:val="954F72"/>
      <w:u w:val="single"/>
    </w:rPr>
  </w:style>
  <w:style w:type="character" w:styleId="LineNumber">
    <w:name w:val="line number"/>
    <w:basedOn w:val="DefaultParagraphFont"/>
    <w:uiPriority w:val="99"/>
    <w:semiHidden/>
    <w:unhideWhenUsed/>
    <w:qFormat/>
  </w:style>
  <w:style w:type="character" w:styleId="Hyperlink">
    <w:name w:val="Hyperlink"/>
    <w:basedOn w:val="DefaultParagraphFont"/>
    <w:uiPriority w:val="99"/>
    <w:semiHidden/>
    <w:unhideWhenUsed/>
    <w:rPr>
      <w:color w:val="0563C1"/>
      <w:u w:val="single"/>
    </w:rPr>
  </w:style>
  <w:style w:type="character" w:customStyle="1" w:styleId="FooterChar">
    <w:name w:val="Footer Char"/>
    <w:basedOn w:val="DefaultParagraphFont"/>
    <w:link w:val="Footer"/>
    <w:uiPriority w:val="99"/>
    <w:qFormat/>
    <w:rPr>
      <w:rFonts w:ascii="Arial" w:eastAsia="Arial" w:hAnsi="Arial" w:cs="Arial"/>
      <w:lang w:val="en" w:eastAsia="de-CH"/>
    </w:rPr>
  </w:style>
  <w:style w:type="character" w:customStyle="1" w:styleId="HeaderChar">
    <w:name w:val="Header Char"/>
    <w:basedOn w:val="DefaultParagraphFont"/>
    <w:link w:val="Header"/>
    <w:uiPriority w:val="99"/>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gwas.mrcieu.ac.uk/datasets/ieu-b-5067/%20(for"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3.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CC0FB1-F7C4-4CF8-91A8-79458DA7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12</Pages>
  <Words>4287</Words>
  <Characters>24437</Characters>
  <Application>Microsoft Office Word</Application>
  <DocSecurity>0</DocSecurity>
  <Lines>203</Lines>
  <Paragraphs>57</Paragraphs>
  <ScaleCrop>false</ScaleCrop>
  <Company>University of Bern</Company>
  <LinksUpToDate>false</LinksUpToDate>
  <CharactersWithSpaces>28667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Whitesell, Veronika (ISPM)</dc:creator>
  <cp:lastModifiedBy>Sakeena Begum Hussain</cp:lastModifiedBy>
  <cp:revision>6</cp:revision>
  <cp:lastPrinted>2021-09-28T07:08:00Z</cp:lastPrinted>
  <dcterms:created xsi:type="dcterms:W3CDTF">2025-02-26T12:01:00Z</dcterms:created>
  <dcterms:modified xsi:type="dcterms:W3CDTF">2025-03-24T02:42:00Z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2052-12.1.0.20305</vt:lpwstr>
  </property>
  <property fmtid="{D5CDD505-2E9C-101B-9397-08002B2CF9AE}" pid="27" name="ICV">
    <vt:lpwstr>8800B848B89C451194DFA9360C4391EF_12</vt:lpwstr>
  </property>
  <property fmtid="{D5CDD505-2E9C-101B-9397-08002B2CF9AE}" pid="28" name="KSOTemplateDocerSaveRecord">
    <vt:lpwstr>eyJoZGlkIjoiYzNhNzBjMDNjNTIxNjEzYTU5NmQyNzgwNmU5YjA3NzciLCJ1c2VySWQiOiI0NDgyNTczODQifQ==</vt:lpwstr>
  </property>
</Properties>
</file>