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A95" w:rsidRPr="00BD1A95" w:rsidRDefault="00BD1A95" w:rsidP="00BD1A95">
      <w:pPr>
        <w:pStyle w:val="Manuscriptbodytitle"/>
        <w:spacing w:line="360" w:lineRule="auto"/>
        <w:rPr>
          <w:sz w:val="40"/>
          <w:szCs w:val="40"/>
        </w:rPr>
      </w:pPr>
      <w:r w:rsidRPr="00BD1A95">
        <w:rPr>
          <w:sz w:val="40"/>
          <w:szCs w:val="40"/>
        </w:rPr>
        <w:t>SUPPLEMENTARY DATA</w:t>
      </w:r>
    </w:p>
    <w:p w:rsidR="00BD1A95" w:rsidRPr="00BD1A95" w:rsidRDefault="00BD1A95" w:rsidP="00BD1A95">
      <w:pPr>
        <w:pStyle w:val="Manuscriptbodytitle"/>
        <w:spacing w:line="360" w:lineRule="auto"/>
        <w:rPr>
          <w:sz w:val="40"/>
          <w:szCs w:val="40"/>
        </w:rPr>
      </w:pPr>
      <w:bookmarkStart w:id="0" w:name="Suppl1_StudyDesign"/>
      <w:r w:rsidRPr="00BD1A95">
        <w:rPr>
          <w:sz w:val="40"/>
          <w:szCs w:val="40"/>
        </w:rPr>
        <w:t xml:space="preserve">Supplementary Fig. 1 </w:t>
      </w:r>
      <w:r w:rsidRPr="00BD1A95">
        <w:rPr>
          <w:b w:val="0"/>
          <w:sz w:val="40"/>
          <w:szCs w:val="40"/>
        </w:rPr>
        <w:t>Study design</w:t>
      </w:r>
    </w:p>
    <w:bookmarkEnd w:id="0"/>
    <w:p w:rsidR="00BD1A95" w:rsidRPr="00BD1A95" w:rsidRDefault="00BD1A95" w:rsidP="00BD1A95">
      <w:pPr>
        <w:pStyle w:val="Manuscriptbody"/>
        <w:rPr>
          <w:sz w:val="40"/>
          <w:szCs w:val="40"/>
          <w:lang w:val="en-US"/>
        </w:rPr>
      </w:pPr>
      <w:r w:rsidRPr="00BD1A95">
        <w:rPr>
          <w:noProof/>
          <w:sz w:val="40"/>
          <w:szCs w:val="40"/>
          <w:lang w:val="en-IN" w:eastAsia="en-IN"/>
        </w:rPr>
        <w:drawing>
          <wp:inline distT="0" distB="0" distL="0" distR="0" wp14:anchorId="5E7FF852" wp14:editId="6E663B2D">
            <wp:extent cx="8864600" cy="1998345"/>
            <wp:effectExtent l="0" t="0" r="0" b="825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95" w:rsidRPr="00BD1A95" w:rsidRDefault="00BD1A95" w:rsidP="00BD1A95">
      <w:pPr>
        <w:pStyle w:val="Manuscriptbody"/>
        <w:rPr>
          <w:b/>
          <w:sz w:val="40"/>
          <w:szCs w:val="40"/>
          <w:lang w:val="en-US"/>
        </w:rPr>
        <w:sectPr w:rsidR="00BD1A95" w:rsidRPr="00BD1A95" w:rsidSect="00BD1A95">
          <w:headerReference w:type="default" r:id="rId5"/>
          <w:footerReference w:type="default" r:id="rId6"/>
          <w:pgSz w:w="16840" w:h="11900" w:orient="landscape"/>
          <w:pgMar w:top="1797" w:right="1440" w:bottom="1797" w:left="1440" w:header="709" w:footer="709" w:gutter="0"/>
          <w:cols w:space="708"/>
          <w:docGrid w:linePitch="326"/>
        </w:sectPr>
      </w:pPr>
      <w:r w:rsidRPr="00BD1A95">
        <w:rPr>
          <w:sz w:val="40"/>
          <w:szCs w:val="40"/>
          <w:lang w:val="en-US"/>
        </w:rPr>
        <w:t>Q: quarter.</w:t>
      </w:r>
    </w:p>
    <w:p w:rsidR="00BD1A95" w:rsidRPr="00BD1A95" w:rsidRDefault="00BD1A95" w:rsidP="00BD1A95">
      <w:pPr>
        <w:spacing w:line="360" w:lineRule="auto"/>
        <w:outlineLvl w:val="0"/>
        <w:rPr>
          <w:rFonts w:ascii="Tahoma" w:hAnsi="Tahoma" w:cs="Tahoma"/>
          <w:b/>
          <w:sz w:val="40"/>
          <w:szCs w:val="40"/>
          <w:lang w:val="en-US"/>
        </w:rPr>
      </w:pPr>
      <w:bookmarkStart w:id="1" w:name="Suppl2_SubsequentFracturesTypeSexAge"/>
      <w:r w:rsidRPr="00BD1A95">
        <w:rPr>
          <w:rFonts w:ascii="Tahoma" w:hAnsi="Tahoma" w:cs="Tahoma"/>
          <w:b/>
          <w:sz w:val="40"/>
          <w:szCs w:val="40"/>
          <w:lang w:val="en-US"/>
        </w:rPr>
        <w:t xml:space="preserve">Supplementary Table 1 </w:t>
      </w:r>
      <w:r w:rsidRPr="00BD1A95">
        <w:rPr>
          <w:rFonts w:ascii="Tahoma" w:hAnsi="Tahoma" w:cs="Tahoma"/>
          <w:sz w:val="40"/>
          <w:szCs w:val="40"/>
          <w:lang w:val="en-US"/>
        </w:rPr>
        <w:t>Candidate risk factors for subsequent fracture included in the Cox proportional hazards models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0"/>
        <w:gridCol w:w="4250"/>
      </w:tblGrid>
      <w:tr w:rsidR="00BD1A95" w:rsidRPr="00BD1A95" w:rsidTr="00D73210">
        <w:trPr>
          <w:tblHeader/>
        </w:trPr>
        <w:tc>
          <w:tcPr>
            <w:tcW w:w="3256" w:type="dxa"/>
            <w:shd w:val="solid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Variable</w:t>
            </w:r>
          </w:p>
        </w:tc>
        <w:tc>
          <w:tcPr>
            <w:tcW w:w="5034" w:type="dxa"/>
            <w:shd w:val="solid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Description, diagnostic and/or prescription code(s)</w:t>
            </w:r>
          </w:p>
        </w:tc>
      </w:tr>
      <w:tr w:rsidR="00BD1A95" w:rsidRPr="00BD1A95" w:rsidTr="00D73210">
        <w:tc>
          <w:tcPr>
            <w:tcW w:w="3256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Age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50–59, 60–69, 70–79, 80–89 or ≥90 years</w:t>
            </w:r>
          </w:p>
        </w:tc>
      </w:tr>
      <w:tr w:rsidR="00BD1A95" w:rsidRPr="00BD1A95" w:rsidTr="00D73210">
        <w:tc>
          <w:tcPr>
            <w:tcW w:w="3256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Sex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Male or female</w:t>
            </w:r>
          </w:p>
        </w:tc>
      </w:tr>
      <w:tr w:rsidR="00BD1A95" w:rsidRPr="00BD1A95" w:rsidTr="00D73210">
        <w:tc>
          <w:tcPr>
            <w:tcW w:w="3256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Index fracture type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S72 (hip/femur fracture); ICD T08, S12, S22, S32 (vertebral fracture); ICD S52, S62 (forearm/wrist/hand fracture); ICD S42 (shoulder/upper arm fracture); ICD S22, S32, S42, S52, S72 (MOF)</w:t>
            </w:r>
          </w:p>
        </w:tc>
      </w:tr>
      <w:tr w:rsidR="00BD1A95" w:rsidRPr="00BD1A95" w:rsidTr="00D73210">
        <w:tc>
          <w:tcPr>
            <w:tcW w:w="3256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Charlson Comorbidity Index (CCI)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 xml:space="preserve">Calculated following the updated methodology suggested by Quan et al. </w:t>
            </w:r>
            <w:hyperlink w:anchor="_ENREF_45" w:tooltip="Quan, 2011 #53" w:history="1"/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fldChar w:fldCharType="begin"/>
            </w: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instrText xml:space="preserve"> ADDIN EN.CITE &lt;EndNote&gt;&lt;Cite&gt;&lt;Author&gt;Quan&lt;/Author&gt;&lt;Year&gt;2011&lt;/Year&gt;&lt;RecNum&gt;43&lt;/RecNum&gt;&lt;DisplayText&gt;[46]&lt;/DisplayText&gt;&lt;record&gt;&lt;rec-number&gt;43&lt;/rec-number&gt;&lt;foreign-keys&gt;&lt;key app="EN" db-id="e50wpd0ecp2sagefzf15pxvsz055wxep2vfa" timestamp="1617777254"&gt;43&lt;/key&gt;&lt;/foreign-keys&gt;&lt;ref-type name="Journal Article"&gt;17&lt;/ref-type&gt;&lt;contributors&gt;&lt;authors&gt;&lt;author&gt;Quan, Hude&lt;/author&gt;&lt;author&gt;Li, Bing&lt;/author&gt;&lt;author&gt;Couris, Chantal M.&lt;/author&gt;&lt;author&gt;Fushimi, Kiyohide&lt;/author&gt;&lt;author&gt;Graham, Patrick&lt;/author&gt;&lt;author&gt;Hider, Phil&lt;/author&gt;&lt;author&gt;Januel, Jean-Marie&lt;/author&gt;&lt;author&gt;Sundararajan, Vijaya&lt;/author&gt;&lt;/authors&gt;&lt;/contributors&gt;&lt;titles&gt;&lt;title&gt;Updating and Validating the Charlson Comorbidity Index and Score for Risk Adjustment in Hospital Discharge Abstracts Using Data From 6 Countries&lt;/title&gt;&lt;secondary-title&gt;American Journal of Epidemiology&lt;/secondary-title&gt;&lt;/titles&gt;&lt;periodical&gt;&lt;full-title&gt;Am J Epidemiol&lt;/full-title&gt;&lt;abbr-1&gt;American journal of epidemiology&lt;/abbr-1&gt;&lt;/periodical&gt;&lt;pages&gt;676-682&lt;/pages&gt;&lt;volume&gt;173&lt;/volume&gt;&lt;number&gt;6&lt;/number&gt;&lt;dates&gt;&lt;year&gt;2011&lt;/year&gt;&lt;/dates&gt;&lt;isbn&gt;0002-9262&lt;/isbn&gt;&lt;urls&gt;&lt;related-urls&gt;&lt;url&gt;https://doi.org/10.1093/aje/kwq433&lt;/url&gt;&lt;/related-urls&gt;&lt;/urls&gt;&lt;electronic-resource-num&gt;10.1093/aje/kwq433&lt;/electronic-resource-num&gt;&lt;access-date&gt;7/16/2019&lt;/access-date&gt;&lt;/record&gt;&lt;/Cite&gt;&lt;/EndNote&gt;</w:instrText>
            </w: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fldChar w:fldCharType="separate"/>
            </w:r>
            <w:r w:rsidRPr="00BD1A95">
              <w:rPr>
                <w:rFonts w:ascii="Tahoma" w:hAnsi="Tahoma" w:cs="Tahoma"/>
                <w:noProof/>
                <w:sz w:val="40"/>
                <w:szCs w:val="40"/>
                <w:lang w:val="en-US"/>
              </w:rPr>
              <w:t>[</w:t>
            </w:r>
            <w:hyperlink w:anchor="_ENREF_46" w:tooltip="Quan, 2011 #43" w:history="1">
              <w:r w:rsidRPr="00BD1A95">
                <w:rPr>
                  <w:rFonts w:ascii="Tahoma" w:hAnsi="Tahoma" w:cs="Tahoma"/>
                  <w:noProof/>
                  <w:sz w:val="40"/>
                  <w:szCs w:val="40"/>
                  <w:lang w:val="en-US"/>
                </w:rPr>
                <w:t>46</w:t>
              </w:r>
            </w:hyperlink>
            <w:r w:rsidRPr="00BD1A95">
              <w:rPr>
                <w:rFonts w:ascii="Tahoma" w:hAnsi="Tahoma" w:cs="Tahoma"/>
                <w:noProof/>
                <w:sz w:val="40"/>
                <w:szCs w:val="40"/>
                <w:lang w:val="en-US"/>
              </w:rPr>
              <w:t>]</w:t>
            </w: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fldChar w:fldCharType="end"/>
            </w:r>
          </w:p>
        </w:tc>
      </w:tr>
      <w:tr w:rsidR="00BD1A95" w:rsidRPr="00BD1A95" w:rsidTr="00D73210">
        <w:tc>
          <w:tcPr>
            <w:tcW w:w="8290" w:type="dxa"/>
            <w:gridSpan w:val="2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b/>
                <w:sz w:val="40"/>
                <w:szCs w:val="40"/>
                <w:lang w:val="en-US"/>
              </w:rPr>
              <w:t>Osteoporosis medication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Bisphosphonates only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M05BA04 (alendronate), ATC M05BA07 (risedronate), ATC M05BA06 (ibandronate), ATC M05BA08 (zoledronate)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Other osteoporosis medication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G03XC01 (raloxifene), ATC M05BX04 (denosumab), ATC H05AA02 (teriparatide), ATC H05AA03 (parathyroid hormone), ATC M05BX03 (strontium ranelate)</w:t>
            </w:r>
          </w:p>
        </w:tc>
      </w:tr>
      <w:tr w:rsidR="00BD1A95" w:rsidRPr="00BD1A95" w:rsidTr="00D73210">
        <w:tc>
          <w:tcPr>
            <w:tcW w:w="8290" w:type="dxa"/>
            <w:gridSpan w:val="2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b/>
                <w:sz w:val="40"/>
                <w:szCs w:val="40"/>
                <w:lang w:val="en-US"/>
              </w:rPr>
              <w:t>Non-osteoporosis medication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Antidepressants</w:t>
            </w:r>
            <w:r w:rsidRPr="00BD1A95">
              <w:rPr>
                <w:rFonts w:ascii="Tahoma" w:hAnsi="Tahoma" w:cs="Tahoma"/>
                <w:sz w:val="40"/>
                <w:szCs w:val="40"/>
                <w:vertAlign w:val="superscript"/>
                <w:lang w:val="en-US"/>
              </w:rPr>
              <w:t>a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N064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Aromatase inhibitors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L02BG03 (anastrozol), ATC L02BG04 (letrozol), ATC L02BG06 (exemestan)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Diuretics</w:t>
            </w:r>
            <w:r w:rsidRPr="00BD1A95">
              <w:rPr>
                <w:rFonts w:ascii="Tahoma" w:hAnsi="Tahoma" w:cs="Tahoma"/>
                <w:sz w:val="40"/>
                <w:szCs w:val="40"/>
                <w:vertAlign w:val="superscript"/>
                <w:lang w:val="en-US"/>
              </w:rPr>
              <w:t>a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C03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Glucocorticoids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H02AB03 (fluocortolone), ATC H02AB04 (methylprednisolone), ATC H02AB06 (prednisolone), ATC H02AB07 (prednisone), ATC H02AB08 (triamcinolone), ATC H02AB09 (hydrocortisone), ATC H02AB10 (cortisone), ATC H02AB11 (prednylidene), ATC H02AB13 (deflazacort)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Hormonablative therapy/antiandrogen therapy in males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 xml:space="preserve">ATC G03BA (3-oxoandrosten-(4) derivatives), </w:t>
            </w:r>
            <w:r w:rsidRPr="00BD1A95">
              <w:rPr>
                <w:rFonts w:ascii="Tahoma" w:hAnsi="Tahoma" w:cs="Tahoma"/>
                <w:sz w:val="40"/>
                <w:szCs w:val="40"/>
                <w:lang w:val="de-DE"/>
              </w:rPr>
              <w:t xml:space="preserve">ATC </w:t>
            </w: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G03BB (5-androstanon-(3) derivatives)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Fall-inducing medications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N05C (sedatives and hypnotics), ATC N06A (antidepressants), ATC N04 (anti-Parkinson’s), C03 (diuretics), ATC C02 (anti-hypertensives)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Proton pump inhibitor (PPI)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A02BC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Thiazolidindiones (glitazones) in females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ATC A10BG</w:t>
            </w:r>
          </w:p>
        </w:tc>
      </w:tr>
      <w:tr w:rsidR="00BD1A95" w:rsidRPr="00BD1A95" w:rsidTr="00D73210">
        <w:tc>
          <w:tcPr>
            <w:tcW w:w="8290" w:type="dxa"/>
            <w:gridSpan w:val="2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b/>
                <w:sz w:val="40"/>
                <w:szCs w:val="40"/>
                <w:lang w:val="en-US"/>
              </w:rPr>
              <w:t>Non-osteoporosis medical conditions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Stroke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I60.*, ICD I61.*, ICD I62.*, ICD I63.*, ICD I64.*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Myocardial infarction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I20.*, ICD I21.*, ICD I22.*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Ankylosing spondylitis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M45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Chronic obstructive pulmonary disease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pStyle w:val="Default"/>
              <w:spacing w:line="360" w:lineRule="auto"/>
              <w:rPr>
                <w:rFonts w:ascii="Tahoma" w:hAnsi="Tahoma" w:cs="Tahoma"/>
                <w:color w:val="auto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color w:val="auto"/>
                <w:sz w:val="40"/>
                <w:szCs w:val="40"/>
                <w:lang w:val="en-US"/>
              </w:rPr>
              <w:t xml:space="preserve">ICD </w:t>
            </w:r>
            <w:r w:rsidRPr="00BD1A95">
              <w:rPr>
                <w:rFonts w:ascii="Tahoma" w:hAnsi="Tahoma" w:cs="Tahoma"/>
                <w:color w:val="auto"/>
                <w:sz w:val="40"/>
                <w:szCs w:val="40"/>
                <w:lang w:val="en-US" w:eastAsia="en-US"/>
              </w:rPr>
              <w:t>J44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Subclinical hypercortisolism and Cushing’s syndrome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E24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Diabetes mellitus type 1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E10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Diabetes mellitus type 2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 xml:space="preserve">ICD </w:t>
            </w:r>
            <w:r w:rsidRPr="00BD1A95">
              <w:rPr>
                <w:rFonts w:ascii="Tahoma" w:hAnsi="Tahoma" w:cs="Tahoma"/>
                <w:sz w:val="40"/>
                <w:szCs w:val="40"/>
                <w:lang w:val="en-US" w:eastAsia="de-DE"/>
              </w:rPr>
              <w:t xml:space="preserve">E11 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Epilepsy/use of antiepileptics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G40 (epilepsy), ATC N03 (antiepileptic medication)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Growth hormone deficiency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E23.0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Heart failure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 xml:space="preserve">ICD I50 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Other specialized nutritional anemias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D53.8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Hypoosmolality and hyponatremia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E87.1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Monoclonal gammopathy of unclear significance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D47.2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Primary hyperparathyroidism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E21.0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Rheumatoid arthritis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M05 (rheumatoid arthritis with rheumatoid factor), ICD M06 (other rheumatoid arthritis)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Subclinical and manifest hyperthyreosis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E05</w:t>
            </w:r>
          </w:p>
        </w:tc>
      </w:tr>
      <w:tr w:rsidR="00BD1A95" w:rsidRPr="00BD1A95" w:rsidTr="00D73210">
        <w:tc>
          <w:tcPr>
            <w:tcW w:w="3256" w:type="dxa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Vitamin D and calcium deficiency</w:t>
            </w:r>
          </w:p>
        </w:tc>
        <w:tc>
          <w:tcPr>
            <w:tcW w:w="5034" w:type="dxa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ICD E55 (vitamin D deficiency), ICD E58 (calcium deficiency)</w:t>
            </w:r>
          </w:p>
        </w:tc>
      </w:tr>
    </w:tbl>
    <w:p w:rsidR="00BD1A95" w:rsidRPr="00BD1A95" w:rsidRDefault="00BD1A95" w:rsidP="00BD1A95">
      <w:pPr>
        <w:pStyle w:val="Manuscriptbody"/>
        <w:rPr>
          <w:sz w:val="40"/>
          <w:szCs w:val="40"/>
          <w:lang w:val="en-US"/>
        </w:rPr>
      </w:pPr>
      <w:r w:rsidRPr="00BD1A95">
        <w:rPr>
          <w:sz w:val="40"/>
          <w:szCs w:val="40"/>
          <w:vertAlign w:val="superscript"/>
          <w:lang w:val="en-US"/>
        </w:rPr>
        <w:t>a</w:t>
      </w:r>
      <w:r w:rsidRPr="00BD1A95">
        <w:rPr>
          <w:sz w:val="40"/>
          <w:szCs w:val="40"/>
          <w:lang w:val="en-US"/>
        </w:rPr>
        <w:t>These medications also lead to an increased inclination for falls. ATC: Anatomical Therapeutic Chemical Classification; ICD: International Classification of Diseases; N/A: not applicable.</w:t>
      </w:r>
    </w:p>
    <w:p w:rsidR="00BD1A95" w:rsidRPr="00BD1A95" w:rsidRDefault="00BD1A95" w:rsidP="00BD1A95">
      <w:pPr>
        <w:spacing w:line="360" w:lineRule="auto"/>
        <w:outlineLvl w:val="0"/>
        <w:rPr>
          <w:rFonts w:ascii="Tahoma" w:hAnsi="Tahoma" w:cs="Tahoma"/>
          <w:b/>
          <w:sz w:val="40"/>
          <w:szCs w:val="40"/>
          <w:lang w:val="en-US"/>
        </w:rPr>
      </w:pPr>
      <w:r w:rsidRPr="00BD1A95">
        <w:rPr>
          <w:rFonts w:ascii="Tahoma" w:hAnsi="Tahoma" w:cs="Tahoma"/>
          <w:b/>
          <w:sz w:val="40"/>
          <w:szCs w:val="40"/>
          <w:lang w:val="en-US"/>
        </w:rPr>
        <w:t xml:space="preserve">Supplementary Table 2 </w:t>
      </w:r>
      <w:r w:rsidRPr="00BD1A95">
        <w:rPr>
          <w:rFonts w:ascii="Tahoma" w:hAnsi="Tahoma" w:cs="Tahoma"/>
          <w:sz w:val="40"/>
          <w:szCs w:val="40"/>
          <w:lang w:val="en-US"/>
        </w:rPr>
        <w:t>Subsequent fracture incidence by index fracture type, sex and age (N=18,354)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44"/>
        <w:gridCol w:w="1303"/>
        <w:gridCol w:w="1306"/>
        <w:gridCol w:w="873"/>
        <w:gridCol w:w="1964"/>
      </w:tblGrid>
      <w:tr w:rsidR="00BD1A95" w:rsidRPr="00BD1A95" w:rsidTr="00D73210">
        <w:trPr>
          <w:cantSplit/>
          <w:tblHeader/>
        </w:trPr>
        <w:tc>
          <w:tcPr>
            <w:tcW w:w="1080" w:type="pct"/>
            <w:tcBorders>
              <w:bottom w:val="single" w:sz="4" w:space="0" w:color="000000"/>
            </w:tcBorders>
            <w:shd w:val="clear" w:color="auto" w:fill="0D0D0D"/>
            <w:vAlign w:val="center"/>
          </w:tcPr>
          <w:bookmarkEnd w:id="1"/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Index fracture type</w:t>
            </w:r>
            <w:r w:rsidRPr="00BD1A95">
              <w:rPr>
                <w:rFonts w:ascii="Tahoma" w:hAnsi="Tahoma"/>
                <w:b/>
                <w:sz w:val="40"/>
                <w:szCs w:val="40"/>
                <w:vertAlign w:val="superscript"/>
                <w:lang w:val="en-US"/>
              </w:rPr>
              <w:t>a</w:t>
            </w:r>
          </w:p>
        </w:tc>
        <w:tc>
          <w:tcPr>
            <w:tcW w:w="798" w:type="pct"/>
            <w:tcBorders>
              <w:bottom w:val="single" w:sz="4" w:space="0" w:color="000000"/>
            </w:tcBorders>
            <w:shd w:val="clear" w:color="auto" w:fill="0D0D0D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Sex</w:t>
            </w:r>
          </w:p>
        </w:tc>
        <w:tc>
          <w:tcPr>
            <w:tcW w:w="798" w:type="pct"/>
            <w:tcBorders>
              <w:bottom w:val="single" w:sz="4" w:space="0" w:color="000000"/>
            </w:tcBorders>
            <w:shd w:val="clear" w:color="auto" w:fill="0D0D0D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Age group (years)</w:t>
            </w:r>
          </w:p>
        </w:tc>
        <w:tc>
          <w:tcPr>
            <w:tcW w:w="970" w:type="pct"/>
            <w:tcBorders>
              <w:bottom w:val="single" w:sz="4" w:space="0" w:color="000000"/>
            </w:tcBorders>
            <w:shd w:val="clear" w:color="auto" w:fill="0D0D0D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n</w:t>
            </w:r>
          </w:p>
        </w:tc>
        <w:tc>
          <w:tcPr>
            <w:tcW w:w="1354" w:type="pct"/>
            <w:tcBorders>
              <w:bottom w:val="single" w:sz="4" w:space="0" w:color="000000"/>
            </w:tcBorders>
            <w:shd w:val="clear" w:color="auto" w:fill="0D0D0D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With any subsequent fracture, n (%)</w:t>
            </w:r>
            <w:r w:rsidRPr="00BD1A95">
              <w:rPr>
                <w:rFonts w:ascii="Tahoma" w:hAnsi="Tahoma"/>
                <w:b/>
                <w:sz w:val="40"/>
                <w:szCs w:val="40"/>
                <w:vertAlign w:val="superscript"/>
                <w:lang w:val="en-US"/>
              </w:rPr>
              <w:t>a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 w:val="restar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Hip/femur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Females</w:t>
            </w: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33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 (6.1)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128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20 (15.6)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593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78 (13.2)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1241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148 (11.9)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481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53 (11.0)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Males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13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 (15.4)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32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 (12.5)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67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 (11.9)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102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12 (11.8)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15</w:t>
            </w:r>
          </w:p>
        </w:tc>
        <w:tc>
          <w:tcPr>
            <w:tcW w:w="135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 w:val="restar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Vertebral</w:t>
            </w:r>
          </w:p>
        </w:tc>
        <w:tc>
          <w:tcPr>
            <w:tcW w:w="798" w:type="pct"/>
            <w:vMerge w:val="restar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Females</w:t>
            </w:r>
          </w:p>
        </w:tc>
        <w:tc>
          <w:tcPr>
            <w:tcW w:w="798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tcBorders>
              <w:top w:val="double" w:sz="4" w:space="0" w:color="auto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395</w:t>
            </w:r>
          </w:p>
        </w:tc>
        <w:tc>
          <w:tcPr>
            <w:tcW w:w="1354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64 (16.2)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903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132 (14.6)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2945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549 (18.6)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3020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595 (19.7)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705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131 (18.6)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Males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164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13 (7.9)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240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37 (15.4)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439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74 (16.9)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273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40 (14.7)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double" w:sz="4" w:space="0" w:color="auto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49</w:t>
            </w:r>
          </w:p>
        </w:tc>
        <w:tc>
          <w:tcPr>
            <w:tcW w:w="135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12 (24.5)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 w:val="restar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Forearm/wrist/hand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Females</w:t>
            </w: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317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33 (10.4)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758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94 (12.4)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1582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234 (14.8)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1294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201 (15.5)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240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40 (16.7)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Males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42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 (9.5)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58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9 (15.5)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double" w:sz="4" w:space="0" w:color="auto"/>
            </w:tcBorders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94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 (7.4)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58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 (5.2)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double" w:sz="4" w:space="0" w:color="auto"/>
            </w:tcBorders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keepNext/>
              <w:keepLines/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double" w:sz="4" w:space="0" w:color="auto"/>
            </w:tcBorders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12</w:t>
            </w:r>
          </w:p>
        </w:tc>
        <w:tc>
          <w:tcPr>
            <w:tcW w:w="1354" w:type="pct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keepNext/>
              <w:keepLines/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 (25.0)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MOF</w:t>
            </w:r>
          </w:p>
        </w:tc>
        <w:tc>
          <w:tcPr>
            <w:tcW w:w="798" w:type="pct"/>
            <w:vMerge w:val="restart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Females</w:t>
            </w:r>
          </w:p>
        </w:tc>
        <w:tc>
          <w:tcPr>
            <w:tcW w:w="798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tcBorders>
              <w:top w:val="double" w:sz="4" w:space="0" w:color="auto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645</w:t>
            </w:r>
          </w:p>
        </w:tc>
        <w:tc>
          <w:tcPr>
            <w:tcW w:w="1354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90 (14.0)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1693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220 (13.0)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4850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811 (16.7)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5524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896 (16.2)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1473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232 (15.8)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Males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50–59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174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15 (8.6)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60–69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280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39 (13.9)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70–79</w:t>
            </w:r>
          </w:p>
        </w:tc>
        <w:tc>
          <w:tcPr>
            <w:tcW w:w="970" w:type="pct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517</w:t>
            </w:r>
          </w:p>
        </w:tc>
        <w:tc>
          <w:tcPr>
            <w:tcW w:w="1354" w:type="pct"/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74 (14.3)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447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bottom w:val="doub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80–89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410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57 (13.9)</w:t>
            </w:r>
          </w:p>
        </w:tc>
      </w:tr>
      <w:tr w:rsidR="00BD1A95" w:rsidRPr="00BD1A95" w:rsidTr="00D73210">
        <w:trPr>
          <w:cantSplit/>
        </w:trPr>
        <w:tc>
          <w:tcPr>
            <w:tcW w:w="10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vMerge/>
            <w:tcBorders>
              <w:bottom w:val="sing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≥90</w:t>
            </w:r>
          </w:p>
        </w:tc>
        <w:tc>
          <w:tcPr>
            <w:tcW w:w="970" w:type="pct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73</w:t>
            </w:r>
          </w:p>
        </w:tc>
        <w:tc>
          <w:tcPr>
            <w:tcW w:w="1354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16 (21.9)</w:t>
            </w:r>
          </w:p>
        </w:tc>
      </w:tr>
    </w:tbl>
    <w:p w:rsidR="00BD1A95" w:rsidRPr="00BD1A95" w:rsidRDefault="00BD1A95" w:rsidP="00BD1A95">
      <w:pPr>
        <w:pStyle w:val="Manuscriptbody"/>
        <w:rPr>
          <w:sz w:val="40"/>
          <w:szCs w:val="40"/>
          <w:lang w:val="en-US"/>
        </w:rPr>
      </w:pPr>
      <w:r w:rsidRPr="00BD1A95">
        <w:rPr>
          <w:sz w:val="40"/>
          <w:szCs w:val="40"/>
          <w:vertAlign w:val="superscript"/>
          <w:lang w:val="en-US"/>
        </w:rPr>
        <w:t>a</w:t>
      </w:r>
      <w:r w:rsidRPr="00BD1A95">
        <w:rPr>
          <w:sz w:val="40"/>
          <w:szCs w:val="40"/>
          <w:lang w:val="en-US"/>
        </w:rPr>
        <w:t>Any fracture encompasses ICD-10-GM [International Classification of Diseases, 10th revision, German Modification] codes T08, S12, S22, S32, S42, S52, S62 and S72.</w:t>
      </w:r>
      <w:bookmarkStart w:id="2" w:name="_Hlk7517591"/>
      <w:r w:rsidRPr="00BD1A95">
        <w:rPr>
          <w:sz w:val="40"/>
          <w:szCs w:val="40"/>
          <w:lang w:val="en-US"/>
        </w:rPr>
        <w:t xml:space="preserve"> Hip/femur fracture includes ICD-10-GM code S72; vertebral fracture includes T08, S12, S22 and S32; forearm/wrist/hand fracture includes S52 and S62; MOF includes S22, S32, S42, S52 and S72. </w:t>
      </w:r>
      <w:bookmarkStart w:id="3" w:name="_GoBack"/>
      <w:bookmarkEnd w:id="3"/>
      <w:r w:rsidRPr="00BD1A95">
        <w:rPr>
          <w:sz w:val="40"/>
          <w:szCs w:val="40"/>
          <w:lang w:val="en-US"/>
        </w:rPr>
        <w:t>MOF: major osteoporotic fracture.</w:t>
      </w:r>
      <w:bookmarkEnd w:id="2"/>
    </w:p>
    <w:p w:rsidR="00BD1A95" w:rsidRPr="00BD1A95" w:rsidRDefault="00BD1A95" w:rsidP="00BD1A95">
      <w:pPr>
        <w:spacing w:line="360" w:lineRule="auto"/>
        <w:outlineLvl w:val="0"/>
        <w:rPr>
          <w:rFonts w:cs="Tahoma"/>
          <w:b/>
          <w:sz w:val="40"/>
          <w:szCs w:val="40"/>
          <w:lang w:val="en-US"/>
        </w:rPr>
        <w:sectPr w:rsidR="00BD1A95" w:rsidRPr="00BD1A95" w:rsidSect="00BD1A95">
          <w:type w:val="continuous"/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</w:p>
    <w:p w:rsidR="00BD1A95" w:rsidRPr="00BD1A95" w:rsidRDefault="00BD1A95" w:rsidP="00BD1A95">
      <w:pPr>
        <w:spacing w:line="360" w:lineRule="auto"/>
        <w:outlineLvl w:val="0"/>
        <w:rPr>
          <w:rFonts w:ascii="Tahoma" w:hAnsi="Tahoma" w:cs="Tahoma"/>
          <w:b/>
          <w:sz w:val="40"/>
          <w:szCs w:val="40"/>
          <w:lang w:val="en-US"/>
        </w:rPr>
      </w:pPr>
      <w:r w:rsidRPr="00BD1A95">
        <w:rPr>
          <w:rFonts w:ascii="Tahoma" w:hAnsi="Tahoma" w:cs="Tahoma"/>
          <w:b/>
          <w:sz w:val="40"/>
          <w:szCs w:val="40"/>
          <w:lang w:val="en-US"/>
        </w:rPr>
        <w:t xml:space="preserve">Supplementary Table 3 </w:t>
      </w:r>
      <w:r w:rsidRPr="00BD1A95">
        <w:rPr>
          <w:rFonts w:ascii="Tahoma" w:hAnsi="Tahoma" w:cs="Tahoma"/>
          <w:sz w:val="40"/>
          <w:szCs w:val="40"/>
          <w:lang w:val="en-US"/>
        </w:rPr>
        <w:t>Risk factors that predict the time interval between an index fracture and a subsequent hip/femur fracture or a subsequent vertebral fracture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949"/>
        <w:gridCol w:w="2268"/>
        <w:gridCol w:w="1702"/>
        <w:gridCol w:w="2268"/>
        <w:gridCol w:w="1763"/>
      </w:tblGrid>
      <w:tr w:rsidR="00BD1A95" w:rsidRPr="00BD1A95" w:rsidTr="00D73210">
        <w:trPr>
          <w:cantSplit/>
          <w:trHeight w:val="20"/>
          <w:tblHeader/>
        </w:trPr>
        <w:tc>
          <w:tcPr>
            <w:tcW w:w="2132" w:type="pct"/>
            <w:shd w:val="clear" w:color="auto" w:fill="000000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</w:p>
        </w:tc>
        <w:tc>
          <w:tcPr>
            <w:tcW w:w="1423" w:type="pct"/>
            <w:gridSpan w:val="2"/>
            <w:tcBorders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Univariate analyses</w:t>
            </w:r>
          </w:p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(Subsequent hip/femur fracture)</w:t>
            </w:r>
            <w:r w:rsidRPr="00BD1A95">
              <w:rPr>
                <w:rFonts w:ascii="Tahoma" w:hAnsi="Tahoma"/>
                <w:b/>
                <w:sz w:val="40"/>
                <w:szCs w:val="40"/>
                <w:vertAlign w:val="superscript"/>
                <w:lang w:val="en-US"/>
              </w:rPr>
              <w:t>a</w:t>
            </w:r>
          </w:p>
        </w:tc>
        <w:tc>
          <w:tcPr>
            <w:tcW w:w="1445" w:type="pct"/>
            <w:gridSpan w:val="2"/>
            <w:tcBorders>
              <w:left w:val="nil"/>
              <w:bottom w:val="nil"/>
            </w:tcBorders>
            <w:shd w:val="clear" w:color="auto" w:fill="000000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Univariate analyses</w:t>
            </w:r>
          </w:p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(Subsequent vertebral fracture)</w:t>
            </w:r>
            <w:r w:rsidRPr="00BD1A95">
              <w:rPr>
                <w:rFonts w:ascii="Tahoma" w:hAnsi="Tahoma"/>
                <w:b/>
                <w:sz w:val="40"/>
                <w:szCs w:val="40"/>
                <w:vertAlign w:val="superscript"/>
                <w:lang w:val="en-US"/>
              </w:rPr>
              <w:t>a</w:t>
            </w:r>
          </w:p>
        </w:tc>
      </w:tr>
      <w:tr w:rsidR="00BD1A95" w:rsidRPr="00BD1A95" w:rsidTr="00D73210">
        <w:trPr>
          <w:cantSplit/>
          <w:trHeight w:val="20"/>
          <w:tblHeader/>
        </w:trPr>
        <w:tc>
          <w:tcPr>
            <w:tcW w:w="2132" w:type="pct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Variable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Hazard ratio (95% CI)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p value</w:t>
            </w:r>
            <w:r w:rsidRPr="00BD1A95">
              <w:rPr>
                <w:rFonts w:ascii="Tahoma" w:hAnsi="Tahoma"/>
                <w:b/>
                <w:sz w:val="40"/>
                <w:szCs w:val="40"/>
                <w:vertAlign w:val="superscript"/>
                <w:lang w:val="en-US"/>
              </w:rPr>
              <w:t>b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Hazard ratio (95% CI)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p value</w:t>
            </w:r>
            <w:r w:rsidRPr="00BD1A95">
              <w:rPr>
                <w:rFonts w:ascii="Tahoma" w:hAnsi="Tahoma"/>
                <w:b/>
                <w:sz w:val="40"/>
                <w:szCs w:val="40"/>
                <w:vertAlign w:val="superscript"/>
                <w:lang w:val="en-US"/>
              </w:rPr>
              <w:t>b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Index fracture type (reference group: index vertebral fracture)</w:t>
            </w:r>
            <w:r w:rsidRPr="00BD1A95">
              <w:rPr>
                <w:rFonts w:ascii="Tahoma" w:hAnsi="Tahoma"/>
                <w:b/>
                <w:sz w:val="40"/>
                <w:szCs w:val="40"/>
                <w:vertAlign w:val="superscript"/>
                <w:lang w:val="en-US"/>
              </w:rPr>
              <w:t>a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Index fracture: Hip/femur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0.92 (0.69, 1.23)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0.559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0.54 (0.46, 0.63)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&lt;0.001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Index fracture: Forearm/wrist/hand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0.69 (0.53, 0.90)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0.005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0.34 (0.30, 0.40)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&lt;0.001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Index fracture: Shoulder/upper arm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0.90 (0.65, 1.24)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0.507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0.46 (0.38, 0.55)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&lt;0.001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Sex (reference group: males)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Females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0.93 (0.83, 1.05)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0.240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1.00 (0.89, 1.13)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0.984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43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Age group (reference group: 70–79 years)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 w:cs="Tahoma"/>
                <w:b/>
                <w:sz w:val="40"/>
                <w:szCs w:val="40"/>
                <w:lang w:val="en-US"/>
              </w:rPr>
            </w:pP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50–59 years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0.25 (0.09, 0.67)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0.006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0.67 (0.53, 0.85)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0.001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60–69 years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0.44 (0.26, 0.75)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0.003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0.70 (0.59, 0.82)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&lt;0.001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80–89 years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2.17 (1.70, 2.76)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&lt;0.001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0.94 (0.84, 1.04)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0.239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≥90 years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3.79 (2.82, 5.10)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&lt;0.001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0.91 (0.76, 1.09)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0.309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Osteoporosis medication (reference group: no osteoporosis medication)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Bisphosphonates only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0.78 (0.62, 0.97)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0.029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1.19 (1.08, 1.32)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0.001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Other osteoporosis medication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0.80 (0.49, 1.31)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0.384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1.33 (1.09, 1.64)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0.005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Other medications (reference group: no other medications)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Antidepressants</w:t>
            </w:r>
            <w:r w:rsidRPr="00BD1A95">
              <w:rPr>
                <w:rFonts w:ascii="Tahoma" w:hAnsi="Tahoma"/>
                <w:sz w:val="40"/>
                <w:szCs w:val="40"/>
                <w:vertAlign w:val="superscript"/>
                <w:lang w:val="en-US"/>
              </w:rPr>
              <w:t>c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1.04 (0.96, 1.13)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0.295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1.02 (0.94, 1.10)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0.703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Aromatase inhibitors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1.12 (0.88, 1.42)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0.351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1.08 (0.86, 1.37)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0.502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Diuretics</w:t>
            </w:r>
            <w:r w:rsidRPr="00BD1A95">
              <w:rPr>
                <w:rFonts w:ascii="Tahoma" w:hAnsi="Tahoma"/>
                <w:sz w:val="40"/>
                <w:szCs w:val="40"/>
                <w:vertAlign w:val="superscript"/>
                <w:lang w:val="en-US"/>
              </w:rPr>
              <w:t>c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0.97 (0.90, 1.04)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0.410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1.01 (0.94, 1.09)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0.747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Glucocorticoids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0.97 (0.89, 1.06)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0.486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1.05 (0.97, 1.14)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0.248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Hormonablative therapy/antiandrogen therapy in males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1.38 (0.69, 2.76)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0.367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1.06 (0.48, 2.37)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0.881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Fall-inducing medications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0.92 (0.84, 1.01)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0.087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0.97 (0.88, 1.06)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0.442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Proton pump inhibitor (PPI)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0.99 (0.92, 1.07)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0.797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0.98 (0.91, 1.05)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0.521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Thiazolidindiones (glitazones) in females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1.20 (0.72, 1.99)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0.483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1.23 (0.74, 2.05)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0.420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keepNext/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Charlson Comorbidity Index score (reference group: Charlson Comorbidity Index score ≤1)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Charlson Comorbidity Index score &gt;1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1.03 (0.95, 1.11)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0.473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1.01 (0.94, 1.09)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0.808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b/>
                <w:sz w:val="40"/>
                <w:szCs w:val="40"/>
                <w:lang w:val="en-US"/>
              </w:rPr>
              <w:t>Medical conditions (reference group: no condition)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Stroke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1.10 (0.97, 1.25)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0.133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1.05 (0.92, 1.19)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0.492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Myocardial infarction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1.03 (0.92, 1.14)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0.619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0.98 (0.88, 1.10)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0.745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Ankylosing spondylitis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1.03 (0.69, 1.54)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0.880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0.78 (0.49, 1.24)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0.287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Chronic obstructive pulmonary disease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1.02 (0.93, 1.11)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0.730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1.04 (0.95, 1.14)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0.405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Subclinical hypercortisolism and Cushing’s syndrome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1.17 (0.61, 2.25)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0.640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0.50 (0.19, 1.34)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0.171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Diabetes mellitus type 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1.04 (0.88, 1.21)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0.661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0.99 (0.84, 1.17)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0.939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Diabetes mellitus type 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0.98 (0.90, 1.06)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0.591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1.03 (0.95, 1.12)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0.464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Epilepsy/use of antiepileptics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1.08 (0.98, 1.20)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0.139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1.02 (0.92, 1.13)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0.681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Growth hormone deficiency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0.96 (0.40, 2.31)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0.932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0.36 (0.09, 1.43)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0.145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Heart failure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1.06 (0.98, 1.14)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0.172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1.00 (0.92, 1.08)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0.910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Other specialized nutritional anemias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0.00 (0, Inf)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0.975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2.53 (0.63, 10.11)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0.190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Hypoosmolality and hyponatremia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0.97 (0.82, 1.15)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0.748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0.96 (0.81, 1.14)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0.635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Monoclonal gammopathy of unclear significance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1.03 (0.67, 1.58)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0.888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1.15 (0.77, 1.71)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0.504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Primary hyperparathyroidism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0.84 (0.38, 1.87)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0.668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0.90 (0.40, 2.00)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0.796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Rheumatoid arthritis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0.94 (0.84, 1.07)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0.352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1.07 (0.96, 1.20)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0.238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Subclinical and manifest hyperthyreosis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1.03 (0.91, 1.16)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0.629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1.12 (1.00, 1.26)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0.055</w:t>
            </w:r>
          </w:p>
        </w:tc>
      </w:tr>
      <w:tr w:rsidR="00BD1A95" w:rsidRPr="00BD1A95" w:rsidTr="00D73210">
        <w:trPr>
          <w:cantSplit/>
          <w:trHeight w:val="2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A95" w:rsidRPr="00BD1A95" w:rsidRDefault="00BD1A95" w:rsidP="00D73210">
            <w:pPr>
              <w:spacing w:line="360" w:lineRule="auto"/>
              <w:ind w:left="309"/>
              <w:rPr>
                <w:rFonts w:ascii="Tahoma" w:hAnsi="Tahoma"/>
                <w:b/>
                <w:sz w:val="40"/>
                <w:szCs w:val="40"/>
                <w:lang w:val="en-US"/>
              </w:rPr>
            </w:pPr>
            <w:r w:rsidRPr="00BD1A95">
              <w:rPr>
                <w:rFonts w:ascii="Tahoma" w:hAnsi="Tahoma"/>
                <w:sz w:val="40"/>
                <w:szCs w:val="40"/>
                <w:lang w:val="en-US"/>
              </w:rPr>
              <w:t>Vitamin D and calcium deficiency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0.96 (0.80, 1.17)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0.705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1.18 (0.99, 1.41)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95" w:rsidRPr="00BD1A95" w:rsidRDefault="00BD1A95" w:rsidP="00D73210">
            <w:pPr>
              <w:spacing w:line="360" w:lineRule="auto"/>
              <w:jc w:val="center"/>
              <w:rPr>
                <w:rFonts w:ascii="Tahoma" w:hAnsi="Tahoma" w:cs="Tahoma"/>
                <w:sz w:val="40"/>
                <w:szCs w:val="40"/>
                <w:lang w:val="en-US"/>
              </w:rPr>
            </w:pPr>
            <w:r w:rsidRPr="00BD1A95">
              <w:rPr>
                <w:rFonts w:ascii="Tahoma" w:hAnsi="Tahoma" w:cs="Tahoma"/>
                <w:sz w:val="40"/>
                <w:szCs w:val="40"/>
                <w:lang w:val="en-US"/>
              </w:rPr>
              <w:t>0.059</w:t>
            </w:r>
          </w:p>
        </w:tc>
      </w:tr>
    </w:tbl>
    <w:p w:rsidR="00BD1A95" w:rsidRPr="00D840E3" w:rsidRDefault="00BD1A95" w:rsidP="00BD1A95">
      <w:pPr>
        <w:pStyle w:val="Manuscriptbody"/>
        <w:rPr>
          <w:sz w:val="40"/>
          <w:szCs w:val="40"/>
          <w:lang w:val="en-US"/>
        </w:rPr>
      </w:pPr>
      <w:r w:rsidRPr="00BD1A95">
        <w:rPr>
          <w:sz w:val="40"/>
          <w:szCs w:val="40"/>
          <w:vertAlign w:val="superscript"/>
          <w:lang w:val="en-US"/>
        </w:rPr>
        <w:t>a</w:t>
      </w:r>
      <w:r w:rsidRPr="00BD1A95">
        <w:rPr>
          <w:sz w:val="40"/>
          <w:szCs w:val="40"/>
          <w:lang w:val="en-US"/>
        </w:rPr>
        <w:t xml:space="preserve">Hip/femur fracture includes ICD-10-GM [International Classification of Diseases, 10th revision, German Modification] code S72; vertebral fracture includes T08, S12, S22 and S32; forearm/wrist/hand fracture includes S52 and S62; shoulder/upper arm fracture includes S42. </w:t>
      </w:r>
      <w:r w:rsidRPr="00BD1A95">
        <w:rPr>
          <w:sz w:val="40"/>
          <w:szCs w:val="40"/>
          <w:vertAlign w:val="superscript"/>
          <w:lang w:val="en-US"/>
        </w:rPr>
        <w:t>b</w:t>
      </w:r>
      <w:r w:rsidRPr="00BD1A95">
        <w:rPr>
          <w:sz w:val="40"/>
          <w:szCs w:val="40"/>
          <w:lang w:val="en-US"/>
        </w:rPr>
        <w:t xml:space="preserve">Grey values are significant at the 95% level following a univariate analysis. </w:t>
      </w:r>
      <w:r w:rsidRPr="00BD1A95">
        <w:rPr>
          <w:sz w:val="40"/>
          <w:szCs w:val="40"/>
          <w:vertAlign w:val="superscript"/>
          <w:lang w:val="en-US"/>
        </w:rPr>
        <w:t>c</w:t>
      </w:r>
      <w:r w:rsidRPr="00BD1A95">
        <w:rPr>
          <w:sz w:val="40"/>
          <w:szCs w:val="40"/>
          <w:lang w:val="en-US"/>
        </w:rPr>
        <w:t>These medications also lead to an increased inclination for falls. CI: confidence interval. Inf: infinity.</w:t>
      </w:r>
    </w:p>
    <w:p w:rsidR="00FC6DD5" w:rsidRDefault="00FC6DD5"/>
    <w:sectPr w:rsidR="00FC6DD5" w:rsidSect="00BD1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0E3" w:rsidRPr="0027267D" w:rsidRDefault="00BD1A95" w:rsidP="0027267D">
    <w:pPr>
      <w:pStyle w:val="Footer"/>
      <w:jc w:val="right"/>
      <w:rPr>
        <w:rFonts w:ascii="Tahoma" w:hAnsi="Tahoma" w:cs="Tahoma"/>
        <w:sz w:val="20"/>
      </w:rPr>
    </w:pPr>
    <w:r w:rsidRPr="0027267D">
      <w:rPr>
        <w:rFonts w:ascii="Tahoma" w:hAnsi="Tahoma" w:cs="Tahoma"/>
        <w:sz w:val="20"/>
      </w:rPr>
      <w:fldChar w:fldCharType="begin"/>
    </w:r>
    <w:r w:rsidRPr="0027267D">
      <w:rPr>
        <w:rFonts w:ascii="Tahoma" w:hAnsi="Tahoma" w:cs="Tahoma"/>
        <w:sz w:val="20"/>
      </w:rPr>
      <w:instrText xml:space="preserve"> </w:instrText>
    </w:r>
    <w:r>
      <w:rPr>
        <w:rFonts w:ascii="Tahoma" w:hAnsi="Tahoma" w:cs="Tahoma"/>
        <w:sz w:val="20"/>
      </w:rPr>
      <w:instrText>PAGE</w:instrText>
    </w:r>
    <w:r w:rsidRPr="0027267D">
      <w:rPr>
        <w:rFonts w:ascii="Tahoma" w:hAnsi="Tahoma" w:cs="Tahoma"/>
        <w:sz w:val="20"/>
      </w:rPr>
      <w:instrText xml:space="preserve">   \* MERGEFORMAT </w:instrText>
    </w:r>
    <w:r w:rsidRPr="0027267D">
      <w:rPr>
        <w:rFonts w:ascii="Tahoma" w:hAnsi="Tahoma" w:cs="Tahoma"/>
        <w:sz w:val="20"/>
      </w:rPr>
      <w:fldChar w:fldCharType="separate"/>
    </w:r>
    <w:r>
      <w:rPr>
        <w:rFonts w:ascii="Tahoma" w:hAnsi="Tahoma" w:cs="Tahoma"/>
        <w:noProof/>
        <w:sz w:val="20"/>
      </w:rPr>
      <w:t>121</w:t>
    </w:r>
    <w:r w:rsidRPr="0027267D">
      <w:rPr>
        <w:rFonts w:ascii="Tahoma" w:hAnsi="Tahoma" w:cs="Tahoma"/>
        <w:noProof/>
        <w:sz w:val="20"/>
      </w:rPr>
      <w:fldChar w:fldCharType="end"/>
    </w:r>
  </w:p>
  <w:p w:rsidR="00D840E3" w:rsidRDefault="00BD1A95" w:rsidP="0027267D">
    <w:pPr>
      <w:pStyle w:val="Footer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0E3" w:rsidRPr="0027267D" w:rsidRDefault="00BD1A95" w:rsidP="005C501D">
    <w:pPr>
      <w:pStyle w:val="Header"/>
      <w:tabs>
        <w:tab w:val="clear" w:pos="9026"/>
        <w:tab w:val="right" w:pos="13892"/>
      </w:tabs>
      <w:rPr>
        <w:rFonts w:ascii="Tahoma" w:hAnsi="Tahoma" w:cs="Tahoma"/>
        <w:sz w:val="22"/>
      </w:rPr>
    </w:pPr>
    <w:r>
      <w:rPr>
        <w:rFonts w:ascii="Tahoma" w:hAnsi="Tahoma" w:cs="Tahoma"/>
        <w:sz w:val="22"/>
      </w:rPr>
      <w:t>Submission Version</w:t>
    </w:r>
    <w:r w:rsidRPr="00C66457">
      <w:rPr>
        <w:rFonts w:ascii="Tahoma" w:hAnsi="Tahoma" w:cs="Tahoma"/>
        <w:sz w:val="22"/>
      </w:rPr>
      <w:t xml:space="preserve"> </w:t>
    </w:r>
    <w:r>
      <w:rPr>
        <w:rFonts w:ascii="Tahoma" w:hAnsi="Tahoma" w:cs="Tahoma"/>
        <w:sz w:val="22"/>
      </w:rPr>
      <w:t>–</w:t>
    </w:r>
    <w:r w:rsidRPr="00C66457">
      <w:rPr>
        <w:rFonts w:ascii="Tahoma" w:hAnsi="Tahoma" w:cs="Tahoma"/>
        <w:sz w:val="22"/>
      </w:rPr>
      <w:t xml:space="preserve"> ARVATO</w:t>
    </w:r>
    <w:r>
      <w:rPr>
        <w:rFonts w:ascii="Tahoma" w:hAnsi="Tahoma" w:cs="Tahoma"/>
        <w:sz w:val="22"/>
      </w:rPr>
      <w:t>/Vilua</w:t>
    </w:r>
    <w:r w:rsidRPr="00C66457">
      <w:rPr>
        <w:rFonts w:ascii="Tahoma" w:hAnsi="Tahoma" w:cs="Tahoma"/>
        <w:sz w:val="22"/>
      </w:rPr>
      <w:tab/>
    </w:r>
    <w:r w:rsidRPr="00C66457">
      <w:rPr>
        <w:rFonts w:ascii="Tahoma" w:hAnsi="Tahoma" w:cs="Tahoma"/>
        <w:sz w:val="22"/>
      </w:rPr>
      <w:tab/>
    </w:r>
    <w:r>
      <w:rPr>
        <w:rFonts w:ascii="Tahoma" w:hAnsi="Tahoma" w:cs="Tahoma"/>
        <w:sz w:val="22"/>
      </w:rPr>
      <w:t>07 April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21"/>
    <w:rsid w:val="000246DE"/>
    <w:rsid w:val="00040E6C"/>
    <w:rsid w:val="00041CF8"/>
    <w:rsid w:val="000569A5"/>
    <w:rsid w:val="00072943"/>
    <w:rsid w:val="000756AD"/>
    <w:rsid w:val="000B0D27"/>
    <w:rsid w:val="000C7E6C"/>
    <w:rsid w:val="000D6773"/>
    <w:rsid w:val="000F4AF1"/>
    <w:rsid w:val="00114A70"/>
    <w:rsid w:val="001452FA"/>
    <w:rsid w:val="001A55EE"/>
    <w:rsid w:val="001B5B80"/>
    <w:rsid w:val="001C2B0E"/>
    <w:rsid w:val="001C2D86"/>
    <w:rsid w:val="001C63E9"/>
    <w:rsid w:val="001D0DAC"/>
    <w:rsid w:val="00275C7D"/>
    <w:rsid w:val="00287D45"/>
    <w:rsid w:val="002A51D3"/>
    <w:rsid w:val="002C2877"/>
    <w:rsid w:val="002C2E08"/>
    <w:rsid w:val="002C74EB"/>
    <w:rsid w:val="00313F3B"/>
    <w:rsid w:val="00323937"/>
    <w:rsid w:val="00335383"/>
    <w:rsid w:val="00360A78"/>
    <w:rsid w:val="00373B2F"/>
    <w:rsid w:val="0037681B"/>
    <w:rsid w:val="0038121F"/>
    <w:rsid w:val="0038123E"/>
    <w:rsid w:val="003824C2"/>
    <w:rsid w:val="00383CDE"/>
    <w:rsid w:val="003B322E"/>
    <w:rsid w:val="003C6754"/>
    <w:rsid w:val="003E0DE8"/>
    <w:rsid w:val="00412956"/>
    <w:rsid w:val="00412F3A"/>
    <w:rsid w:val="0041404F"/>
    <w:rsid w:val="00454053"/>
    <w:rsid w:val="00454316"/>
    <w:rsid w:val="004A55F5"/>
    <w:rsid w:val="004A6E4D"/>
    <w:rsid w:val="004B2DFD"/>
    <w:rsid w:val="004C374A"/>
    <w:rsid w:val="004C4866"/>
    <w:rsid w:val="004D50E2"/>
    <w:rsid w:val="0051600B"/>
    <w:rsid w:val="005223D8"/>
    <w:rsid w:val="00526469"/>
    <w:rsid w:val="00593F5A"/>
    <w:rsid w:val="005A78A6"/>
    <w:rsid w:val="005A7919"/>
    <w:rsid w:val="005B3034"/>
    <w:rsid w:val="005C7A1D"/>
    <w:rsid w:val="005F5489"/>
    <w:rsid w:val="00603773"/>
    <w:rsid w:val="0061457E"/>
    <w:rsid w:val="006171BD"/>
    <w:rsid w:val="00634D03"/>
    <w:rsid w:val="00634DD0"/>
    <w:rsid w:val="00637233"/>
    <w:rsid w:val="006373D8"/>
    <w:rsid w:val="006472FE"/>
    <w:rsid w:val="0068620B"/>
    <w:rsid w:val="00691192"/>
    <w:rsid w:val="0069748C"/>
    <w:rsid w:val="006A6068"/>
    <w:rsid w:val="006C3A21"/>
    <w:rsid w:val="006E0DC8"/>
    <w:rsid w:val="00716E0D"/>
    <w:rsid w:val="0072300C"/>
    <w:rsid w:val="007233C3"/>
    <w:rsid w:val="0073641B"/>
    <w:rsid w:val="007668CA"/>
    <w:rsid w:val="007823F2"/>
    <w:rsid w:val="0078498F"/>
    <w:rsid w:val="00792DC3"/>
    <w:rsid w:val="007C169F"/>
    <w:rsid w:val="007D1623"/>
    <w:rsid w:val="007F576B"/>
    <w:rsid w:val="00803CCE"/>
    <w:rsid w:val="00805FE6"/>
    <w:rsid w:val="008137DE"/>
    <w:rsid w:val="00843D87"/>
    <w:rsid w:val="00894943"/>
    <w:rsid w:val="008B34C3"/>
    <w:rsid w:val="008C426D"/>
    <w:rsid w:val="008D1B74"/>
    <w:rsid w:val="008D215A"/>
    <w:rsid w:val="008E2833"/>
    <w:rsid w:val="00910EC0"/>
    <w:rsid w:val="009403DB"/>
    <w:rsid w:val="00970762"/>
    <w:rsid w:val="00987604"/>
    <w:rsid w:val="009974E4"/>
    <w:rsid w:val="009C0C7F"/>
    <w:rsid w:val="009D2C37"/>
    <w:rsid w:val="009E1DDD"/>
    <w:rsid w:val="009E4E81"/>
    <w:rsid w:val="009F1C4F"/>
    <w:rsid w:val="00A11551"/>
    <w:rsid w:val="00A46B88"/>
    <w:rsid w:val="00A479EA"/>
    <w:rsid w:val="00A5001E"/>
    <w:rsid w:val="00A67768"/>
    <w:rsid w:val="00A8672B"/>
    <w:rsid w:val="00A86D7C"/>
    <w:rsid w:val="00A93729"/>
    <w:rsid w:val="00AA175E"/>
    <w:rsid w:val="00AA535F"/>
    <w:rsid w:val="00AB3029"/>
    <w:rsid w:val="00AC1BB9"/>
    <w:rsid w:val="00AE6FFA"/>
    <w:rsid w:val="00B14133"/>
    <w:rsid w:val="00B15506"/>
    <w:rsid w:val="00B4212A"/>
    <w:rsid w:val="00B73D9B"/>
    <w:rsid w:val="00B833C7"/>
    <w:rsid w:val="00BA368D"/>
    <w:rsid w:val="00BD032A"/>
    <w:rsid w:val="00BD1A95"/>
    <w:rsid w:val="00BE43E0"/>
    <w:rsid w:val="00BF2842"/>
    <w:rsid w:val="00BF73AD"/>
    <w:rsid w:val="00C52041"/>
    <w:rsid w:val="00C7072C"/>
    <w:rsid w:val="00C7446E"/>
    <w:rsid w:val="00CA51F0"/>
    <w:rsid w:val="00CB5C32"/>
    <w:rsid w:val="00CD0E56"/>
    <w:rsid w:val="00CD53C2"/>
    <w:rsid w:val="00CE77A2"/>
    <w:rsid w:val="00CF4993"/>
    <w:rsid w:val="00D13DE9"/>
    <w:rsid w:val="00D3042A"/>
    <w:rsid w:val="00D351E9"/>
    <w:rsid w:val="00D945F0"/>
    <w:rsid w:val="00DB60AA"/>
    <w:rsid w:val="00DE6CA8"/>
    <w:rsid w:val="00DF35C5"/>
    <w:rsid w:val="00E13EDC"/>
    <w:rsid w:val="00E243AD"/>
    <w:rsid w:val="00E31447"/>
    <w:rsid w:val="00E31480"/>
    <w:rsid w:val="00E41BB8"/>
    <w:rsid w:val="00E54868"/>
    <w:rsid w:val="00E7348D"/>
    <w:rsid w:val="00E7760B"/>
    <w:rsid w:val="00E95CE4"/>
    <w:rsid w:val="00EC1847"/>
    <w:rsid w:val="00EE3388"/>
    <w:rsid w:val="00EE4A07"/>
    <w:rsid w:val="00F00082"/>
    <w:rsid w:val="00F62DF5"/>
    <w:rsid w:val="00F73B6C"/>
    <w:rsid w:val="00FB60F2"/>
    <w:rsid w:val="00FC1784"/>
    <w:rsid w:val="00FC351C"/>
    <w:rsid w:val="00FC44F2"/>
    <w:rsid w:val="00FC4550"/>
    <w:rsid w:val="00FC6DD5"/>
    <w:rsid w:val="00FE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0CA97-BAC4-44AE-B19E-5072DADD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A95"/>
    <w:pPr>
      <w:tabs>
        <w:tab w:val="center" w:pos="4513"/>
        <w:tab w:val="right" w:pos="9026"/>
      </w:tabs>
      <w:spacing w:after="0" w:line="240" w:lineRule="auto"/>
    </w:pPr>
    <w:rPr>
      <w:rFonts w:ascii="Cambria" w:eastAsia="MS ??" w:hAnsi="Cambria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D1A95"/>
    <w:rPr>
      <w:rFonts w:ascii="Cambria" w:eastAsia="MS ??" w:hAnsi="Cambria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D1A95"/>
    <w:pPr>
      <w:tabs>
        <w:tab w:val="center" w:pos="4513"/>
        <w:tab w:val="right" w:pos="9026"/>
      </w:tabs>
      <w:spacing w:after="0" w:line="240" w:lineRule="auto"/>
    </w:pPr>
    <w:rPr>
      <w:rFonts w:ascii="Cambria" w:eastAsia="MS ??" w:hAnsi="Cambria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D1A95"/>
    <w:rPr>
      <w:rFonts w:ascii="Cambria" w:eastAsia="MS ??" w:hAnsi="Cambria" w:cs="Times New Roman"/>
      <w:sz w:val="24"/>
      <w:szCs w:val="24"/>
      <w:lang w:val="en-GB"/>
    </w:rPr>
  </w:style>
  <w:style w:type="paragraph" w:customStyle="1" w:styleId="Default">
    <w:name w:val="Default"/>
    <w:rsid w:val="00BD1A95"/>
    <w:pPr>
      <w:autoSpaceDE w:val="0"/>
      <w:autoSpaceDN w:val="0"/>
      <w:adjustRightInd w:val="0"/>
      <w:spacing w:after="0" w:line="240" w:lineRule="auto"/>
    </w:pPr>
    <w:rPr>
      <w:rFonts w:ascii="Minion Pro" w:eastAsia="MS ??" w:hAnsi="Minion Pro" w:cs="Minion Pro"/>
      <w:color w:val="000000"/>
      <w:sz w:val="24"/>
      <w:szCs w:val="24"/>
      <w:lang w:val="en-GB" w:eastAsia="de-DE"/>
    </w:rPr>
  </w:style>
  <w:style w:type="paragraph" w:customStyle="1" w:styleId="Manuscriptbody">
    <w:name w:val="Manuscript body"/>
    <w:basedOn w:val="NormalWeb"/>
    <w:link w:val="ManuscriptbodyChar"/>
    <w:qFormat/>
    <w:rsid w:val="00BD1A95"/>
    <w:pPr>
      <w:spacing w:after="100" w:afterAutospacing="1" w:line="360" w:lineRule="auto"/>
      <w:contextualSpacing/>
    </w:pPr>
    <w:rPr>
      <w:rFonts w:ascii="Tahoma" w:eastAsia="Times New Roman" w:hAnsi="Tahoma"/>
      <w:sz w:val="22"/>
      <w:lang w:val="en-GB" w:eastAsia="ja-JP"/>
    </w:rPr>
  </w:style>
  <w:style w:type="paragraph" w:customStyle="1" w:styleId="Manuscriptbodytitle">
    <w:name w:val="Manuscript body title"/>
    <w:basedOn w:val="Normal"/>
    <w:next w:val="Manuscriptbody"/>
    <w:link w:val="ManuscriptbodytitleChar"/>
    <w:qFormat/>
    <w:rsid w:val="00BD1A95"/>
    <w:pPr>
      <w:spacing w:after="0" w:line="480" w:lineRule="auto"/>
      <w:outlineLvl w:val="0"/>
    </w:pPr>
    <w:rPr>
      <w:rFonts w:ascii="Tahoma" w:eastAsia="MS ??" w:hAnsi="Tahoma" w:cs="Tahoma"/>
      <w:b/>
      <w:lang w:val="en-US"/>
    </w:rPr>
  </w:style>
  <w:style w:type="character" w:customStyle="1" w:styleId="ManuscriptbodyChar">
    <w:name w:val="Manuscript body Char"/>
    <w:link w:val="Manuscriptbody"/>
    <w:rsid w:val="00BD1A95"/>
    <w:rPr>
      <w:rFonts w:ascii="Tahoma" w:eastAsia="Times New Roman" w:hAnsi="Tahoma" w:cs="Times New Roman"/>
      <w:szCs w:val="24"/>
      <w:lang w:val="en-GB" w:eastAsia="ja-JP"/>
    </w:rPr>
  </w:style>
  <w:style w:type="character" w:customStyle="1" w:styleId="ManuscriptbodytitleChar">
    <w:name w:val="Manuscript body title Char"/>
    <w:link w:val="Manuscriptbodytitle"/>
    <w:rsid w:val="00BD1A95"/>
    <w:rPr>
      <w:rFonts w:ascii="Tahoma" w:eastAsia="MS ??" w:hAnsi="Tahoma" w:cs="Tahoma"/>
      <w:b/>
      <w:lang w:val="en-US"/>
    </w:rPr>
  </w:style>
  <w:style w:type="paragraph" w:styleId="NormalWeb">
    <w:name w:val="Normal (Web)"/>
    <w:basedOn w:val="Normal"/>
    <w:uiPriority w:val="99"/>
    <w:semiHidden/>
    <w:unhideWhenUsed/>
    <w:rsid w:val="00BD1A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1468</Words>
  <Characters>8370</Characters>
  <Application>Microsoft Office Word</Application>
  <DocSecurity>0</DocSecurity>
  <Lines>69</Lines>
  <Paragraphs>19</Paragraphs>
  <ScaleCrop>false</ScaleCrop>
  <Company/>
  <LinksUpToDate>false</LinksUpToDate>
  <CharactersWithSpaces>9819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Bhuvaneswari R.</dc:creator>
  <cp:keywords/>
  <dc:description/>
  <cp:lastModifiedBy>Bhuvaneswari R.</cp:lastModifiedBy>
  <cp:revision>2</cp:revision>
  <dcterms:created xsi:type="dcterms:W3CDTF">2021-06-12T17:50:00Z</dcterms:created>
  <dcterms:modified xsi:type="dcterms:W3CDTF">2021-06-12T17:51:00Z</dcterms:modified>
</cp:coreProperties>
</file>