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DCB" w:rsidRPr="00B04C49" w:rsidRDefault="00AC4DCB" w:rsidP="00AC4DCB">
      <w:pPr>
        <w:spacing w:after="24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SUPPLEMENTARY MATERIAL</w:t>
      </w:r>
      <w:bookmarkStart w:id="0" w:name="_GoBack"/>
      <w:bookmarkEnd w:id="0"/>
    </w:p>
    <w:p w:rsidR="00AC4DCB" w:rsidRPr="00B04C49" w:rsidRDefault="00AC4DCB" w:rsidP="00AC4DCB">
      <w:pPr>
        <w:spacing w:after="240" w:line="276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B04C49">
        <w:rPr>
          <w:rFonts w:ascii="Times New Roman" w:hAnsi="Times New Roman" w:cs="Times New Roman"/>
          <w:b/>
          <w:sz w:val="20"/>
          <w:szCs w:val="20"/>
          <w:lang w:val="en-GB"/>
        </w:rPr>
        <w:t>The Use of LNG-IUS-19.5mg in Daily Gynecological Routine Practice in Germany: Data from the Kyleena™ Satisfaction Study (KYSS)</w:t>
      </w:r>
    </w:p>
    <w:p w:rsidR="00AC4DCB" w:rsidRPr="00B04C49" w:rsidRDefault="00AC4DCB" w:rsidP="00AC4DCB">
      <w:pPr>
        <w:spacing w:after="240" w:line="276" w:lineRule="auto"/>
        <w:jc w:val="both"/>
        <w:rPr>
          <w:rFonts w:ascii="Times New Roman" w:hAnsi="Times New Roman" w:cs="Times New Roman"/>
          <w:b/>
          <w:sz w:val="20"/>
          <w:szCs w:val="20"/>
          <w:vertAlign w:val="superscript"/>
          <w:lang w:val="de-DE"/>
        </w:rPr>
      </w:pPr>
      <w:r w:rsidRPr="00B04C49">
        <w:rPr>
          <w:rFonts w:ascii="Times New Roman" w:hAnsi="Times New Roman" w:cs="Times New Roman"/>
          <w:b/>
          <w:sz w:val="20"/>
          <w:szCs w:val="20"/>
          <w:lang w:val="de-DE"/>
        </w:rPr>
        <w:t>Thomas Römer,</w:t>
      </w:r>
      <w:r w:rsidRPr="00B04C49">
        <w:rPr>
          <w:rFonts w:ascii="Times New Roman" w:hAnsi="Times New Roman" w:cs="Times New Roman"/>
          <w:b/>
          <w:sz w:val="20"/>
          <w:szCs w:val="20"/>
          <w:vertAlign w:val="superscript"/>
          <w:lang w:val="de-DE"/>
        </w:rPr>
        <w:t>1</w:t>
      </w:r>
      <w:r w:rsidRPr="00B04C49">
        <w:rPr>
          <w:rFonts w:ascii="Times New Roman" w:hAnsi="Times New Roman" w:cs="Times New Roman"/>
          <w:b/>
          <w:sz w:val="20"/>
          <w:szCs w:val="20"/>
          <w:lang w:val="de-DE"/>
        </w:rPr>
        <w:t xml:space="preserve"> Ann-Kathrin Frenz,</w:t>
      </w:r>
      <w:r w:rsidRPr="00B04C49">
        <w:rPr>
          <w:rFonts w:ascii="Times New Roman" w:hAnsi="Times New Roman" w:cs="Times New Roman"/>
          <w:b/>
          <w:sz w:val="20"/>
          <w:szCs w:val="20"/>
          <w:vertAlign w:val="superscript"/>
          <w:lang w:val="de-DE"/>
        </w:rPr>
        <w:t>2</w:t>
      </w:r>
      <w:r w:rsidRPr="00B04C49">
        <w:rPr>
          <w:rFonts w:ascii="Times New Roman" w:hAnsi="Times New Roman" w:cs="Times New Roman"/>
          <w:b/>
          <w:sz w:val="20"/>
          <w:szCs w:val="20"/>
          <w:lang w:val="de-DE"/>
        </w:rPr>
        <w:t xml:space="preserve"> Susanne Dietrich-Ott,</w:t>
      </w:r>
      <w:r w:rsidRPr="00B04C49">
        <w:rPr>
          <w:rFonts w:ascii="Times New Roman" w:hAnsi="Times New Roman" w:cs="Times New Roman"/>
          <w:b/>
          <w:sz w:val="20"/>
          <w:szCs w:val="20"/>
          <w:vertAlign w:val="superscript"/>
          <w:lang w:val="de-DE"/>
        </w:rPr>
        <w:t>3</w:t>
      </w:r>
      <w:r w:rsidRPr="00B04C49">
        <w:rPr>
          <w:rFonts w:ascii="Times New Roman" w:hAnsi="Times New Roman" w:cs="Times New Roman"/>
          <w:b/>
          <w:sz w:val="20"/>
          <w:szCs w:val="20"/>
          <w:lang w:val="de-DE"/>
        </w:rPr>
        <w:t xml:space="preserve"> Anja Fiedler</w:t>
      </w:r>
      <w:r w:rsidRPr="00B04C49">
        <w:rPr>
          <w:rFonts w:ascii="Times New Roman" w:hAnsi="Times New Roman" w:cs="Times New Roman"/>
          <w:b/>
          <w:sz w:val="20"/>
          <w:szCs w:val="20"/>
          <w:vertAlign w:val="superscript"/>
          <w:lang w:val="de-DE"/>
        </w:rPr>
        <w:t>4</w:t>
      </w:r>
    </w:p>
    <w:p w:rsidR="00AC4DCB" w:rsidRPr="00B04C49" w:rsidRDefault="00AC4DCB" w:rsidP="00AC4DCB">
      <w:pPr>
        <w:spacing w:after="240" w:line="276" w:lineRule="auto"/>
        <w:jc w:val="both"/>
        <w:rPr>
          <w:rFonts w:ascii="Times New Roman" w:hAnsi="Times New Roman" w:cs="Times New Roman"/>
          <w:b/>
          <w:sz w:val="20"/>
          <w:szCs w:val="20"/>
          <w:vertAlign w:val="superscript"/>
          <w:lang w:val="en-GB"/>
        </w:rPr>
      </w:pPr>
      <w:r w:rsidRPr="00B04C49">
        <w:rPr>
          <w:rFonts w:ascii="Times New Roman" w:hAnsi="Times New Roman" w:cs="Times New Roman"/>
          <w:sz w:val="20"/>
          <w:szCs w:val="20"/>
          <w:lang w:val="en-US"/>
        </w:rPr>
        <w:t xml:space="preserve">Affiliations: </w:t>
      </w:r>
      <w:r w:rsidRPr="00B04C49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  <w:lang w:val="en-US"/>
        </w:rPr>
        <w:t>1</w:t>
      </w:r>
      <w:r w:rsidRPr="00B04C49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Obstetrics and Gynecology Department, Academic Hospital Weyertal, University of Cologne, Cologne, Germany; </w:t>
      </w:r>
      <w:r w:rsidRPr="00B04C4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B04C49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Medical Affairs, Bayer AG, Berlin, Germany; </w:t>
      </w:r>
      <w:r w:rsidRPr="00B04C4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 w:rsidRPr="00B04C49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Jenapharm GmbH &amp; Co. KG, Jena, Germany; </w:t>
      </w:r>
      <w:r w:rsidRPr="00B04C49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  <w:lang w:val="en-US"/>
        </w:rPr>
        <w:t>4</w:t>
      </w:r>
      <w:r w:rsidRPr="00B04C49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Medical Practice of Obstetrics and Gynecology, Gera/Jena, Germany</w:t>
      </w:r>
    </w:p>
    <w:p w:rsidR="00AC4DCB" w:rsidRPr="00B04C49" w:rsidRDefault="00AC4DCB" w:rsidP="00AC4DCB">
      <w:pPr>
        <w:spacing w:after="240"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B04C49">
        <w:rPr>
          <w:rFonts w:ascii="Times New Roman" w:hAnsi="Times New Roman" w:cs="Times New Roman"/>
          <w:sz w:val="20"/>
          <w:szCs w:val="20"/>
          <w:lang w:val="en-GB"/>
        </w:rPr>
        <w:t xml:space="preserve">Correspondence to: Thomas Römer, </w:t>
      </w:r>
      <w:hyperlink r:id="rId5" w:history="1">
        <w:r w:rsidRPr="00B04C49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Thomas.Roemer@evk-koeln.de</w:t>
        </w:r>
      </w:hyperlink>
      <w:r w:rsidRPr="00B04C4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:rsidR="00AC4DCB" w:rsidRPr="00B04C49" w:rsidRDefault="00AC4DCB" w:rsidP="00AC4DCB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:rsidR="00AC4DCB" w:rsidRPr="00B04C49" w:rsidRDefault="00AC4DCB" w:rsidP="00AC4DCB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:rsidR="00AC4DCB" w:rsidRPr="00B04C49" w:rsidRDefault="00AC4DCB" w:rsidP="00AC4DCB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B04C49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Table S1 </w:t>
      </w:r>
      <w:r w:rsidRPr="00B04C49">
        <w:rPr>
          <w:rFonts w:ascii="Times New Roman" w:hAnsi="Times New Roman" w:cs="Times New Roman"/>
          <w:bCs/>
          <w:sz w:val="20"/>
          <w:szCs w:val="20"/>
          <w:lang w:val="en-GB"/>
        </w:rPr>
        <w:t>Satisfaction of German participants with their bleeding profile during LNG-IUS-19.5mg use at 12 months/end of observation</w:t>
      </w:r>
      <w:r w:rsidRPr="00B04C49" w:rsidDel="00127C09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Pr="00B04C49">
        <w:rPr>
          <w:rFonts w:ascii="Times New Roman" w:hAnsi="Times New Roman" w:cs="Times New Roman"/>
          <w:bCs/>
          <w:sz w:val="20"/>
          <w:szCs w:val="20"/>
          <w:lang w:val="en-GB"/>
        </w:rPr>
        <w:t>(FAS) by previous contraceptive method, by presence of amenorrhea and by dysmenorrhea severity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24"/>
        <w:gridCol w:w="1767"/>
        <w:gridCol w:w="1742"/>
        <w:gridCol w:w="1142"/>
        <w:gridCol w:w="1464"/>
        <w:gridCol w:w="2020"/>
        <w:gridCol w:w="1194"/>
        <w:gridCol w:w="1387"/>
      </w:tblGrid>
      <w:tr w:rsidR="00AC4DCB" w:rsidRPr="00B04C49" w:rsidTr="00D4033E">
        <w:trPr>
          <w:trHeight w:val="20"/>
        </w:trPr>
        <w:tc>
          <w:tcPr>
            <w:tcW w:w="0" w:type="auto"/>
            <w:gridSpan w:val="2"/>
            <w:tcBorders>
              <w:top w:val="single" w:sz="8" w:space="0" w:color="B1C9E0"/>
              <w:left w:val="single" w:sz="8" w:space="0" w:color="B1C9E0"/>
              <w:bottom w:val="single" w:sz="12" w:space="0" w:color="B1C9E0"/>
              <w:right w:val="single" w:sz="8" w:space="0" w:color="B1C9E0"/>
            </w:tcBorders>
            <w:shd w:val="clear" w:color="000000" w:fill="1F3864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Satisfaction with bleeding profile, n (%)</w:t>
            </w:r>
          </w:p>
        </w:tc>
        <w:tc>
          <w:tcPr>
            <w:tcW w:w="0" w:type="auto"/>
            <w:tcBorders>
              <w:top w:val="single" w:sz="8" w:space="0" w:color="B1C9E0"/>
              <w:left w:val="single" w:sz="8" w:space="0" w:color="B1C9E0"/>
              <w:bottom w:val="single" w:sz="12" w:space="0" w:color="B1C9E0"/>
              <w:right w:val="single" w:sz="8" w:space="0" w:color="B1C9E0"/>
            </w:tcBorders>
            <w:shd w:val="clear" w:color="000000" w:fill="1F3864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German participants, n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B1C9E0"/>
              <w:bottom w:val="single" w:sz="12" w:space="0" w:color="FFFFFF" w:themeColor="background1"/>
              <w:right w:val="single" w:sz="8" w:space="0" w:color="FFFFFF" w:themeColor="background1"/>
            </w:tcBorders>
            <w:shd w:val="clear" w:color="000000" w:fill="D9E2F3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Very satisfied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FFFFFF" w:themeColor="background1"/>
              <w:bottom w:val="single" w:sz="12" w:space="0" w:color="FFFFFF" w:themeColor="background1"/>
              <w:right w:val="single" w:sz="8" w:space="0" w:color="FFFFFF" w:themeColor="background1"/>
            </w:tcBorders>
            <w:shd w:val="clear" w:color="000000" w:fill="D9E2F3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Somewhat satisfied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FFFFFF" w:themeColor="background1"/>
              <w:bottom w:val="single" w:sz="12" w:space="0" w:color="FFFFFF" w:themeColor="background1"/>
              <w:right w:val="single" w:sz="8" w:space="0" w:color="FFFFFF" w:themeColor="background1"/>
            </w:tcBorders>
            <w:shd w:val="clear" w:color="000000" w:fill="D9E2F3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Neither satisfied nor dissatisfied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FFFFFF" w:themeColor="background1"/>
              <w:bottom w:val="single" w:sz="12" w:space="0" w:color="FFFFFF" w:themeColor="background1"/>
              <w:right w:val="single" w:sz="8" w:space="0" w:color="FFFFFF" w:themeColor="background1"/>
            </w:tcBorders>
            <w:shd w:val="clear" w:color="000000" w:fill="D9E2F3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Dissatisfied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FFFFFF" w:themeColor="background1"/>
              <w:bottom w:val="single" w:sz="12" w:space="0" w:color="FFFFFF" w:themeColor="background1"/>
              <w:right w:val="single" w:sz="8" w:space="0" w:color="D9E3F4"/>
            </w:tcBorders>
            <w:shd w:val="clear" w:color="000000" w:fill="D9E2F3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 xml:space="preserve">Very dissatisfied   </w:t>
            </w:r>
          </w:p>
        </w:tc>
      </w:tr>
      <w:tr w:rsidR="00AC4DCB" w:rsidRPr="00B04C49" w:rsidTr="00D4033E">
        <w:trPr>
          <w:trHeight w:val="20"/>
        </w:trPr>
        <w:tc>
          <w:tcPr>
            <w:tcW w:w="0" w:type="auto"/>
            <w:vMerge w:val="restart"/>
            <w:tcBorders>
              <w:top w:val="single" w:sz="12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shd w:val="clear" w:color="000000" w:fill="1F3864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Previous contraceptive method</w:t>
            </w:r>
            <w:r w:rsidRPr="00B04C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en-GB" w:eastAsia="en-GB"/>
              </w:rPr>
              <w:t>a,b</w:t>
            </w:r>
          </w:p>
        </w:tc>
        <w:tc>
          <w:tcPr>
            <w:tcW w:w="0" w:type="auto"/>
            <w:tcBorders>
              <w:top w:val="single" w:sz="12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shd w:val="clear" w:color="000000" w:fill="1F3864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None</w:t>
            </w:r>
          </w:p>
        </w:tc>
        <w:tc>
          <w:tcPr>
            <w:tcW w:w="0" w:type="auto"/>
            <w:tcBorders>
              <w:top w:val="single" w:sz="12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shd w:val="clear" w:color="000000" w:fill="1F3864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102</w:t>
            </w:r>
          </w:p>
        </w:tc>
        <w:tc>
          <w:tcPr>
            <w:tcW w:w="0" w:type="auto"/>
            <w:tcBorders>
              <w:top w:val="single" w:sz="12" w:space="0" w:color="FFFFFF" w:themeColor="background1"/>
              <w:left w:val="single" w:sz="8" w:space="0" w:color="B1C9E0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43 (42.2)</w:t>
            </w:r>
          </w:p>
        </w:tc>
        <w:tc>
          <w:tcPr>
            <w:tcW w:w="0" w:type="auto"/>
            <w:tcBorders>
              <w:top w:val="single" w:sz="12" w:space="0" w:color="FFFFFF" w:themeColor="background1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24 (23.5)</w:t>
            </w:r>
          </w:p>
        </w:tc>
        <w:tc>
          <w:tcPr>
            <w:tcW w:w="0" w:type="auto"/>
            <w:tcBorders>
              <w:top w:val="single" w:sz="12" w:space="0" w:color="FFFFFF" w:themeColor="background1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19 (18.6)</w:t>
            </w:r>
          </w:p>
        </w:tc>
        <w:tc>
          <w:tcPr>
            <w:tcW w:w="0" w:type="auto"/>
            <w:tcBorders>
              <w:top w:val="single" w:sz="12" w:space="0" w:color="FFFFFF" w:themeColor="background1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12 (11.8)</w:t>
            </w:r>
          </w:p>
        </w:tc>
        <w:tc>
          <w:tcPr>
            <w:tcW w:w="0" w:type="auto"/>
            <w:tcBorders>
              <w:top w:val="single" w:sz="12" w:space="0" w:color="FFFFFF" w:themeColor="background1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4 (3.9)</w:t>
            </w:r>
          </w:p>
        </w:tc>
      </w:tr>
      <w:tr w:rsidR="00AC4DCB" w:rsidRPr="00B04C49" w:rsidTr="00D4033E">
        <w:trPr>
          <w:trHeight w:val="20"/>
        </w:trPr>
        <w:tc>
          <w:tcPr>
            <w:tcW w:w="0" w:type="auto"/>
            <w:vMerge/>
            <w:tcBorders>
              <w:top w:val="single" w:sz="8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8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shd w:val="clear" w:color="000000" w:fill="1F3864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Oral contraception</w:t>
            </w:r>
          </w:p>
        </w:tc>
        <w:tc>
          <w:tcPr>
            <w:tcW w:w="0" w:type="auto"/>
            <w:tcBorders>
              <w:top w:val="single" w:sz="8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shd w:val="clear" w:color="000000" w:fill="1F3864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118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B1C9E0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64 (54.2)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27 (22.9)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14 (11.9)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9 (7.6)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4 (3.4)</w:t>
            </w:r>
          </w:p>
        </w:tc>
      </w:tr>
      <w:tr w:rsidR="00AC4DCB" w:rsidRPr="00B04C49" w:rsidTr="00D4033E">
        <w:trPr>
          <w:trHeight w:val="20"/>
        </w:trPr>
        <w:tc>
          <w:tcPr>
            <w:tcW w:w="0" w:type="auto"/>
            <w:vMerge/>
            <w:tcBorders>
              <w:top w:val="single" w:sz="8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8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shd w:val="clear" w:color="000000" w:fill="1F3864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Barrier method</w:t>
            </w:r>
          </w:p>
        </w:tc>
        <w:tc>
          <w:tcPr>
            <w:tcW w:w="0" w:type="auto"/>
            <w:tcBorders>
              <w:top w:val="single" w:sz="8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shd w:val="clear" w:color="000000" w:fill="1F3864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78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B1C9E0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33 (42.3)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17 (21.8)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11 (14.1)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15 (19.2)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 (2.6)</w:t>
            </w:r>
          </w:p>
        </w:tc>
      </w:tr>
      <w:tr w:rsidR="00AC4DCB" w:rsidRPr="00B04C49" w:rsidTr="00D4033E">
        <w:trPr>
          <w:trHeight w:val="20"/>
        </w:trPr>
        <w:tc>
          <w:tcPr>
            <w:tcW w:w="0" w:type="auto"/>
            <w:vMerge/>
            <w:tcBorders>
              <w:top w:val="single" w:sz="8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8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shd w:val="clear" w:color="000000" w:fill="1F3864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IUS</w:t>
            </w:r>
          </w:p>
        </w:tc>
        <w:tc>
          <w:tcPr>
            <w:tcW w:w="0" w:type="auto"/>
            <w:tcBorders>
              <w:top w:val="single" w:sz="8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shd w:val="clear" w:color="000000" w:fill="1F3864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75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B1C9E0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51 (68.0)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14 (18.7)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6 (8.0)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 (4.0)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 (1.3)</w:t>
            </w:r>
          </w:p>
        </w:tc>
      </w:tr>
      <w:tr w:rsidR="00AC4DCB" w:rsidRPr="00B04C49" w:rsidTr="00D4033E">
        <w:trPr>
          <w:trHeight w:val="20"/>
        </w:trPr>
        <w:tc>
          <w:tcPr>
            <w:tcW w:w="0" w:type="auto"/>
            <w:vMerge/>
            <w:tcBorders>
              <w:top w:val="single" w:sz="8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8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shd w:val="clear" w:color="000000" w:fill="1F3864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IUD</w:t>
            </w:r>
          </w:p>
        </w:tc>
        <w:tc>
          <w:tcPr>
            <w:tcW w:w="0" w:type="auto"/>
            <w:tcBorders>
              <w:top w:val="single" w:sz="8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shd w:val="clear" w:color="000000" w:fill="1F3864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11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B1C9E0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6 (54.5)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 (27.3)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 (9.1)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 (9.1)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</w:t>
            </w:r>
          </w:p>
        </w:tc>
      </w:tr>
      <w:tr w:rsidR="00AC4DCB" w:rsidRPr="00B04C49" w:rsidTr="00D4033E">
        <w:trPr>
          <w:trHeight w:val="20"/>
        </w:trPr>
        <w:tc>
          <w:tcPr>
            <w:tcW w:w="0" w:type="auto"/>
            <w:vMerge/>
            <w:tcBorders>
              <w:top w:val="single" w:sz="8" w:space="0" w:color="B1C9E0"/>
              <w:left w:val="single" w:sz="8" w:space="0" w:color="B1C9E0"/>
              <w:bottom w:val="single" w:sz="12" w:space="0" w:color="B1C9E0"/>
              <w:right w:val="single" w:sz="8" w:space="0" w:color="B1C9E0"/>
            </w:tcBorders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8" w:space="0" w:color="B1C9E0"/>
              <w:left w:val="single" w:sz="8" w:space="0" w:color="B1C9E0"/>
              <w:bottom w:val="single" w:sz="12" w:space="0" w:color="B1C9E0"/>
              <w:right w:val="single" w:sz="8" w:space="0" w:color="B1C9E0"/>
            </w:tcBorders>
            <w:shd w:val="clear" w:color="000000" w:fill="1F3864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Vaginal contraception</w:t>
            </w:r>
          </w:p>
        </w:tc>
        <w:tc>
          <w:tcPr>
            <w:tcW w:w="0" w:type="auto"/>
            <w:tcBorders>
              <w:top w:val="single" w:sz="8" w:space="0" w:color="B1C9E0"/>
              <w:left w:val="single" w:sz="8" w:space="0" w:color="B1C9E0"/>
              <w:bottom w:val="single" w:sz="12" w:space="0" w:color="B1C9E0"/>
              <w:right w:val="single" w:sz="8" w:space="0" w:color="B1C9E0"/>
            </w:tcBorders>
            <w:shd w:val="clear" w:color="000000" w:fill="1F3864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10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B1C9E0"/>
              <w:bottom w:val="single" w:sz="12" w:space="0" w:color="B1C9E0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5 (50.0)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D9E3F4"/>
              <w:bottom w:val="single" w:sz="12" w:space="0" w:color="B1C9E0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 (20.0)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D9E3F4"/>
              <w:bottom w:val="single" w:sz="12" w:space="0" w:color="B1C9E0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 (20.0)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D9E3F4"/>
              <w:bottom w:val="single" w:sz="12" w:space="0" w:color="B1C9E0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 (10.0)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D9E3F4"/>
              <w:bottom w:val="single" w:sz="12" w:space="0" w:color="B1C9E0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</w:t>
            </w:r>
          </w:p>
        </w:tc>
      </w:tr>
      <w:tr w:rsidR="00AC4DCB" w:rsidRPr="00B04C49" w:rsidTr="00D4033E">
        <w:trPr>
          <w:trHeight w:val="20"/>
        </w:trPr>
        <w:tc>
          <w:tcPr>
            <w:tcW w:w="0" w:type="auto"/>
            <w:vMerge w:val="restart"/>
            <w:tcBorders>
              <w:top w:val="single" w:sz="12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shd w:val="clear" w:color="000000" w:fill="1F3864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Presence of amenorrhea</w:t>
            </w:r>
            <w:r w:rsidRPr="00B04C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en-GB" w:eastAsia="en-GB"/>
              </w:rPr>
              <w:t>b</w:t>
            </w:r>
          </w:p>
        </w:tc>
        <w:tc>
          <w:tcPr>
            <w:tcW w:w="0" w:type="auto"/>
            <w:tcBorders>
              <w:top w:val="single" w:sz="12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shd w:val="clear" w:color="000000" w:fill="1F3864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Yes</w:t>
            </w:r>
          </w:p>
        </w:tc>
        <w:tc>
          <w:tcPr>
            <w:tcW w:w="0" w:type="auto"/>
            <w:tcBorders>
              <w:top w:val="single" w:sz="12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shd w:val="clear" w:color="000000" w:fill="1F3864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120</w:t>
            </w:r>
          </w:p>
        </w:tc>
        <w:tc>
          <w:tcPr>
            <w:tcW w:w="0" w:type="auto"/>
            <w:tcBorders>
              <w:top w:val="single" w:sz="12" w:space="0" w:color="B1C9E0"/>
              <w:left w:val="single" w:sz="8" w:space="0" w:color="B1C9E0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64 (53.3)</w:t>
            </w:r>
          </w:p>
        </w:tc>
        <w:tc>
          <w:tcPr>
            <w:tcW w:w="0" w:type="auto"/>
            <w:tcBorders>
              <w:top w:val="single" w:sz="12" w:space="0" w:color="B1C9E0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25 (20.8)</w:t>
            </w:r>
          </w:p>
        </w:tc>
        <w:tc>
          <w:tcPr>
            <w:tcW w:w="0" w:type="auto"/>
            <w:tcBorders>
              <w:top w:val="single" w:sz="12" w:space="0" w:color="B1C9E0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14 (11.7)</w:t>
            </w:r>
          </w:p>
        </w:tc>
        <w:tc>
          <w:tcPr>
            <w:tcW w:w="0" w:type="auto"/>
            <w:tcBorders>
              <w:top w:val="single" w:sz="12" w:space="0" w:color="B1C9E0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13 (10.8)</w:t>
            </w:r>
          </w:p>
        </w:tc>
        <w:tc>
          <w:tcPr>
            <w:tcW w:w="0" w:type="auto"/>
            <w:tcBorders>
              <w:top w:val="single" w:sz="12" w:space="0" w:color="B1C9E0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4 (3.3)</w:t>
            </w:r>
          </w:p>
        </w:tc>
      </w:tr>
      <w:tr w:rsidR="00AC4DCB" w:rsidRPr="00B04C49" w:rsidTr="00D4033E">
        <w:trPr>
          <w:trHeight w:val="20"/>
        </w:trPr>
        <w:tc>
          <w:tcPr>
            <w:tcW w:w="0" w:type="auto"/>
            <w:vMerge/>
            <w:tcBorders>
              <w:top w:val="single" w:sz="8" w:space="0" w:color="B1C9E0"/>
              <w:left w:val="single" w:sz="8" w:space="0" w:color="B1C9E0"/>
              <w:bottom w:val="single" w:sz="12" w:space="0" w:color="B1C9E0"/>
              <w:right w:val="single" w:sz="8" w:space="0" w:color="B1C9E0"/>
            </w:tcBorders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8" w:space="0" w:color="B1C9E0"/>
              <w:left w:val="single" w:sz="8" w:space="0" w:color="B1C9E0"/>
              <w:bottom w:val="single" w:sz="12" w:space="0" w:color="B1C9E0"/>
              <w:right w:val="single" w:sz="8" w:space="0" w:color="B1C9E0"/>
            </w:tcBorders>
            <w:shd w:val="clear" w:color="000000" w:fill="1F3864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 xml:space="preserve">No </w:t>
            </w:r>
          </w:p>
        </w:tc>
        <w:tc>
          <w:tcPr>
            <w:tcW w:w="0" w:type="auto"/>
            <w:tcBorders>
              <w:top w:val="single" w:sz="8" w:space="0" w:color="B1C9E0"/>
              <w:left w:val="single" w:sz="8" w:space="0" w:color="B1C9E0"/>
              <w:bottom w:val="single" w:sz="12" w:space="0" w:color="B1C9E0"/>
              <w:right w:val="single" w:sz="8" w:space="0" w:color="B1C9E0"/>
            </w:tcBorders>
            <w:shd w:val="clear" w:color="000000" w:fill="1F3864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272</w:t>
            </w: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B1C9E0"/>
              <w:bottom w:val="single" w:sz="12" w:space="0" w:color="B1C9E0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140 (51.5)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D9E3F4"/>
              <w:bottom w:val="single" w:sz="12" w:space="0" w:color="B1C9E0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60 (22.1)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D9E3F4"/>
              <w:bottom w:val="single" w:sz="12" w:space="0" w:color="B1C9E0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39 (14.3)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D9E3F4"/>
              <w:bottom w:val="single" w:sz="12" w:space="0" w:color="B1C9E0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26 (9.6)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D9E3F4"/>
              <w:bottom w:val="single" w:sz="12" w:space="0" w:color="B1C9E0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7 (2.6)</w:t>
            </w:r>
          </w:p>
        </w:tc>
      </w:tr>
      <w:tr w:rsidR="00AC4DCB" w:rsidRPr="00B04C49" w:rsidTr="00D4033E">
        <w:trPr>
          <w:trHeight w:val="20"/>
        </w:trPr>
        <w:tc>
          <w:tcPr>
            <w:tcW w:w="0" w:type="auto"/>
            <w:vMerge w:val="restart"/>
            <w:tcBorders>
              <w:top w:val="single" w:sz="12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shd w:val="clear" w:color="000000" w:fill="1F3864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Dysmenorrhea severity</w:t>
            </w:r>
            <w:r w:rsidRPr="00B04C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en-GB" w:eastAsia="en-GB"/>
              </w:rPr>
              <w:t>c</w:t>
            </w:r>
          </w:p>
        </w:tc>
        <w:tc>
          <w:tcPr>
            <w:tcW w:w="0" w:type="auto"/>
            <w:tcBorders>
              <w:top w:val="single" w:sz="12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shd w:val="clear" w:color="000000" w:fill="1F3864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No dysmenorrhea</w:t>
            </w:r>
          </w:p>
        </w:tc>
        <w:tc>
          <w:tcPr>
            <w:tcW w:w="0" w:type="auto"/>
            <w:tcBorders>
              <w:top w:val="single" w:sz="12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shd w:val="clear" w:color="000000" w:fill="1F3864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161</w:t>
            </w:r>
          </w:p>
        </w:tc>
        <w:tc>
          <w:tcPr>
            <w:tcW w:w="0" w:type="auto"/>
            <w:tcBorders>
              <w:top w:val="single" w:sz="12" w:space="0" w:color="B1C9E0"/>
              <w:left w:val="single" w:sz="8" w:space="0" w:color="B1C9E0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93 (57.8)</w:t>
            </w:r>
          </w:p>
        </w:tc>
        <w:tc>
          <w:tcPr>
            <w:tcW w:w="0" w:type="auto"/>
            <w:tcBorders>
              <w:top w:val="single" w:sz="12" w:space="0" w:color="B1C9E0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30 (18.6)</w:t>
            </w:r>
          </w:p>
        </w:tc>
        <w:tc>
          <w:tcPr>
            <w:tcW w:w="0" w:type="auto"/>
            <w:tcBorders>
              <w:top w:val="single" w:sz="12" w:space="0" w:color="B1C9E0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20 (12.4)</w:t>
            </w:r>
          </w:p>
        </w:tc>
        <w:tc>
          <w:tcPr>
            <w:tcW w:w="0" w:type="auto"/>
            <w:tcBorders>
              <w:top w:val="single" w:sz="12" w:space="0" w:color="B1C9E0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14 (8.7)</w:t>
            </w:r>
          </w:p>
        </w:tc>
        <w:tc>
          <w:tcPr>
            <w:tcW w:w="0" w:type="auto"/>
            <w:tcBorders>
              <w:top w:val="single" w:sz="12" w:space="0" w:color="B1C9E0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4 (2.5)</w:t>
            </w:r>
          </w:p>
        </w:tc>
      </w:tr>
      <w:tr w:rsidR="00AC4DCB" w:rsidRPr="00B04C49" w:rsidTr="00D4033E">
        <w:trPr>
          <w:trHeight w:val="20"/>
        </w:trPr>
        <w:tc>
          <w:tcPr>
            <w:tcW w:w="0" w:type="auto"/>
            <w:vMerge/>
            <w:tcBorders>
              <w:top w:val="single" w:sz="8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8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shd w:val="clear" w:color="000000" w:fill="1F3864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 xml:space="preserve">Mild </w:t>
            </w:r>
          </w:p>
        </w:tc>
        <w:tc>
          <w:tcPr>
            <w:tcW w:w="0" w:type="auto"/>
            <w:tcBorders>
              <w:top w:val="single" w:sz="8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shd w:val="clear" w:color="000000" w:fill="1F3864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111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B1C9E0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57 (51.4)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25 (22.5)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17 (15.3)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9 (8.1)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 (2.7)</w:t>
            </w:r>
          </w:p>
        </w:tc>
      </w:tr>
      <w:tr w:rsidR="00AC4DCB" w:rsidRPr="00B04C49" w:rsidTr="00D4033E">
        <w:trPr>
          <w:trHeight w:val="20"/>
        </w:trPr>
        <w:tc>
          <w:tcPr>
            <w:tcW w:w="0" w:type="auto"/>
            <w:vMerge/>
            <w:tcBorders>
              <w:top w:val="single" w:sz="8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8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shd w:val="clear" w:color="000000" w:fill="1F3864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 xml:space="preserve">Moderate </w:t>
            </w:r>
          </w:p>
        </w:tc>
        <w:tc>
          <w:tcPr>
            <w:tcW w:w="0" w:type="auto"/>
            <w:tcBorders>
              <w:top w:val="single" w:sz="8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shd w:val="clear" w:color="000000" w:fill="1F3864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88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B1C9E0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41 (46.6)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18 (20.5)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15 (17.0)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12 (13.6)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 (2.3)</w:t>
            </w:r>
          </w:p>
        </w:tc>
      </w:tr>
      <w:tr w:rsidR="00AC4DCB" w:rsidRPr="00B04C49" w:rsidTr="00D4033E">
        <w:trPr>
          <w:trHeight w:val="20"/>
        </w:trPr>
        <w:tc>
          <w:tcPr>
            <w:tcW w:w="0" w:type="auto"/>
            <w:vMerge/>
            <w:tcBorders>
              <w:top w:val="single" w:sz="8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8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shd w:val="clear" w:color="000000" w:fill="1F3864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 xml:space="preserve">Severe </w:t>
            </w:r>
          </w:p>
        </w:tc>
        <w:tc>
          <w:tcPr>
            <w:tcW w:w="0" w:type="auto"/>
            <w:tcBorders>
              <w:top w:val="single" w:sz="8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shd w:val="clear" w:color="000000" w:fill="1F3864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B1C9E0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14 (42.4)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11 (33.3)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 (9.1)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4 (12.1)</w:t>
            </w:r>
          </w:p>
        </w:tc>
        <w:tc>
          <w:tcPr>
            <w:tcW w:w="0" w:type="auto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000000" w:fill="F6F8FC"/>
            <w:vAlign w:val="center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04C4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 (3.0)</w:t>
            </w:r>
          </w:p>
        </w:tc>
      </w:tr>
    </w:tbl>
    <w:p w:rsidR="00AC4DCB" w:rsidRPr="00B04C49" w:rsidRDefault="00AC4DCB" w:rsidP="00AC4DCB">
      <w:pPr>
        <w:spacing w:before="120"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B04C49">
        <w:rPr>
          <w:rFonts w:ascii="Times New Roman" w:hAnsi="Times New Roman" w:cs="Times New Roman"/>
          <w:sz w:val="20"/>
          <w:szCs w:val="20"/>
          <w:lang w:val="en-GB"/>
        </w:rPr>
        <w:t xml:space="preserve">FAS: full analysis set; IUD: intrauterine device; IUS: intrauterine system; </w:t>
      </w:r>
      <w:r w:rsidRPr="00B04C49">
        <w:rPr>
          <w:rFonts w:ascii="Times New Roman" w:hAnsi="Times New Roman" w:cs="Times New Roman"/>
          <w:bCs/>
          <w:sz w:val="20"/>
          <w:szCs w:val="20"/>
          <w:lang w:val="en-GB"/>
        </w:rPr>
        <w:t>LNG-IUS: levonorgestrel-releasing intrauterine system</w:t>
      </w:r>
      <w:r w:rsidRPr="00B04C49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:rsidR="00AC4DCB" w:rsidRPr="00B04C49" w:rsidRDefault="00AC4DCB" w:rsidP="00AC4DCB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val="en-GB"/>
        </w:rPr>
      </w:pPr>
      <w:r w:rsidRPr="00B04C49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a</w:t>
      </w:r>
      <w:r w:rsidRPr="00B04C49">
        <w:rPr>
          <w:rFonts w:ascii="Times New Roman" w:hAnsi="Times New Roman" w:cs="Times New Roman"/>
          <w:sz w:val="20"/>
          <w:szCs w:val="20"/>
          <w:lang w:val="en-GB"/>
        </w:rPr>
        <w:t>Groups with fewer than 10 participants with available bleeding satisfaction outcome data have been excluded from the table.</w:t>
      </w:r>
    </w:p>
    <w:p w:rsidR="00AC4DCB" w:rsidRPr="00B04C49" w:rsidRDefault="00AC4DCB" w:rsidP="00AC4DCB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B04C49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b</w:t>
      </w:r>
      <w:r w:rsidRPr="00B04C49">
        <w:rPr>
          <w:rFonts w:ascii="Times New Roman" w:hAnsi="Times New Roman" w:cs="Times New Roman"/>
          <w:sz w:val="20"/>
          <w:szCs w:val="20"/>
          <w:lang w:val="en-GB"/>
        </w:rPr>
        <w:t xml:space="preserve">Data missing for 114 participants. </w:t>
      </w:r>
    </w:p>
    <w:p w:rsidR="00AC4DCB" w:rsidRPr="00B04C49" w:rsidRDefault="00AC4DCB" w:rsidP="00AC4DCB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  <w:sectPr w:rsidR="00AC4DCB" w:rsidRPr="00B04C49" w:rsidSect="00AC4DCB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B04C49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c</w:t>
      </w:r>
      <w:r w:rsidRPr="00B04C49">
        <w:rPr>
          <w:rFonts w:ascii="Times New Roman" w:hAnsi="Times New Roman" w:cs="Times New Roman"/>
          <w:sz w:val="20"/>
          <w:szCs w:val="20"/>
          <w:lang w:val="en-GB"/>
        </w:rPr>
        <w:t xml:space="preserve">Data missing for 113 participants. </w:t>
      </w:r>
    </w:p>
    <w:p w:rsidR="00AC4DCB" w:rsidRPr="00B04C49" w:rsidRDefault="00AC4DCB" w:rsidP="00AC4DCB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val="en-GB"/>
        </w:rPr>
      </w:pPr>
      <w:r w:rsidRPr="00B04C49">
        <w:rPr>
          <w:rFonts w:ascii="Times New Roman" w:hAnsi="Times New Roman" w:cs="Times New Roman"/>
          <w:b/>
          <w:bCs/>
          <w:sz w:val="20"/>
          <w:szCs w:val="20"/>
          <w:lang w:val="en-GB"/>
        </w:rPr>
        <w:lastRenderedPageBreak/>
        <w:t xml:space="preserve">Table S2 </w:t>
      </w:r>
      <w:r w:rsidRPr="00B04C49">
        <w:rPr>
          <w:rFonts w:ascii="Times New Roman" w:hAnsi="Times New Roman" w:cs="Times New Roman"/>
          <w:bCs/>
          <w:sz w:val="20"/>
          <w:szCs w:val="20"/>
          <w:lang w:val="en-GB"/>
        </w:rPr>
        <w:t>Summary of the LNG-IUS-19.5mg–related TEAEs at 12 months/premature discontinuation for the German population and overall population in KYSS (safety analysis set)</w:t>
      </w:r>
      <w:r w:rsidRPr="00B04C49">
        <w:rPr>
          <w:rFonts w:ascii="Times New Roman" w:hAnsi="Times New Roman" w:cs="Times New Roman"/>
          <w:bCs/>
          <w:sz w:val="20"/>
          <w:szCs w:val="20"/>
          <w:vertAlign w:val="superscript"/>
          <w:lang w:val="en-GB"/>
        </w:rPr>
        <w:t>a,b</w:t>
      </w:r>
    </w:p>
    <w:tbl>
      <w:tblPr>
        <w:tblStyle w:val="GridTable1Light-Accent5"/>
        <w:tblW w:w="0" w:type="auto"/>
        <w:tblLook w:val="04A0" w:firstRow="1" w:lastRow="0" w:firstColumn="1" w:lastColumn="0" w:noHBand="0" w:noVBand="1"/>
      </w:tblPr>
      <w:tblGrid>
        <w:gridCol w:w="4172"/>
        <w:gridCol w:w="2719"/>
      </w:tblGrid>
      <w:tr w:rsidR="00AC4DCB" w:rsidRPr="00B04C49" w:rsidTr="00D403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1F4E79" w:themeFill="accent1" w:themeFillShade="80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TEAE, n (%)</w:t>
            </w:r>
          </w:p>
        </w:tc>
        <w:tc>
          <w:tcPr>
            <w:tcW w:w="0" w:type="auto"/>
            <w:shd w:val="clear" w:color="auto" w:fill="1F4E79" w:themeFill="accent1" w:themeFillShade="80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German participants (n=508)</w:t>
            </w:r>
          </w:p>
        </w:tc>
      </w:tr>
      <w:tr w:rsidR="00AC4DCB" w:rsidRPr="00B04C49" w:rsidTr="00D4033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EEAF6" w:themeFill="accent1" w:themeFillTint="33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i/>
                <w:iCs/>
                <w:kern w:val="24"/>
                <w:sz w:val="20"/>
                <w:szCs w:val="20"/>
                <w:lang w:val="en-GB"/>
              </w:rPr>
              <w:t>Any LNG-IUS-19.5mg–related TEAE</w:t>
            </w:r>
          </w:p>
        </w:tc>
        <w:tc>
          <w:tcPr>
            <w:tcW w:w="0" w:type="auto"/>
            <w:shd w:val="clear" w:color="auto" w:fill="F6F8FC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val="en-GB"/>
              </w:rPr>
              <w:t>47 (9.3)</w:t>
            </w:r>
          </w:p>
        </w:tc>
      </w:tr>
      <w:tr w:rsidR="00AC4DCB" w:rsidRPr="00B04C49" w:rsidTr="00D4033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EEAF6" w:themeFill="accent1" w:themeFillTint="33"/>
            <w:hideMark/>
          </w:tcPr>
          <w:p w:rsidR="00AC4DCB" w:rsidRPr="00B04C49" w:rsidRDefault="00AC4DCB" w:rsidP="00D4033E">
            <w:pPr>
              <w:pStyle w:val="NormalWeb"/>
              <w:spacing w:before="60" w:beforeAutospacing="0" w:after="60" w:afterAutospacing="0" w:line="276" w:lineRule="auto"/>
              <w:jc w:val="both"/>
              <w:rPr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B04C49">
              <w:rPr>
                <w:i/>
                <w:iCs/>
                <w:kern w:val="24"/>
                <w:sz w:val="20"/>
                <w:szCs w:val="20"/>
                <w:lang w:val="en-GB"/>
              </w:rPr>
              <w:t>Reproductive system and breast disorders</w:t>
            </w:r>
          </w:p>
          <w:p w:rsidR="00AC4DCB" w:rsidRPr="00B04C49" w:rsidRDefault="00AC4DCB" w:rsidP="00D4033E">
            <w:pPr>
              <w:pStyle w:val="NormalWeb"/>
              <w:spacing w:before="60" w:beforeAutospacing="0" w:after="60" w:afterAutospacing="0" w:line="276" w:lineRule="auto"/>
              <w:jc w:val="both"/>
              <w:rPr>
                <w:b w:val="0"/>
                <w:bCs w:val="0"/>
                <w:kern w:val="24"/>
                <w:sz w:val="20"/>
                <w:szCs w:val="20"/>
                <w:lang w:val="en-GB"/>
              </w:rPr>
            </w:pPr>
            <w:r w:rsidRPr="00B04C49">
              <w:rPr>
                <w:kern w:val="24"/>
                <w:sz w:val="20"/>
                <w:szCs w:val="20"/>
                <w:lang w:val="en-GB"/>
              </w:rPr>
              <w:t xml:space="preserve">        Cervical dysplasia</w:t>
            </w:r>
          </w:p>
          <w:p w:rsidR="00AC4DCB" w:rsidRPr="00B04C49" w:rsidRDefault="00AC4DCB" w:rsidP="00D4033E">
            <w:pPr>
              <w:pStyle w:val="NormalWeb"/>
              <w:spacing w:before="60" w:beforeAutospacing="0" w:after="60" w:afterAutospacing="0" w:line="276" w:lineRule="auto"/>
              <w:jc w:val="both"/>
              <w:rPr>
                <w:kern w:val="24"/>
                <w:sz w:val="20"/>
                <w:szCs w:val="20"/>
                <w:lang w:val="en-GB"/>
              </w:rPr>
            </w:pPr>
            <w:r w:rsidRPr="00B04C49">
              <w:rPr>
                <w:kern w:val="24"/>
                <w:sz w:val="20"/>
                <w:szCs w:val="20"/>
                <w:lang w:val="en-GB"/>
              </w:rPr>
              <w:t xml:space="preserve">        Dysmenorrhea</w:t>
            </w:r>
          </w:p>
          <w:p w:rsidR="00AC4DCB" w:rsidRPr="00B04C49" w:rsidRDefault="00AC4DCB" w:rsidP="00D4033E">
            <w:pPr>
              <w:pStyle w:val="NormalWeb"/>
              <w:spacing w:before="60" w:beforeAutospacing="0" w:after="60" w:afterAutospacing="0" w:line="276" w:lineRule="auto"/>
              <w:jc w:val="both"/>
              <w:rPr>
                <w:b w:val="0"/>
                <w:bCs w:val="0"/>
                <w:kern w:val="24"/>
                <w:sz w:val="20"/>
                <w:szCs w:val="20"/>
                <w:lang w:val="en-GB"/>
              </w:rPr>
            </w:pPr>
            <w:r w:rsidRPr="00B04C49">
              <w:rPr>
                <w:kern w:val="24"/>
                <w:sz w:val="20"/>
                <w:szCs w:val="20"/>
                <w:lang w:val="en-GB"/>
              </w:rPr>
              <w:t xml:space="preserve">        Genital hemorrhage</w:t>
            </w:r>
          </w:p>
          <w:p w:rsidR="00AC4DCB" w:rsidRPr="00B04C49" w:rsidRDefault="00AC4DCB" w:rsidP="00D4033E">
            <w:pPr>
              <w:pStyle w:val="NormalWeb"/>
              <w:spacing w:before="60" w:beforeAutospacing="0" w:after="60" w:afterAutospacing="0" w:line="276" w:lineRule="auto"/>
              <w:jc w:val="both"/>
              <w:rPr>
                <w:b w:val="0"/>
                <w:bCs w:val="0"/>
                <w:kern w:val="24"/>
                <w:sz w:val="20"/>
                <w:szCs w:val="20"/>
                <w:lang w:val="en-GB"/>
              </w:rPr>
            </w:pPr>
            <w:r w:rsidRPr="00B04C49">
              <w:rPr>
                <w:kern w:val="24"/>
                <w:sz w:val="20"/>
                <w:szCs w:val="20"/>
                <w:lang w:val="en-GB"/>
              </w:rPr>
              <w:t xml:space="preserve">        Hypomenorrhea</w:t>
            </w:r>
          </w:p>
          <w:p w:rsidR="00AC4DCB" w:rsidRPr="00B04C49" w:rsidRDefault="00AC4DCB" w:rsidP="00D4033E">
            <w:pPr>
              <w:pStyle w:val="NormalWeb"/>
              <w:spacing w:before="60" w:beforeAutospacing="0" w:after="60" w:afterAutospacing="0" w:line="276" w:lineRule="auto"/>
              <w:jc w:val="both"/>
              <w:rPr>
                <w:b w:val="0"/>
                <w:bCs w:val="0"/>
                <w:kern w:val="24"/>
                <w:sz w:val="20"/>
                <w:szCs w:val="20"/>
                <w:lang w:val="en-GB"/>
              </w:rPr>
            </w:pPr>
            <w:r w:rsidRPr="00B04C49">
              <w:rPr>
                <w:kern w:val="24"/>
                <w:sz w:val="20"/>
                <w:szCs w:val="20"/>
                <w:lang w:val="en-GB"/>
              </w:rPr>
              <w:t xml:space="preserve">        Menorrhagia</w:t>
            </w:r>
          </w:p>
          <w:p w:rsidR="00AC4DCB" w:rsidRPr="00B04C49" w:rsidRDefault="00AC4DCB" w:rsidP="00D4033E">
            <w:pPr>
              <w:pStyle w:val="NormalWeb"/>
              <w:spacing w:before="60" w:beforeAutospacing="0" w:after="60" w:afterAutospacing="0" w:line="276" w:lineRule="auto"/>
              <w:jc w:val="both"/>
              <w:rPr>
                <w:b w:val="0"/>
                <w:bCs w:val="0"/>
                <w:kern w:val="24"/>
                <w:sz w:val="20"/>
                <w:szCs w:val="20"/>
                <w:lang w:val="en-GB"/>
              </w:rPr>
            </w:pPr>
            <w:r w:rsidRPr="00B04C49">
              <w:rPr>
                <w:kern w:val="24"/>
                <w:sz w:val="20"/>
                <w:szCs w:val="20"/>
                <w:lang w:val="en-GB"/>
              </w:rPr>
              <w:t xml:space="preserve">        Menstrual disorder</w:t>
            </w:r>
          </w:p>
          <w:p w:rsidR="00AC4DCB" w:rsidRPr="00B04C49" w:rsidRDefault="00AC4DCB" w:rsidP="00D4033E">
            <w:pPr>
              <w:pStyle w:val="NormalWeb"/>
              <w:spacing w:before="60" w:beforeAutospacing="0" w:after="60" w:afterAutospacing="0" w:line="276" w:lineRule="auto"/>
              <w:jc w:val="both"/>
              <w:rPr>
                <w:b w:val="0"/>
                <w:bCs w:val="0"/>
                <w:kern w:val="24"/>
                <w:sz w:val="20"/>
                <w:szCs w:val="20"/>
                <w:lang w:val="en-GB"/>
              </w:rPr>
            </w:pPr>
            <w:r w:rsidRPr="00B04C49">
              <w:rPr>
                <w:kern w:val="24"/>
                <w:sz w:val="20"/>
                <w:szCs w:val="20"/>
                <w:lang w:val="en-GB"/>
              </w:rPr>
              <w:t xml:space="preserve">        Metrorrhagia</w:t>
            </w:r>
          </w:p>
          <w:p w:rsidR="00AC4DCB" w:rsidRPr="00B04C49" w:rsidRDefault="00AC4DCB" w:rsidP="00D4033E">
            <w:pPr>
              <w:pStyle w:val="NormalWeb"/>
              <w:spacing w:before="60" w:beforeAutospacing="0" w:after="60" w:afterAutospacing="0" w:line="276" w:lineRule="auto"/>
              <w:jc w:val="both"/>
              <w:rPr>
                <w:kern w:val="24"/>
                <w:sz w:val="20"/>
                <w:szCs w:val="20"/>
                <w:lang w:val="en-GB"/>
              </w:rPr>
            </w:pPr>
            <w:r w:rsidRPr="00B04C49">
              <w:rPr>
                <w:kern w:val="24"/>
                <w:sz w:val="20"/>
                <w:szCs w:val="20"/>
                <w:lang w:val="en-GB"/>
              </w:rPr>
              <w:t xml:space="preserve">        Ovarian cyst</w:t>
            </w:r>
          </w:p>
          <w:p w:rsidR="00AC4DCB" w:rsidRPr="00B04C49" w:rsidRDefault="00AC4DCB" w:rsidP="00D4033E">
            <w:pPr>
              <w:pStyle w:val="NormalWeb"/>
              <w:spacing w:before="60" w:beforeAutospacing="0" w:after="60" w:afterAutospacing="0" w:line="276" w:lineRule="auto"/>
              <w:jc w:val="both"/>
              <w:rPr>
                <w:b w:val="0"/>
                <w:bCs w:val="0"/>
                <w:kern w:val="24"/>
                <w:sz w:val="20"/>
                <w:szCs w:val="20"/>
                <w:lang w:val="en-GB"/>
              </w:rPr>
            </w:pPr>
            <w:r w:rsidRPr="00B04C49">
              <w:rPr>
                <w:kern w:val="24"/>
                <w:sz w:val="20"/>
                <w:szCs w:val="20"/>
                <w:lang w:val="en-GB"/>
              </w:rPr>
              <w:t xml:space="preserve">        Ovarian cyst ruptured</w:t>
            </w:r>
          </w:p>
          <w:p w:rsidR="00AC4DCB" w:rsidRPr="00B04C49" w:rsidRDefault="00AC4DCB" w:rsidP="00D4033E">
            <w:pPr>
              <w:pStyle w:val="NormalWeb"/>
              <w:spacing w:before="60" w:beforeAutospacing="0" w:after="60" w:afterAutospacing="0" w:line="276" w:lineRule="auto"/>
              <w:jc w:val="both"/>
              <w:rPr>
                <w:b w:val="0"/>
                <w:bCs w:val="0"/>
                <w:kern w:val="24"/>
                <w:sz w:val="20"/>
                <w:szCs w:val="20"/>
                <w:lang w:val="en-GB"/>
              </w:rPr>
            </w:pPr>
            <w:r w:rsidRPr="00B04C49">
              <w:rPr>
                <w:kern w:val="24"/>
                <w:sz w:val="20"/>
                <w:szCs w:val="20"/>
                <w:lang w:val="en-GB"/>
              </w:rPr>
              <w:t xml:space="preserve">        Pelvic pain</w:t>
            </w:r>
          </w:p>
          <w:p w:rsidR="00AC4DCB" w:rsidRPr="00B04C49" w:rsidRDefault="00AC4DCB" w:rsidP="00D4033E">
            <w:pPr>
              <w:pStyle w:val="NormalWeb"/>
              <w:spacing w:before="60" w:beforeAutospacing="0" w:after="60" w:afterAutospacing="0" w:line="276" w:lineRule="auto"/>
              <w:jc w:val="both"/>
              <w:rPr>
                <w:b w:val="0"/>
                <w:bCs w:val="0"/>
                <w:kern w:val="24"/>
                <w:sz w:val="20"/>
                <w:szCs w:val="20"/>
                <w:lang w:val="en-GB"/>
              </w:rPr>
            </w:pPr>
            <w:r w:rsidRPr="00B04C49">
              <w:rPr>
                <w:kern w:val="24"/>
                <w:sz w:val="20"/>
                <w:szCs w:val="20"/>
                <w:lang w:val="en-GB"/>
              </w:rPr>
              <w:t xml:space="preserve">        Uterine hemorrhage</w:t>
            </w:r>
          </w:p>
          <w:p w:rsidR="00AC4DCB" w:rsidRPr="00B04C49" w:rsidRDefault="00AC4DCB" w:rsidP="00D4033E">
            <w:pPr>
              <w:pStyle w:val="NormalWeb"/>
              <w:spacing w:before="60" w:beforeAutospacing="0" w:after="60" w:afterAutospacing="0" w:line="276" w:lineRule="auto"/>
              <w:jc w:val="both"/>
              <w:rPr>
                <w:b w:val="0"/>
                <w:bCs w:val="0"/>
                <w:kern w:val="24"/>
                <w:sz w:val="20"/>
                <w:szCs w:val="20"/>
                <w:lang w:val="en-GB"/>
              </w:rPr>
            </w:pPr>
            <w:r w:rsidRPr="00B04C49">
              <w:rPr>
                <w:kern w:val="24"/>
                <w:sz w:val="20"/>
                <w:szCs w:val="20"/>
                <w:lang w:val="en-GB"/>
              </w:rPr>
              <w:t xml:space="preserve">        Vaginal hemorrhage</w:t>
            </w:r>
          </w:p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 xml:space="preserve">        Vulvovaginal burning sensation</w:t>
            </w:r>
          </w:p>
        </w:tc>
        <w:tc>
          <w:tcPr>
            <w:tcW w:w="0" w:type="auto"/>
            <w:shd w:val="clear" w:color="auto" w:fill="F6F8FC"/>
            <w:hideMark/>
          </w:tcPr>
          <w:p w:rsidR="00AC4DCB" w:rsidRPr="00B04C49" w:rsidRDefault="00AC4DCB" w:rsidP="00D4033E">
            <w:pPr>
              <w:pStyle w:val="NormalWeb"/>
              <w:spacing w:before="60" w:beforeAutospacing="0" w:after="60" w:afterAutospacing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szCs w:val="20"/>
                <w:lang w:val="en-GB"/>
              </w:rPr>
            </w:pPr>
            <w:r w:rsidRPr="00B04C49">
              <w:rPr>
                <w:kern w:val="24"/>
                <w:sz w:val="20"/>
                <w:szCs w:val="20"/>
                <w:lang w:val="en-GB"/>
              </w:rPr>
              <w:t>26 (5.1)</w:t>
            </w:r>
          </w:p>
          <w:p w:rsidR="00AC4DCB" w:rsidRPr="00B04C49" w:rsidRDefault="00AC4DCB" w:rsidP="00D4033E">
            <w:pPr>
              <w:pStyle w:val="NormalWeb"/>
              <w:spacing w:before="60" w:beforeAutospacing="0" w:after="60" w:afterAutospacing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szCs w:val="20"/>
                <w:lang w:val="en-GB"/>
              </w:rPr>
            </w:pPr>
            <w:r w:rsidRPr="00B04C49">
              <w:rPr>
                <w:kern w:val="24"/>
                <w:sz w:val="20"/>
                <w:szCs w:val="20"/>
                <w:lang w:val="en-GB"/>
              </w:rPr>
              <w:t>1 (0.2)</w:t>
            </w:r>
          </w:p>
          <w:p w:rsidR="00AC4DCB" w:rsidRPr="00B04C49" w:rsidRDefault="00AC4DCB" w:rsidP="00D4033E">
            <w:pPr>
              <w:pStyle w:val="NormalWeb"/>
              <w:spacing w:before="60" w:beforeAutospacing="0" w:after="60" w:afterAutospacing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kern w:val="24"/>
                <w:sz w:val="20"/>
                <w:szCs w:val="20"/>
                <w:lang w:val="en-GB"/>
              </w:rPr>
            </w:pPr>
            <w:r w:rsidRPr="00B04C49">
              <w:rPr>
                <w:b/>
                <w:bCs/>
                <w:kern w:val="24"/>
                <w:sz w:val="20"/>
                <w:szCs w:val="20"/>
                <w:lang w:val="en-GB"/>
              </w:rPr>
              <w:t>3 (0.6)</w:t>
            </w:r>
          </w:p>
          <w:p w:rsidR="00AC4DCB" w:rsidRPr="00B04C49" w:rsidRDefault="00AC4DCB" w:rsidP="00D4033E">
            <w:pPr>
              <w:pStyle w:val="NormalWeb"/>
              <w:spacing w:before="60" w:beforeAutospacing="0" w:after="60" w:afterAutospacing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szCs w:val="20"/>
                <w:lang w:val="en-GB"/>
              </w:rPr>
            </w:pPr>
            <w:r w:rsidRPr="00B04C49">
              <w:rPr>
                <w:kern w:val="24"/>
                <w:sz w:val="20"/>
                <w:szCs w:val="20"/>
                <w:lang w:val="en-GB"/>
              </w:rPr>
              <w:t>1 (0.2)</w:t>
            </w:r>
          </w:p>
          <w:p w:rsidR="00AC4DCB" w:rsidRPr="00B04C49" w:rsidRDefault="00AC4DCB" w:rsidP="00D4033E">
            <w:pPr>
              <w:pStyle w:val="NormalWeb"/>
              <w:spacing w:before="60" w:beforeAutospacing="0" w:after="60" w:afterAutospacing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szCs w:val="20"/>
                <w:lang w:val="en-GB"/>
              </w:rPr>
            </w:pPr>
            <w:r w:rsidRPr="00B04C49">
              <w:rPr>
                <w:kern w:val="24"/>
                <w:sz w:val="20"/>
                <w:szCs w:val="20"/>
                <w:lang w:val="en-GB"/>
              </w:rPr>
              <w:t>1 (0.2)</w:t>
            </w:r>
          </w:p>
          <w:p w:rsidR="00AC4DCB" w:rsidRPr="00B04C49" w:rsidRDefault="00AC4DCB" w:rsidP="00D4033E">
            <w:pPr>
              <w:pStyle w:val="NormalWeb"/>
              <w:spacing w:before="60" w:beforeAutospacing="0" w:after="60" w:afterAutospacing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szCs w:val="20"/>
                <w:lang w:val="en-GB"/>
              </w:rPr>
            </w:pPr>
            <w:r w:rsidRPr="00B04C49">
              <w:rPr>
                <w:kern w:val="24"/>
                <w:sz w:val="20"/>
                <w:szCs w:val="20"/>
                <w:lang w:val="en-GB"/>
              </w:rPr>
              <w:t>6 (1.2)</w:t>
            </w:r>
          </w:p>
          <w:p w:rsidR="00AC4DCB" w:rsidRPr="00B04C49" w:rsidRDefault="00AC4DCB" w:rsidP="00D4033E">
            <w:pPr>
              <w:pStyle w:val="NormalWeb"/>
              <w:spacing w:before="60" w:beforeAutospacing="0" w:after="60" w:afterAutospacing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szCs w:val="20"/>
                <w:lang w:val="en-GB"/>
              </w:rPr>
            </w:pPr>
            <w:r w:rsidRPr="00B04C49">
              <w:rPr>
                <w:kern w:val="24"/>
                <w:sz w:val="20"/>
                <w:szCs w:val="20"/>
                <w:lang w:val="en-GB"/>
              </w:rPr>
              <w:t>2 (0.4)</w:t>
            </w:r>
          </w:p>
          <w:p w:rsidR="00AC4DCB" w:rsidRPr="00B04C49" w:rsidRDefault="00AC4DCB" w:rsidP="00D4033E">
            <w:pPr>
              <w:pStyle w:val="NormalWeb"/>
              <w:spacing w:before="60" w:beforeAutospacing="0" w:after="60" w:afterAutospacing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szCs w:val="20"/>
                <w:lang w:val="en-GB"/>
              </w:rPr>
            </w:pPr>
            <w:r w:rsidRPr="00B04C49">
              <w:rPr>
                <w:kern w:val="24"/>
                <w:sz w:val="20"/>
                <w:szCs w:val="20"/>
                <w:lang w:val="en-GB"/>
              </w:rPr>
              <w:t>4 (0.8)</w:t>
            </w:r>
          </w:p>
          <w:p w:rsidR="00AC4DCB" w:rsidRPr="00B04C49" w:rsidRDefault="00AC4DCB" w:rsidP="00D4033E">
            <w:pPr>
              <w:pStyle w:val="NormalWeb"/>
              <w:spacing w:before="60" w:beforeAutospacing="0" w:after="60" w:afterAutospacing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kern w:val="24"/>
                <w:sz w:val="20"/>
                <w:szCs w:val="20"/>
                <w:lang w:val="en-GB"/>
              </w:rPr>
            </w:pPr>
            <w:r w:rsidRPr="00B04C49">
              <w:rPr>
                <w:b/>
                <w:bCs/>
                <w:kern w:val="24"/>
                <w:sz w:val="20"/>
                <w:szCs w:val="20"/>
                <w:lang w:val="en-GB"/>
              </w:rPr>
              <w:t>4 (0.8)</w:t>
            </w:r>
          </w:p>
          <w:p w:rsidR="00AC4DCB" w:rsidRPr="00B04C49" w:rsidRDefault="00AC4DCB" w:rsidP="00D4033E">
            <w:pPr>
              <w:pStyle w:val="NormalWeb"/>
              <w:spacing w:before="60" w:beforeAutospacing="0" w:after="60" w:afterAutospacing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szCs w:val="20"/>
                <w:lang w:val="en-GB"/>
              </w:rPr>
            </w:pPr>
            <w:r w:rsidRPr="00B04C49">
              <w:rPr>
                <w:kern w:val="24"/>
                <w:sz w:val="20"/>
                <w:szCs w:val="20"/>
                <w:lang w:val="en-GB"/>
              </w:rPr>
              <w:t>1 (0.2)</w:t>
            </w:r>
          </w:p>
          <w:p w:rsidR="00AC4DCB" w:rsidRPr="00B04C49" w:rsidRDefault="00AC4DCB" w:rsidP="00D4033E">
            <w:pPr>
              <w:pStyle w:val="NormalWeb"/>
              <w:spacing w:before="60" w:beforeAutospacing="0" w:after="60" w:afterAutospacing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szCs w:val="20"/>
                <w:lang w:val="en-GB"/>
              </w:rPr>
            </w:pPr>
            <w:r w:rsidRPr="00B04C49">
              <w:rPr>
                <w:kern w:val="24"/>
                <w:sz w:val="20"/>
                <w:szCs w:val="20"/>
                <w:lang w:val="en-GB"/>
              </w:rPr>
              <w:t>1 (0.2)</w:t>
            </w:r>
          </w:p>
          <w:p w:rsidR="00AC4DCB" w:rsidRPr="00B04C49" w:rsidRDefault="00AC4DCB" w:rsidP="00D4033E">
            <w:pPr>
              <w:pStyle w:val="NormalWeb"/>
              <w:spacing w:before="60" w:beforeAutospacing="0" w:after="60" w:afterAutospacing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szCs w:val="20"/>
                <w:lang w:val="en-GB"/>
              </w:rPr>
            </w:pPr>
            <w:r w:rsidRPr="00B04C49">
              <w:rPr>
                <w:kern w:val="24"/>
                <w:sz w:val="20"/>
                <w:szCs w:val="20"/>
                <w:lang w:val="en-GB"/>
              </w:rPr>
              <w:t>3 (0.6)</w:t>
            </w:r>
          </w:p>
          <w:p w:rsidR="00AC4DCB" w:rsidRPr="00B04C49" w:rsidRDefault="00AC4DCB" w:rsidP="00D4033E">
            <w:pPr>
              <w:pStyle w:val="NormalWeb"/>
              <w:spacing w:before="60" w:beforeAutospacing="0" w:after="60" w:afterAutospacing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szCs w:val="20"/>
                <w:lang w:val="en-GB"/>
              </w:rPr>
            </w:pPr>
            <w:r w:rsidRPr="00B04C49">
              <w:rPr>
                <w:kern w:val="24"/>
                <w:sz w:val="20"/>
                <w:szCs w:val="20"/>
                <w:lang w:val="en-GB"/>
              </w:rPr>
              <w:t>4 (0.8)</w:t>
            </w:r>
          </w:p>
          <w:p w:rsidR="00AC4DCB" w:rsidRPr="00B04C49" w:rsidRDefault="00AC4DCB" w:rsidP="00D4033E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1 (0.2)</w:t>
            </w:r>
          </w:p>
        </w:tc>
      </w:tr>
      <w:tr w:rsidR="00AC4DCB" w:rsidRPr="00B04C49" w:rsidTr="00D4033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EEAF6" w:themeFill="accent1" w:themeFillTint="33"/>
          </w:tcPr>
          <w:p w:rsidR="00AC4DCB" w:rsidRPr="00B04C49" w:rsidRDefault="00AC4DCB" w:rsidP="00D4033E">
            <w:pPr>
              <w:pStyle w:val="NormalWeb"/>
              <w:spacing w:before="60" w:beforeAutospacing="0" w:after="60" w:afterAutospacing="0" w:line="276" w:lineRule="auto"/>
              <w:jc w:val="both"/>
              <w:rPr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B04C49">
              <w:rPr>
                <w:i/>
                <w:iCs/>
                <w:kern w:val="24"/>
                <w:sz w:val="20"/>
                <w:szCs w:val="20"/>
                <w:lang w:val="en-GB"/>
              </w:rPr>
              <w:t>Gastrointestinal disorders</w:t>
            </w:r>
          </w:p>
          <w:p w:rsidR="00AC4DCB" w:rsidRPr="00B04C49" w:rsidRDefault="00AC4DCB" w:rsidP="00D4033E">
            <w:pPr>
              <w:pStyle w:val="NormalWeb"/>
              <w:spacing w:before="60" w:beforeAutospacing="0" w:after="60" w:afterAutospacing="0" w:line="276" w:lineRule="auto"/>
              <w:jc w:val="both"/>
              <w:rPr>
                <w:b w:val="0"/>
                <w:bCs w:val="0"/>
                <w:kern w:val="24"/>
                <w:sz w:val="20"/>
                <w:szCs w:val="20"/>
                <w:lang w:val="en-GB"/>
              </w:rPr>
            </w:pPr>
            <w:r w:rsidRPr="00B04C49">
              <w:rPr>
                <w:kern w:val="24"/>
                <w:sz w:val="20"/>
                <w:szCs w:val="20"/>
                <w:lang w:val="en-GB"/>
              </w:rPr>
              <w:t xml:space="preserve">        Abdominal pain</w:t>
            </w:r>
          </w:p>
          <w:p w:rsidR="00AC4DCB" w:rsidRPr="00B04C49" w:rsidRDefault="00AC4DCB" w:rsidP="00D4033E">
            <w:pPr>
              <w:pStyle w:val="NormalWeb"/>
              <w:spacing w:before="60" w:beforeAutospacing="0" w:after="60" w:afterAutospacing="0" w:line="276" w:lineRule="auto"/>
              <w:jc w:val="both"/>
              <w:rPr>
                <w:b w:val="0"/>
                <w:bCs w:val="0"/>
                <w:kern w:val="24"/>
                <w:sz w:val="20"/>
                <w:szCs w:val="20"/>
                <w:lang w:val="en-GB"/>
              </w:rPr>
            </w:pPr>
            <w:r w:rsidRPr="00B04C49">
              <w:rPr>
                <w:kern w:val="24"/>
                <w:sz w:val="20"/>
                <w:szCs w:val="20"/>
                <w:lang w:val="en-GB"/>
              </w:rPr>
              <w:t xml:space="preserve">        Abdominal pain lower</w:t>
            </w:r>
          </w:p>
          <w:p w:rsidR="00AC4DCB" w:rsidRPr="00B04C49" w:rsidRDefault="00AC4DCB" w:rsidP="00D4033E">
            <w:pPr>
              <w:pStyle w:val="NormalWeb"/>
              <w:spacing w:before="60" w:beforeAutospacing="0" w:after="60" w:afterAutospacing="0" w:line="276" w:lineRule="auto"/>
              <w:jc w:val="both"/>
              <w:rPr>
                <w:b w:val="0"/>
                <w:bCs w:val="0"/>
                <w:kern w:val="24"/>
                <w:sz w:val="20"/>
                <w:szCs w:val="20"/>
                <w:lang w:val="en-GB"/>
              </w:rPr>
            </w:pPr>
            <w:r w:rsidRPr="00B04C49">
              <w:rPr>
                <w:kern w:val="24"/>
                <w:sz w:val="20"/>
                <w:szCs w:val="20"/>
                <w:lang w:val="en-GB"/>
              </w:rPr>
              <w:t xml:space="preserve">        Abdominal pain upper</w:t>
            </w:r>
          </w:p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 xml:space="preserve">        Flatulence</w:t>
            </w:r>
          </w:p>
        </w:tc>
        <w:tc>
          <w:tcPr>
            <w:tcW w:w="0" w:type="auto"/>
            <w:shd w:val="clear" w:color="auto" w:fill="F6F8FC"/>
          </w:tcPr>
          <w:p w:rsidR="00AC4DCB" w:rsidRPr="00B04C49" w:rsidRDefault="00AC4DCB" w:rsidP="00D4033E">
            <w:pPr>
              <w:pStyle w:val="NormalWeb"/>
              <w:spacing w:before="60" w:beforeAutospacing="0" w:after="60" w:afterAutospacing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szCs w:val="20"/>
                <w:lang w:val="en-GB"/>
              </w:rPr>
            </w:pPr>
            <w:r w:rsidRPr="00B04C49">
              <w:rPr>
                <w:kern w:val="24"/>
                <w:sz w:val="20"/>
                <w:szCs w:val="20"/>
                <w:lang w:val="en-GB"/>
              </w:rPr>
              <w:t>17 (3.3)</w:t>
            </w:r>
          </w:p>
          <w:p w:rsidR="00AC4DCB" w:rsidRPr="00B04C49" w:rsidRDefault="00AC4DCB" w:rsidP="00D4033E">
            <w:pPr>
              <w:pStyle w:val="NormalWeb"/>
              <w:spacing w:before="60" w:beforeAutospacing="0" w:after="60" w:afterAutospacing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szCs w:val="20"/>
                <w:lang w:val="en-GB"/>
              </w:rPr>
            </w:pPr>
            <w:r w:rsidRPr="00B04C49">
              <w:rPr>
                <w:kern w:val="24"/>
                <w:sz w:val="20"/>
                <w:szCs w:val="20"/>
                <w:lang w:val="en-GB"/>
              </w:rPr>
              <w:t>1 (0.2)</w:t>
            </w:r>
          </w:p>
          <w:p w:rsidR="00AC4DCB" w:rsidRPr="00B04C49" w:rsidRDefault="00AC4DCB" w:rsidP="00D4033E">
            <w:pPr>
              <w:pStyle w:val="NormalWeb"/>
              <w:spacing w:before="60" w:beforeAutospacing="0" w:after="60" w:afterAutospacing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szCs w:val="20"/>
                <w:lang w:val="en-GB"/>
              </w:rPr>
            </w:pPr>
            <w:r w:rsidRPr="00B04C49">
              <w:rPr>
                <w:kern w:val="24"/>
                <w:sz w:val="20"/>
                <w:szCs w:val="20"/>
                <w:lang w:val="en-GB"/>
              </w:rPr>
              <w:t>16 (3.1)</w:t>
            </w:r>
          </w:p>
          <w:p w:rsidR="00AC4DCB" w:rsidRPr="00B04C49" w:rsidRDefault="00AC4DCB" w:rsidP="00D4033E">
            <w:pPr>
              <w:pStyle w:val="NormalWeb"/>
              <w:spacing w:before="60" w:beforeAutospacing="0" w:after="60" w:afterAutospacing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szCs w:val="20"/>
                <w:lang w:val="en-GB"/>
              </w:rPr>
            </w:pPr>
            <w:r w:rsidRPr="00B04C49">
              <w:rPr>
                <w:kern w:val="24"/>
                <w:sz w:val="20"/>
                <w:szCs w:val="20"/>
                <w:lang w:val="en-GB"/>
              </w:rPr>
              <w:t>1 (0.2)</w:t>
            </w:r>
          </w:p>
          <w:p w:rsidR="00AC4DCB" w:rsidRPr="00B04C49" w:rsidRDefault="00AC4DCB" w:rsidP="00D4033E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1 (0.2)</w:t>
            </w:r>
          </w:p>
        </w:tc>
      </w:tr>
      <w:tr w:rsidR="00AC4DCB" w:rsidRPr="00B04C49" w:rsidTr="00D4033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EEAF6" w:themeFill="accent1" w:themeFillTint="33"/>
          </w:tcPr>
          <w:p w:rsidR="00AC4DCB" w:rsidRPr="00B04C49" w:rsidRDefault="00AC4DCB" w:rsidP="00D4033E">
            <w:pPr>
              <w:pStyle w:val="NormalWeb"/>
              <w:spacing w:before="60" w:beforeAutospacing="0" w:after="60" w:afterAutospacing="0" w:line="276" w:lineRule="auto"/>
              <w:jc w:val="both"/>
              <w:rPr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B04C49">
              <w:rPr>
                <w:i/>
                <w:iCs/>
                <w:kern w:val="24"/>
                <w:sz w:val="20"/>
                <w:szCs w:val="20"/>
                <w:lang w:val="en-GB"/>
              </w:rPr>
              <w:t>Skin and subcutaneous tissue disorders</w:t>
            </w:r>
          </w:p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 xml:space="preserve">        Acne</w:t>
            </w:r>
          </w:p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kern w:val="24"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 xml:space="preserve">        Alopecia</w:t>
            </w:r>
          </w:p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 xml:space="preserve">        Skin disorder</w:t>
            </w:r>
          </w:p>
        </w:tc>
        <w:tc>
          <w:tcPr>
            <w:tcW w:w="0" w:type="auto"/>
          </w:tcPr>
          <w:p w:rsidR="00AC4DCB" w:rsidRPr="00B04C49" w:rsidRDefault="00AC4DCB" w:rsidP="00D4033E">
            <w:pPr>
              <w:pStyle w:val="NormalWeb"/>
              <w:spacing w:before="60" w:beforeAutospacing="0" w:after="60" w:afterAutospacing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szCs w:val="20"/>
                <w:lang w:val="en-GB"/>
              </w:rPr>
            </w:pPr>
            <w:r w:rsidRPr="00B04C49">
              <w:rPr>
                <w:kern w:val="24"/>
                <w:sz w:val="20"/>
                <w:szCs w:val="20"/>
                <w:lang w:val="en-GB"/>
              </w:rPr>
              <w:t>5 (1.0)</w:t>
            </w:r>
          </w:p>
          <w:p w:rsidR="00AC4DCB" w:rsidRPr="00B04C49" w:rsidRDefault="00AC4DCB" w:rsidP="00D4033E">
            <w:pPr>
              <w:pStyle w:val="NormalWeb"/>
              <w:spacing w:before="60" w:beforeAutospacing="0" w:after="60" w:afterAutospacing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kern w:val="24"/>
                <w:sz w:val="20"/>
                <w:szCs w:val="20"/>
                <w:lang w:val="en-GB"/>
              </w:rPr>
            </w:pPr>
            <w:r w:rsidRPr="00B04C49">
              <w:rPr>
                <w:b/>
                <w:bCs/>
                <w:kern w:val="24"/>
                <w:sz w:val="20"/>
                <w:szCs w:val="20"/>
                <w:lang w:val="en-GB"/>
              </w:rPr>
              <w:t>2 (0.4)</w:t>
            </w:r>
          </w:p>
          <w:p w:rsidR="00AC4DCB" w:rsidRPr="00B04C49" w:rsidRDefault="00AC4DCB" w:rsidP="00D4033E">
            <w:pPr>
              <w:pStyle w:val="NormalWeb"/>
              <w:spacing w:before="60" w:beforeAutospacing="0" w:after="60" w:afterAutospacing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szCs w:val="20"/>
                <w:lang w:val="en-GB"/>
              </w:rPr>
            </w:pPr>
            <w:r w:rsidRPr="00B04C49">
              <w:rPr>
                <w:kern w:val="24"/>
                <w:sz w:val="20"/>
                <w:szCs w:val="20"/>
                <w:lang w:val="en-GB"/>
              </w:rPr>
              <w:t>1 (0.2)</w:t>
            </w:r>
          </w:p>
          <w:p w:rsidR="00AC4DCB" w:rsidRPr="00B04C49" w:rsidRDefault="00AC4DCB" w:rsidP="00D4033E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2 (0.4)</w:t>
            </w:r>
          </w:p>
        </w:tc>
      </w:tr>
      <w:tr w:rsidR="00AC4DCB" w:rsidRPr="00B04C49" w:rsidTr="00D4033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EEAF6" w:themeFill="accent1" w:themeFillTint="33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i/>
                <w:iCs/>
                <w:kern w:val="24"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i/>
                <w:iCs/>
                <w:kern w:val="24"/>
                <w:sz w:val="20"/>
                <w:szCs w:val="20"/>
                <w:lang w:val="en-GB"/>
              </w:rPr>
              <w:t>Psychiatric disorders</w:t>
            </w:r>
          </w:p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   Depressed mood</w:t>
            </w:r>
          </w:p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   Depression</w:t>
            </w:r>
          </w:p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   Listless</w:t>
            </w:r>
          </w:p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   Panic attack</w:t>
            </w:r>
          </w:p>
        </w:tc>
        <w:tc>
          <w:tcPr>
            <w:tcW w:w="0" w:type="auto"/>
            <w:hideMark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val="en-GB"/>
              </w:rPr>
              <w:t>4 (0.8)</w:t>
            </w:r>
          </w:p>
          <w:p w:rsidR="00AC4DCB" w:rsidRPr="00B04C49" w:rsidRDefault="00AC4DCB" w:rsidP="00D4033E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val="en-GB"/>
              </w:rPr>
              <w:t>1 (0.2)</w:t>
            </w:r>
          </w:p>
          <w:p w:rsidR="00AC4DCB" w:rsidRPr="00B04C49" w:rsidRDefault="00AC4DCB" w:rsidP="00D4033E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val="en-GB"/>
              </w:rPr>
              <w:t>1 (0.2)</w:t>
            </w:r>
          </w:p>
          <w:p w:rsidR="00AC4DCB" w:rsidRPr="00B04C49" w:rsidRDefault="00AC4DCB" w:rsidP="00D4033E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val="en-GB"/>
              </w:rPr>
              <w:t>1 (0.2)</w:t>
            </w:r>
          </w:p>
          <w:p w:rsidR="00AC4DCB" w:rsidRPr="00B04C49" w:rsidRDefault="00AC4DCB" w:rsidP="00D4033E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val="en-GB"/>
              </w:rPr>
              <w:t>1 (0.2)</w:t>
            </w:r>
          </w:p>
        </w:tc>
      </w:tr>
      <w:tr w:rsidR="00AC4DCB" w:rsidRPr="00B04C49" w:rsidTr="00D4033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EEAF6" w:themeFill="accent1" w:themeFillTint="33"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kern w:val="24"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i/>
                <w:iCs/>
                <w:kern w:val="24"/>
                <w:sz w:val="20"/>
                <w:szCs w:val="20"/>
                <w:lang w:val="en-GB"/>
              </w:rPr>
              <w:t>Cardiac disorders</w:t>
            </w:r>
          </w:p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 xml:space="preserve">        Cardiovascular disorder</w:t>
            </w:r>
          </w:p>
        </w:tc>
        <w:tc>
          <w:tcPr>
            <w:tcW w:w="0" w:type="auto"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2 (0.4)</w:t>
            </w:r>
          </w:p>
          <w:p w:rsidR="00AC4DCB" w:rsidRPr="00B04C49" w:rsidRDefault="00AC4DCB" w:rsidP="00D4033E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2 (0.4)</w:t>
            </w:r>
          </w:p>
        </w:tc>
      </w:tr>
      <w:tr w:rsidR="00AC4DCB" w:rsidRPr="00B04C49" w:rsidTr="00D4033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EEAF6" w:themeFill="accent1" w:themeFillTint="33"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i/>
                <w:iCs/>
                <w:kern w:val="24"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i/>
                <w:iCs/>
                <w:kern w:val="24"/>
                <w:sz w:val="20"/>
                <w:szCs w:val="20"/>
                <w:lang w:val="en-GB"/>
              </w:rPr>
              <w:t>Infections</w:t>
            </w:r>
          </w:p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   Endometritis</w:t>
            </w:r>
          </w:p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   Salpingo-oophoritis</w:t>
            </w:r>
          </w:p>
        </w:tc>
        <w:tc>
          <w:tcPr>
            <w:tcW w:w="0" w:type="auto"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val="en-GB"/>
              </w:rPr>
              <w:t>2 (0.4)</w:t>
            </w:r>
          </w:p>
          <w:p w:rsidR="00AC4DCB" w:rsidRPr="00B04C49" w:rsidRDefault="00AC4DCB" w:rsidP="00D4033E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val="en-GB"/>
              </w:rPr>
              <w:t>1 (0.2)</w:t>
            </w:r>
          </w:p>
          <w:p w:rsidR="00AC4DCB" w:rsidRPr="00B04C49" w:rsidRDefault="00AC4DCB" w:rsidP="00D4033E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val="en-GB"/>
              </w:rPr>
              <w:t>1 (0.2)</w:t>
            </w:r>
          </w:p>
        </w:tc>
      </w:tr>
      <w:tr w:rsidR="00AC4DCB" w:rsidRPr="00B04C49" w:rsidTr="00D4033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EEAF6" w:themeFill="accent1" w:themeFillTint="33"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i/>
                <w:iCs/>
                <w:kern w:val="24"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i/>
                <w:iCs/>
                <w:kern w:val="24"/>
                <w:sz w:val="20"/>
                <w:szCs w:val="20"/>
                <w:lang w:val="en-GB"/>
              </w:rPr>
              <w:lastRenderedPageBreak/>
              <w:t>Nervous system disorders</w:t>
            </w:r>
          </w:p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   Headache</w:t>
            </w:r>
          </w:p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   Migraine</w:t>
            </w:r>
          </w:p>
        </w:tc>
        <w:tc>
          <w:tcPr>
            <w:tcW w:w="0" w:type="auto"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val="en-GB"/>
              </w:rPr>
              <w:t>2 (0.4)</w:t>
            </w:r>
          </w:p>
          <w:p w:rsidR="00AC4DCB" w:rsidRPr="00B04C49" w:rsidRDefault="00AC4DCB" w:rsidP="00D4033E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val="en-GB"/>
              </w:rPr>
              <w:t>1 (0.2)</w:t>
            </w:r>
          </w:p>
          <w:p w:rsidR="00AC4DCB" w:rsidRPr="00B04C49" w:rsidRDefault="00AC4DCB" w:rsidP="00D4033E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val="en-GB"/>
              </w:rPr>
              <w:t>1 (0.2)</w:t>
            </w:r>
          </w:p>
        </w:tc>
      </w:tr>
      <w:tr w:rsidR="00AC4DCB" w:rsidRPr="00B04C49" w:rsidTr="00D4033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EEAF6" w:themeFill="accent1" w:themeFillTint="33"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Product issues</w:t>
            </w:r>
          </w:p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   Device dislocation</w:t>
            </w:r>
          </w:p>
        </w:tc>
        <w:tc>
          <w:tcPr>
            <w:tcW w:w="0" w:type="auto"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 (0.4)</w:t>
            </w:r>
          </w:p>
          <w:p w:rsidR="00AC4DCB" w:rsidRPr="00B04C49" w:rsidRDefault="00AC4DCB" w:rsidP="00D4033E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 (0.4)</w:t>
            </w:r>
          </w:p>
        </w:tc>
      </w:tr>
      <w:tr w:rsidR="00AC4DCB" w:rsidRPr="00B04C49" w:rsidTr="00D4033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EEAF6" w:themeFill="accent1" w:themeFillTint="33"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Ear and labyrinth disorders</w:t>
            </w:r>
          </w:p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   Vertigo</w:t>
            </w:r>
          </w:p>
        </w:tc>
        <w:tc>
          <w:tcPr>
            <w:tcW w:w="0" w:type="auto"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1 (0.2)</w:t>
            </w:r>
          </w:p>
          <w:p w:rsidR="00AC4DCB" w:rsidRPr="00B04C49" w:rsidRDefault="00AC4DCB" w:rsidP="00D4033E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1 (0.2)</w:t>
            </w:r>
          </w:p>
        </w:tc>
      </w:tr>
      <w:tr w:rsidR="00AC4DCB" w:rsidRPr="00B04C49" w:rsidTr="00D4033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EEAF6" w:themeFill="accent1" w:themeFillTint="33"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Musculoskeletal and connective tissue disorders</w:t>
            </w:r>
          </w:p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   Back pain</w:t>
            </w:r>
          </w:p>
        </w:tc>
        <w:tc>
          <w:tcPr>
            <w:tcW w:w="0" w:type="auto"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1 (0.2)</w:t>
            </w:r>
          </w:p>
          <w:p w:rsidR="00AC4DCB" w:rsidRPr="00B04C49" w:rsidRDefault="00AC4DCB" w:rsidP="00D4033E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1 (0.2)</w:t>
            </w:r>
          </w:p>
        </w:tc>
      </w:tr>
      <w:tr w:rsidR="00AC4DCB" w:rsidRPr="00B04C49" w:rsidTr="00D4033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EEAF6" w:themeFill="accent1" w:themeFillTint="33"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Vascular disorders</w:t>
            </w:r>
          </w:p>
          <w:p w:rsidR="00AC4DCB" w:rsidRPr="00B04C49" w:rsidRDefault="00AC4DCB" w:rsidP="00D4033E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   Hypotension</w:t>
            </w:r>
          </w:p>
        </w:tc>
        <w:tc>
          <w:tcPr>
            <w:tcW w:w="0" w:type="auto"/>
          </w:tcPr>
          <w:p w:rsidR="00AC4DCB" w:rsidRPr="00B04C49" w:rsidRDefault="00AC4DCB" w:rsidP="00D4033E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1 (0.2)</w:t>
            </w:r>
          </w:p>
          <w:p w:rsidR="00AC4DCB" w:rsidRPr="00B04C49" w:rsidRDefault="00AC4DCB" w:rsidP="00D4033E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4C49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1 (0.2)</w:t>
            </w:r>
          </w:p>
        </w:tc>
      </w:tr>
    </w:tbl>
    <w:p w:rsidR="00AC4DCB" w:rsidRPr="00B04C49" w:rsidRDefault="00AC4DCB" w:rsidP="00AC4DCB">
      <w:pPr>
        <w:spacing w:before="120" w:line="276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B04C49">
        <w:rPr>
          <w:rFonts w:ascii="Times New Roman" w:hAnsi="Times New Roman" w:cs="Times New Roman"/>
          <w:bCs/>
          <w:sz w:val="20"/>
          <w:szCs w:val="20"/>
          <w:lang w:val="en-GB"/>
        </w:rPr>
        <w:t>KYSS: Kyleena</w:t>
      </w:r>
      <w:r w:rsidRPr="00B04C49">
        <w:rPr>
          <w:rFonts w:ascii="Times New Roman" w:hAnsi="Times New Roman" w:cs="Times New Roman"/>
          <w:bCs/>
          <w:sz w:val="20"/>
          <w:szCs w:val="20"/>
          <w:vertAlign w:val="superscript"/>
          <w:lang w:val="en-GB"/>
        </w:rPr>
        <w:t>TM</w:t>
      </w:r>
      <w:r w:rsidRPr="00B04C49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Satisfaction Study; LNG-IUS: levonorgestrel-releasing intrauterine system; TEAE: treatment-emergent adverse event.</w:t>
      </w:r>
    </w:p>
    <w:p w:rsidR="00AC4DCB" w:rsidRPr="00B04C49" w:rsidRDefault="00AC4DCB" w:rsidP="00AC4DCB">
      <w:pPr>
        <w:spacing w:before="120" w:line="276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B04C49">
        <w:rPr>
          <w:rFonts w:ascii="Times New Roman" w:hAnsi="Times New Roman" w:cs="Times New Roman"/>
          <w:bCs/>
          <w:sz w:val="20"/>
          <w:szCs w:val="20"/>
          <w:vertAlign w:val="superscript"/>
          <w:lang w:val="en-GB"/>
        </w:rPr>
        <w:t>a</w:t>
      </w:r>
      <w:r w:rsidRPr="00B04C49">
        <w:rPr>
          <w:rFonts w:ascii="Times New Roman" w:hAnsi="Times New Roman" w:cs="Times New Roman"/>
          <w:bCs/>
          <w:sz w:val="20"/>
          <w:szCs w:val="20"/>
          <w:lang w:val="en-GB"/>
        </w:rPr>
        <w:t>KYSS was conducted in Belgium, Canada, Germany, Mexico, Norway, Sweden, Spain, and the United States.</w:t>
      </w:r>
    </w:p>
    <w:p w:rsidR="00AC4DCB" w:rsidRPr="00B04C49" w:rsidRDefault="00AC4DCB" w:rsidP="00AC4DCB">
      <w:pPr>
        <w:spacing w:before="120"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B04C49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b</w:t>
      </w:r>
      <w:r w:rsidRPr="00B04C49">
        <w:rPr>
          <w:rFonts w:ascii="Times New Roman" w:hAnsi="Times New Roman" w:cs="Times New Roman"/>
          <w:sz w:val="20"/>
          <w:szCs w:val="20"/>
          <w:lang w:val="en-GB"/>
        </w:rPr>
        <w:t>Note that the adverse events of particular interest in this publication are highlighted in bold.</w:t>
      </w:r>
    </w:p>
    <w:p w:rsidR="00AC4DCB" w:rsidRPr="00B04C49" w:rsidRDefault="00AC4DCB" w:rsidP="00AC4DCB">
      <w:pPr>
        <w:spacing w:before="120" w:line="276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:rsidR="00AC4DCB" w:rsidRPr="00B04C49" w:rsidRDefault="00AC4DCB" w:rsidP="00AC4DCB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B04C49"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:rsidR="00AC4DCB" w:rsidRPr="00B04C49" w:rsidRDefault="00AC4DCB" w:rsidP="00AC4DCB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B04C49">
        <w:rPr>
          <w:rFonts w:ascii="Times New Roman" w:hAnsi="Times New Roman" w:cs="Times New Roman"/>
          <w:b/>
          <w:bCs/>
          <w:sz w:val="20"/>
          <w:szCs w:val="20"/>
          <w:lang w:val="en-GB"/>
        </w:rPr>
        <w:lastRenderedPageBreak/>
        <w:t xml:space="preserve">Fig. S1 </w:t>
      </w:r>
      <w:r w:rsidRPr="00B04C49">
        <w:rPr>
          <w:rFonts w:ascii="Times New Roman" w:hAnsi="Times New Roman" w:cs="Times New Roman"/>
          <w:sz w:val="20"/>
          <w:szCs w:val="20"/>
          <w:lang w:val="en-GB"/>
        </w:rPr>
        <w:t>Flow chart of German participants in KYSS</w:t>
      </w:r>
    </w:p>
    <w:p w:rsidR="00AC4DCB" w:rsidRPr="00B04C49" w:rsidRDefault="00AC4DCB" w:rsidP="00AC4DC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B04C49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Pr="00B04C49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3FAF69D4" wp14:editId="477BBAF0">
            <wp:extent cx="5085471" cy="5130484"/>
            <wp:effectExtent l="0" t="0" r="1270" b="0"/>
            <wp:docPr id="8730956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430" cy="51375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4DCB" w:rsidRPr="00B04C49" w:rsidRDefault="00AC4DCB" w:rsidP="00AC4DCB">
      <w:pPr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B04C49">
        <w:rPr>
          <w:rFonts w:ascii="Times New Roman" w:hAnsi="Times New Roman" w:cs="Times New Roman"/>
          <w:bCs/>
          <w:sz w:val="20"/>
          <w:szCs w:val="20"/>
          <w:lang w:val="en-GB"/>
        </w:rPr>
        <w:t>KYSS: Kyleena</w:t>
      </w:r>
      <w:r w:rsidRPr="00B04C49">
        <w:rPr>
          <w:rFonts w:ascii="Times New Roman" w:hAnsi="Times New Roman" w:cs="Times New Roman"/>
          <w:bCs/>
          <w:sz w:val="20"/>
          <w:szCs w:val="20"/>
          <w:vertAlign w:val="superscript"/>
          <w:lang w:val="en-GB"/>
        </w:rPr>
        <w:t>TM</w:t>
      </w:r>
      <w:r w:rsidRPr="00B04C49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Satisfaction Study.</w:t>
      </w:r>
    </w:p>
    <w:p w:rsidR="00AC4DCB" w:rsidRPr="00B04C49" w:rsidRDefault="00AC4DCB" w:rsidP="00AC4DCB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B04C49">
        <w:rPr>
          <w:rFonts w:ascii="Times New Roman" w:hAnsi="Times New Roman" w:cs="Times New Roman"/>
          <w:b/>
          <w:bCs/>
          <w:sz w:val="20"/>
          <w:szCs w:val="20"/>
          <w:lang w:val="en-GB"/>
        </w:rPr>
        <w:br w:type="page"/>
      </w:r>
    </w:p>
    <w:p w:rsidR="00AC4DCB" w:rsidRPr="00B04C49" w:rsidRDefault="00AC4DCB" w:rsidP="00AC4DCB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  <w:sectPr w:rsidR="00AC4DCB" w:rsidRPr="00B04C49" w:rsidSect="00AC4DCB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AC4DCB" w:rsidRPr="00B04C49" w:rsidRDefault="00AC4DCB" w:rsidP="00AC4DCB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:rsidR="00AC4DCB" w:rsidRPr="00B04C49" w:rsidRDefault="00AC4DCB" w:rsidP="00AC4DCB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B04C49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Fig. S2 </w:t>
      </w:r>
      <w:r w:rsidRPr="00B04C49">
        <w:rPr>
          <w:rFonts w:ascii="Times New Roman" w:hAnsi="Times New Roman" w:cs="Times New Roman"/>
          <w:sz w:val="20"/>
          <w:szCs w:val="20"/>
          <w:lang w:val="en-GB"/>
        </w:rPr>
        <w:t>Prior method of contraception in the German population (safety analysis set)</w:t>
      </w:r>
    </w:p>
    <w:p w:rsidR="00AC4DCB" w:rsidRPr="00B04C49" w:rsidRDefault="00AC4DCB" w:rsidP="00AC4DCB">
      <w:pPr>
        <w:spacing w:before="120" w:line="276" w:lineRule="auto"/>
        <w:jc w:val="both"/>
        <w:rPr>
          <w:rFonts w:ascii="Times New Roman" w:hAnsi="Times New Roman" w:cs="Times New Roman"/>
          <w:sz w:val="20"/>
          <w:szCs w:val="20"/>
          <w:lang w:val="de-DE"/>
        </w:rPr>
      </w:pPr>
      <w:r w:rsidRPr="00B04C49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70BF699E" wp14:editId="7A43C9D5">
            <wp:extent cx="7347005" cy="3991555"/>
            <wp:effectExtent l="0" t="0" r="6350" b="9525"/>
            <wp:docPr id="854191289" name="Chart 854191289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701D6AFC-BA71-F8D9-D8B8-1B3AC0C1D2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C4DCB" w:rsidRPr="00B04C49" w:rsidRDefault="00AC4DCB" w:rsidP="00AC4DCB">
      <w:pPr>
        <w:spacing w:before="120" w:line="276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val="de-DE"/>
        </w:rPr>
      </w:pPr>
      <w:r w:rsidRPr="00B04C49">
        <w:rPr>
          <w:rFonts w:ascii="Times New Roman" w:hAnsi="Times New Roman" w:cs="Times New Roman"/>
          <w:sz w:val="20"/>
          <w:szCs w:val="20"/>
          <w:lang w:val="de-DE"/>
        </w:rPr>
        <w:t>IUD: intrauterine device; IUS: intrauterine system.</w:t>
      </w:r>
    </w:p>
    <w:p w:rsidR="00AC4DCB" w:rsidRPr="00B04C49" w:rsidRDefault="00AC4DCB" w:rsidP="00AC4DCB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de-DE"/>
        </w:rPr>
      </w:pPr>
      <w:r w:rsidRPr="00B04C49">
        <w:rPr>
          <w:rFonts w:ascii="Times New Roman" w:hAnsi="Times New Roman" w:cs="Times New Roman"/>
          <w:sz w:val="20"/>
          <w:szCs w:val="20"/>
          <w:lang w:val="de-DE"/>
        </w:rPr>
        <w:br w:type="page"/>
      </w:r>
    </w:p>
    <w:p w:rsidR="00AC4DCB" w:rsidRPr="00B04C49" w:rsidRDefault="00AC4DCB" w:rsidP="00AC4DCB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GB"/>
        </w:rPr>
      </w:pPr>
      <w:r w:rsidRPr="00B04C49">
        <w:rPr>
          <w:rFonts w:ascii="Times New Roman" w:hAnsi="Times New Roman" w:cs="Times New Roman"/>
          <w:b/>
          <w:bCs/>
          <w:sz w:val="20"/>
          <w:szCs w:val="20"/>
          <w:lang w:val="de-DE"/>
        </w:rPr>
        <w:lastRenderedPageBreak/>
        <w:t>Fig.</w:t>
      </w:r>
      <w:r w:rsidRPr="00B04C49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S3 </w:t>
      </w:r>
      <w:r w:rsidRPr="00B04C49">
        <w:rPr>
          <w:rFonts w:ascii="Times New Roman" w:hAnsi="Times New Roman" w:cs="Times New Roman"/>
          <w:sz w:val="20"/>
          <w:szCs w:val="20"/>
          <w:lang w:val="en-GB"/>
        </w:rPr>
        <w:t>Motivation for choosing LNG-IUS-19.5mg in the German population (safety analysis set)</w:t>
      </w:r>
      <w:r w:rsidRPr="00B04C49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a</w:t>
      </w:r>
    </w:p>
    <w:p w:rsidR="00AC4DCB" w:rsidRPr="00B04C49" w:rsidRDefault="00AC4DCB" w:rsidP="00AC4DCB">
      <w:pPr>
        <w:spacing w:before="120" w:line="276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val="en-GB"/>
        </w:rPr>
      </w:pPr>
      <w:r w:rsidRPr="00B04C49">
        <w:rPr>
          <w:rFonts w:ascii="Times New Roman" w:hAnsi="Times New Roman" w:cs="Times New Roman"/>
          <w:noProof/>
          <w:sz w:val="20"/>
          <w:szCs w:val="20"/>
          <w:vertAlign w:val="superscript"/>
          <w:lang w:val="en-IN" w:eastAsia="en-IN"/>
        </w:rPr>
        <w:drawing>
          <wp:inline distT="0" distB="0" distL="0" distR="0" wp14:anchorId="15A2DEE7" wp14:editId="244DF466">
            <wp:extent cx="7466275" cy="4428877"/>
            <wp:effectExtent l="0" t="0" r="1905" b="10160"/>
            <wp:docPr id="2059142123" name="Chart 2059142123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4B4FD735-11B1-98C7-1B5A-ED85F874546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C4DCB" w:rsidRPr="00B04C49" w:rsidRDefault="00AC4DCB" w:rsidP="00AC4DCB">
      <w:pPr>
        <w:spacing w:before="120"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B04C49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a</w:t>
      </w:r>
      <w:r w:rsidRPr="00B04C49">
        <w:rPr>
          <w:rFonts w:ascii="Times New Roman" w:hAnsi="Times New Roman" w:cs="Times New Roman"/>
          <w:sz w:val="20"/>
          <w:szCs w:val="20"/>
          <w:lang w:val="en-GB"/>
        </w:rPr>
        <w:t>More than one reason could be given.</w:t>
      </w:r>
    </w:p>
    <w:p w:rsidR="00AC4DCB" w:rsidRPr="00B04C49" w:rsidRDefault="00AC4DCB" w:rsidP="00AC4DCB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B04C49">
        <w:rPr>
          <w:rFonts w:ascii="Times New Roman" w:hAnsi="Times New Roman" w:cs="Times New Roman"/>
          <w:sz w:val="20"/>
          <w:szCs w:val="20"/>
          <w:lang w:val="en-GB"/>
        </w:rPr>
        <w:t>LNG-IUS: levonorgestrel-releasing intrauterine system.</w:t>
      </w:r>
    </w:p>
    <w:p w:rsidR="00AC4DCB" w:rsidRPr="00B04C49" w:rsidRDefault="00AC4DCB" w:rsidP="00AC4DCB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  <w:sectPr w:rsidR="00AC4DCB" w:rsidRPr="00B04C49" w:rsidSect="00AC4DCB">
          <w:type w:val="continuous"/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AC4DCB" w:rsidRPr="00B04C49" w:rsidRDefault="00AC4DCB" w:rsidP="00AC4DCB">
      <w:pPr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B04C49">
        <w:rPr>
          <w:rFonts w:ascii="Times New Roman" w:hAnsi="Times New Roman" w:cs="Times New Roman"/>
          <w:b/>
          <w:bCs/>
          <w:sz w:val="20"/>
          <w:szCs w:val="20"/>
          <w:lang w:val="en-GB"/>
        </w:rPr>
        <w:lastRenderedPageBreak/>
        <w:t xml:space="preserve">Fig. S4 </w:t>
      </w:r>
      <w:r w:rsidRPr="00B04C49">
        <w:rPr>
          <w:rFonts w:ascii="Times New Roman" w:hAnsi="Times New Roman" w:cs="Times New Roman"/>
          <w:bCs/>
          <w:sz w:val="20"/>
          <w:szCs w:val="20"/>
          <w:lang w:val="en-GB"/>
        </w:rPr>
        <w:t>Ease of placement (</w:t>
      </w:r>
      <w:r w:rsidRPr="00B04C49">
        <w:rPr>
          <w:rFonts w:ascii="Times New Roman" w:hAnsi="Times New Roman" w:cs="Times New Roman"/>
          <w:b/>
          <w:sz w:val="20"/>
          <w:szCs w:val="20"/>
          <w:lang w:val="en-GB"/>
        </w:rPr>
        <w:t>a</w:t>
      </w:r>
      <w:r w:rsidRPr="00B04C49">
        <w:rPr>
          <w:rFonts w:ascii="Times New Roman" w:hAnsi="Times New Roman" w:cs="Times New Roman"/>
          <w:bCs/>
          <w:sz w:val="20"/>
          <w:szCs w:val="20"/>
          <w:lang w:val="en-GB"/>
        </w:rPr>
        <w:t>), pain during placement (</w:t>
      </w:r>
      <w:r w:rsidRPr="00B04C49">
        <w:rPr>
          <w:rFonts w:ascii="Times New Roman" w:hAnsi="Times New Roman" w:cs="Times New Roman"/>
          <w:b/>
          <w:sz w:val="20"/>
          <w:szCs w:val="20"/>
          <w:lang w:val="en-GB"/>
        </w:rPr>
        <w:t>b</w:t>
      </w:r>
      <w:r w:rsidRPr="00B04C49">
        <w:rPr>
          <w:rFonts w:ascii="Times New Roman" w:hAnsi="Times New Roman" w:cs="Times New Roman"/>
          <w:bCs/>
          <w:sz w:val="20"/>
          <w:szCs w:val="20"/>
          <w:lang w:val="en-GB"/>
        </w:rPr>
        <w:t>), and additional measures used during placement (</w:t>
      </w:r>
      <w:r w:rsidRPr="00B04C49">
        <w:rPr>
          <w:rFonts w:ascii="Times New Roman" w:hAnsi="Times New Roman" w:cs="Times New Roman"/>
          <w:b/>
          <w:sz w:val="20"/>
          <w:szCs w:val="20"/>
          <w:lang w:val="en-GB"/>
        </w:rPr>
        <w:t>c</w:t>
      </w:r>
      <w:r w:rsidRPr="00B04C49">
        <w:rPr>
          <w:rFonts w:ascii="Times New Roman" w:hAnsi="Times New Roman" w:cs="Times New Roman"/>
          <w:bCs/>
          <w:sz w:val="20"/>
          <w:szCs w:val="20"/>
          <w:lang w:val="en-GB"/>
        </w:rPr>
        <w:t>) of LNG-IUS-19.5mg in the German population (safety analysis set), stratified by parity and age</w:t>
      </w:r>
    </w:p>
    <w:p w:rsidR="00AC4DCB" w:rsidRPr="00B04C49" w:rsidRDefault="00AC4DCB" w:rsidP="00AC4DCB">
      <w:pPr>
        <w:pStyle w:val="ListParagraph"/>
        <w:numPr>
          <w:ilvl w:val="0"/>
          <w:numId w:val="1"/>
        </w:numPr>
        <w:spacing w:before="120" w:line="276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:rsidR="00AC4DCB" w:rsidRPr="00B04C49" w:rsidRDefault="00AC4DCB" w:rsidP="00AC4DCB">
      <w:pPr>
        <w:pStyle w:val="ListParagraph"/>
        <w:spacing w:before="120" w:line="276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B04C49">
        <w:rPr>
          <w:rFonts w:ascii="Times New Roman" w:hAnsi="Times New Roman" w:cs="Times New Roman"/>
          <w:bCs/>
          <w:noProof/>
          <w:sz w:val="20"/>
          <w:szCs w:val="20"/>
          <w:lang w:val="en-IN" w:eastAsia="en-IN"/>
        </w:rPr>
        <w:drawing>
          <wp:inline distT="0" distB="0" distL="0" distR="0" wp14:anchorId="5DA5B489" wp14:editId="390BD08D">
            <wp:extent cx="6901732" cy="4039262"/>
            <wp:effectExtent l="0" t="0" r="13970" b="18415"/>
            <wp:docPr id="387458266" name="Chart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F434D24A-8394-254B-206A-3E085C57704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C4DCB" w:rsidRPr="00B04C49" w:rsidRDefault="00AC4DCB" w:rsidP="00AC4DCB">
      <w:pPr>
        <w:pStyle w:val="ListParagraph"/>
        <w:spacing w:before="120" w:line="276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:rsidR="00AC4DCB" w:rsidRPr="00B04C49" w:rsidRDefault="00AC4DCB" w:rsidP="00AC4DCB">
      <w:pPr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B04C49">
        <w:rPr>
          <w:rFonts w:ascii="Times New Roman" w:hAnsi="Times New Roman" w:cs="Times New Roman"/>
          <w:bCs/>
          <w:sz w:val="20"/>
          <w:szCs w:val="20"/>
          <w:lang w:val="en-GB"/>
        </w:rPr>
        <w:br w:type="page"/>
      </w:r>
    </w:p>
    <w:p w:rsidR="00AC4DCB" w:rsidRPr="00B04C49" w:rsidRDefault="00AC4DCB" w:rsidP="00AC4DCB">
      <w:pPr>
        <w:pStyle w:val="ListParagraph"/>
        <w:numPr>
          <w:ilvl w:val="0"/>
          <w:numId w:val="1"/>
        </w:numPr>
        <w:spacing w:before="120" w:line="276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:rsidR="00AC4DCB" w:rsidRPr="00B04C49" w:rsidRDefault="00AC4DCB" w:rsidP="00AC4DCB">
      <w:pPr>
        <w:pStyle w:val="ListParagraph"/>
        <w:spacing w:before="120" w:line="276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B04C49">
        <w:rPr>
          <w:rFonts w:ascii="Times New Roman" w:hAnsi="Times New Roman" w:cs="Times New Roman"/>
          <w:bCs/>
          <w:noProof/>
          <w:sz w:val="20"/>
          <w:szCs w:val="20"/>
          <w:lang w:val="en-IN" w:eastAsia="en-IN"/>
        </w:rPr>
        <w:drawing>
          <wp:inline distT="0" distB="0" distL="0" distR="0" wp14:anchorId="154C7077" wp14:editId="30834465">
            <wp:extent cx="6488264" cy="3991554"/>
            <wp:effectExtent l="0" t="0" r="8255" b="9525"/>
            <wp:docPr id="609347000" name="Chart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8748C49E-A656-5DFE-6E5E-7C62EDF366A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C4DCB" w:rsidRPr="00B04C49" w:rsidRDefault="00AC4DCB" w:rsidP="00AC4DCB">
      <w:pPr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B04C49">
        <w:rPr>
          <w:rFonts w:ascii="Times New Roman" w:hAnsi="Times New Roman" w:cs="Times New Roman"/>
          <w:bCs/>
          <w:sz w:val="20"/>
          <w:szCs w:val="20"/>
          <w:lang w:val="en-GB"/>
        </w:rPr>
        <w:br w:type="page"/>
      </w:r>
    </w:p>
    <w:p w:rsidR="00AC4DCB" w:rsidRPr="00B04C49" w:rsidRDefault="00AC4DCB" w:rsidP="00AC4DCB">
      <w:pPr>
        <w:pStyle w:val="ListParagraph"/>
        <w:numPr>
          <w:ilvl w:val="0"/>
          <w:numId w:val="1"/>
        </w:numPr>
        <w:spacing w:before="120" w:line="276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:rsidR="00AC4DCB" w:rsidRPr="00B04C49" w:rsidRDefault="00AC4DCB" w:rsidP="00AC4DCB">
      <w:pPr>
        <w:pStyle w:val="ListParagraph"/>
        <w:spacing w:before="120" w:line="276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B04C49">
        <w:rPr>
          <w:rFonts w:ascii="Times New Roman" w:hAnsi="Times New Roman" w:cs="Times New Roman"/>
          <w:bCs/>
          <w:noProof/>
          <w:sz w:val="20"/>
          <w:szCs w:val="20"/>
          <w:lang w:val="en-IN" w:eastAsia="en-IN"/>
        </w:rPr>
        <w:drawing>
          <wp:inline distT="0" distB="0" distL="0" distR="0" wp14:anchorId="36E3B540" wp14:editId="58AD3AEE">
            <wp:extent cx="7060086" cy="5156549"/>
            <wp:effectExtent l="0" t="0" r="7620" b="6350"/>
            <wp:docPr id="1578993579" name="Chart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630DE1F7-69B7-3E1E-4A99-D0920BA363F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C4DCB" w:rsidRPr="00B04C49" w:rsidRDefault="00AC4DCB" w:rsidP="00AC4DCB">
      <w:pPr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:rsidR="00AC4DCB" w:rsidRPr="00B04C49" w:rsidRDefault="00AC4DCB" w:rsidP="00AC4DCB">
      <w:pPr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B04C49">
        <w:rPr>
          <w:rFonts w:ascii="Times New Roman" w:hAnsi="Times New Roman" w:cs="Times New Roman"/>
          <w:bCs/>
          <w:sz w:val="20"/>
          <w:szCs w:val="20"/>
          <w:lang w:val="en-GB"/>
        </w:rPr>
        <w:t>LNG-IUS: levonorgestrel-releasing intrauterine system.</w:t>
      </w:r>
    </w:p>
    <w:p w:rsidR="00CA6EE6" w:rsidRDefault="00CA6EE6"/>
    <w:sectPr w:rsidR="00CA6EE6" w:rsidSect="00AC4D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B5C73"/>
    <w:multiLevelType w:val="hybridMultilevel"/>
    <w:tmpl w:val="24FC5C86"/>
    <w:lvl w:ilvl="0" w:tplc="07A81F9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DCB"/>
    <w:rsid w:val="001043EC"/>
    <w:rsid w:val="0047144A"/>
    <w:rsid w:val="006B0B5D"/>
    <w:rsid w:val="00AC4DCB"/>
    <w:rsid w:val="00CA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9A2064-79D3-4E90-AA05-C3215DE5A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4DCB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C4DCB"/>
    <w:pPr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AC4DC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C4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C4DCB"/>
    <w:rPr>
      <w:lang w:val="en-US"/>
    </w:rPr>
  </w:style>
  <w:style w:type="table" w:styleId="GridTable1Light-Accent5">
    <w:name w:val="Grid Table 1 Light Accent 5"/>
    <w:basedOn w:val="TableNormal"/>
    <w:uiPriority w:val="46"/>
    <w:rsid w:val="00AC4DCB"/>
    <w:pPr>
      <w:spacing w:after="0" w:line="240" w:lineRule="auto"/>
    </w:pPr>
    <w:rPr>
      <w:lang w:val="en-CA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hart" Target="charts/chart5.xml"/><Relationship Id="rId5" Type="http://schemas.openxmlformats.org/officeDocument/2006/relationships/hyperlink" Target="mailto:Thomas.Roemer@evk-koeln.de" TargetMode="Externa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highfieldcommunication.sharepoint.com/sites/Clients/Bayer/Innovative%20Womens%20Health/07.%20Publications/WH106%20-%20KYSS%20German%20data%20manuscript/6.%20Data/KYSS_German%20data_age%20parity%20motivation%20CO%20method_14.04.20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highfieldcommunication.sharepoint.com/sites/Clients/Bayer/Innovative%20Womens%20Health/07.%20Publications/WH106%20-%20KYSS%20German%20data%20manuscript/6.%20Data/KYSS_German%20data_age%20parity%20motivation%20CO%20method_14.04.202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https://highfieldcommunication.sharepoint.com/sites/Clients/Bayer/Innovative%20Womens%20Health/07.%20Publications/WH106%20-%20KYSS%20German%20data%20manuscript/6.%20Data/KYSS_German%20data_age%20parity%20motivation%20CO%20method_14.04.2022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highfieldcommunication.sharepoint.com/sites/Clients/Bayer/Innovative%20Womens%20Health/07.%20Publications/WH106%20-%20KYSS%20German%20data%20manuscript/6.%20Data/KYSS_German%20data_age%20parity%20motivation%20CO%20method_14.04.202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https://highfieldcommunication.sharepoint.com/sites/Clients/Bayer/Innovative%20Womens%20Health/07.%20Publications/WH106%20-%20KYSS%20German%20data%20manuscript/6.%20Data/KYSS_German%20data_age%20parity%20motivation%20CO%20method_14.04.2022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600" b="1"/>
              <a:t>Prior method of contraception (N=508)</a:t>
            </a:r>
          </a:p>
        </c:rich>
      </c:tx>
      <c:layout>
        <c:manualLayout>
          <c:xMode val="edge"/>
          <c:yMode val="edge"/>
          <c:x val="0.21129433340063261"/>
          <c:y val="4.5515782919773075E-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57325344035774894"/>
          <c:y val="0.23630228838582673"/>
          <c:w val="0.3990712039442465"/>
          <c:h val="0.7630677903543307"/>
        </c:manualLayout>
      </c:layout>
      <c:pieChart>
        <c:varyColors val="1"/>
        <c:ser>
          <c:idx val="0"/>
          <c:order val="0"/>
          <c:explosion val="2"/>
          <c:dPt>
            <c:idx val="0"/>
            <c:bubble3D val="0"/>
            <c:explosion val="0"/>
            <c:spPr>
              <a:solidFill>
                <a:schemeClr val="accent5">
                  <a:lumMod val="40000"/>
                  <a:lumOff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10A-4433-B050-9B75B4B9A6B0}"/>
              </c:ext>
            </c:extLst>
          </c:dPt>
          <c:dPt>
            <c:idx val="1"/>
            <c:bubble3D val="0"/>
            <c:explosion val="0"/>
            <c:spPr>
              <a:solidFill>
                <a:schemeClr val="accent6">
                  <a:lumMod val="40000"/>
                  <a:lumOff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10A-4433-B050-9B75B4B9A6B0}"/>
              </c:ext>
            </c:extLst>
          </c:dPt>
          <c:dPt>
            <c:idx val="2"/>
            <c:bubble3D val="0"/>
            <c:explosion val="0"/>
            <c:spPr>
              <a:solidFill>
                <a:schemeClr val="accent2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610A-4433-B050-9B75B4B9A6B0}"/>
              </c:ext>
            </c:extLst>
          </c:dPt>
          <c:dPt>
            <c:idx val="3"/>
            <c:bubble3D val="0"/>
            <c:explosion val="0"/>
            <c:spPr>
              <a:solidFill>
                <a:schemeClr val="accent4">
                  <a:lumMod val="40000"/>
                  <a:lumOff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610A-4433-B050-9B75B4B9A6B0}"/>
              </c:ext>
            </c:extLst>
          </c:dPt>
          <c:dPt>
            <c:idx val="4"/>
            <c:bubble3D val="0"/>
            <c:explosion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610A-4433-B050-9B75B4B9A6B0}"/>
              </c:ext>
            </c:extLst>
          </c:dPt>
          <c:dPt>
            <c:idx val="5"/>
            <c:bubble3D val="0"/>
            <c:explosion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610A-4433-B050-9B75B4B9A6B0}"/>
              </c:ext>
            </c:extLst>
          </c:dPt>
          <c:dPt>
            <c:idx val="6"/>
            <c:bubble3D val="0"/>
            <c:explosion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610A-4433-B050-9B75B4B9A6B0}"/>
              </c:ext>
            </c:extLst>
          </c:dPt>
          <c:dPt>
            <c:idx val="7"/>
            <c:bubble3D val="0"/>
            <c:explosion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610A-4433-B050-9B75B4B9A6B0}"/>
              </c:ext>
            </c:extLst>
          </c:dPt>
          <c:dPt>
            <c:idx val="8"/>
            <c:bubble3D val="0"/>
            <c:explosion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610A-4433-B050-9B75B4B9A6B0}"/>
              </c:ext>
            </c:extLst>
          </c:dPt>
          <c:dLbls>
            <c:dLbl>
              <c:idx val="0"/>
              <c:layout/>
              <c:tx>
                <c:rich>
                  <a:bodyPr/>
                  <a:lstStyle/>
                  <a:p>
                    <a:fld id="{3800CA1E-DDD1-46E6-8060-DA6B7D6467FD}" type="VALUE">
                      <a:rPr lang="en-US" sz="1200"/>
                      <a:pPr/>
                      <a:t>[VALUE]</a:t>
                    </a:fld>
                    <a:r>
                      <a:rPr lang="en-US" sz="1200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10A-4433-B050-9B75B4B9A6B0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fld id="{F82B1450-BE1A-43C2-8B8B-F051A58E7C98}" type="VALUE">
                      <a:rPr lang="en-US" sz="1200"/>
                      <a:pPr/>
                      <a:t>[VALUE]</a:t>
                    </a:fld>
                    <a:r>
                      <a:rPr lang="en-US" sz="1200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10A-4433-B050-9B75B4B9A6B0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fld id="{37C2549F-3BA7-4E65-A9B0-79FE82875CA7}" type="VALUE">
                      <a:rPr lang="en-US" sz="1200"/>
                      <a:pPr/>
                      <a:t>[VALUE]</a:t>
                    </a:fld>
                    <a:r>
                      <a:rPr lang="en-US" sz="1200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10A-4433-B050-9B75B4B9A6B0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fld id="{65B08000-B396-46E8-968B-88E6F77A1C6D}" type="VALUE">
                      <a:rPr lang="en-US" sz="1200"/>
                      <a:pPr/>
                      <a:t>[VALUE]</a:t>
                    </a:fld>
                    <a:r>
                      <a:rPr lang="en-US" sz="1200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610A-4433-B050-9B75B4B9A6B0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fld id="{B9C94943-1BC9-4D73-9316-97A6E366B793}" type="VALUE">
                      <a:rPr lang="en-US" sz="1200"/>
                      <a:pPr/>
                      <a:t>[VALUE]</a:t>
                    </a:fld>
                    <a:r>
                      <a:rPr lang="en-US" sz="1200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610A-4433-B050-9B75B4B9A6B0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5"/>
              <c:layout/>
              <c:tx>
                <c:rich>
                  <a:bodyPr/>
                  <a:lstStyle/>
                  <a:p>
                    <a:fld id="{6B54F10F-DC96-4143-B94F-887F977EEB3F}" type="VALUE">
                      <a:rPr lang="en-US" sz="1200"/>
                      <a:pPr/>
                      <a:t>[VALUE]</a:t>
                    </a:fld>
                    <a:r>
                      <a:rPr lang="en-US" sz="1200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610A-4433-B050-9B75B4B9A6B0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6"/>
              <c:layout/>
              <c:tx>
                <c:rich>
                  <a:bodyPr/>
                  <a:lstStyle/>
                  <a:p>
                    <a:fld id="{CF3EAF24-9021-4450-A5A8-A500378EC018}" type="VALUE">
                      <a:rPr lang="en-US" sz="1200"/>
                      <a:pPr/>
                      <a:t>[VALUE]</a:t>
                    </a:fld>
                    <a:r>
                      <a:rPr lang="en-US" sz="1200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610A-4433-B050-9B75B4B9A6B0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7"/>
              <c:layout/>
              <c:tx>
                <c:rich>
                  <a:bodyPr/>
                  <a:lstStyle/>
                  <a:p>
                    <a:fld id="{62531E07-3AC9-4655-97E8-5A08FDE8D349}" type="VALUE">
                      <a:rPr lang="en-US" sz="1200"/>
                      <a:pPr/>
                      <a:t>[VALUE]</a:t>
                    </a:fld>
                    <a:r>
                      <a:rPr lang="en-US" sz="1200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610A-4433-B050-9B75B4B9A6B0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8"/>
              <c:layout/>
              <c:tx>
                <c:rich>
                  <a:bodyPr/>
                  <a:lstStyle/>
                  <a:p>
                    <a:fld id="{81396C16-6457-4A4F-A011-4C7298F07C52}" type="VALUE">
                      <a:rPr lang="en-US" sz="1200"/>
                      <a:pPr/>
                      <a:t>[VALUE]</a:t>
                    </a:fld>
                    <a:r>
                      <a:rPr lang="en-US" sz="1200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610A-4433-B050-9B75B4B9A6B0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'[KYSS_German data_age parity motivation CO method_14.04.2022.xlsx]baseline contraception'!$E$2:$E$10</c:f>
              <c:strCache>
                <c:ptCount val="9"/>
                <c:pt idx="0">
                  <c:v>Oral hormonal contraception (n=153)</c:v>
                </c:pt>
                <c:pt idx="1">
                  <c:v>None (n=130)</c:v>
                </c:pt>
                <c:pt idx="2">
                  <c:v>IUS (n=95)</c:v>
                </c:pt>
                <c:pt idx="3">
                  <c:v>Barrier method (n=90)</c:v>
                </c:pt>
                <c:pt idx="4">
                  <c:v>Vaginal hormonal contraception (n=14)</c:v>
                </c:pt>
                <c:pt idx="5">
                  <c:v>IUD (n=12)</c:v>
                </c:pt>
                <c:pt idx="6">
                  <c:v>Natural family planning (n=9)</c:v>
                </c:pt>
                <c:pt idx="7">
                  <c:v>Injectables (n=4)</c:v>
                </c:pt>
                <c:pt idx="8">
                  <c:v>Transdermal hormonal contraception (n=1)</c:v>
                </c:pt>
              </c:strCache>
            </c:strRef>
          </c:cat>
          <c:val>
            <c:numRef>
              <c:f>'[KYSS_German data_age parity motivation CO method_14.04.2022.xlsx]baseline contraception'!$F$2:$F$10</c:f>
              <c:numCache>
                <c:formatCode>General</c:formatCode>
                <c:ptCount val="9"/>
                <c:pt idx="0">
                  <c:v>30.1</c:v>
                </c:pt>
                <c:pt idx="1">
                  <c:v>25.6</c:v>
                </c:pt>
                <c:pt idx="2">
                  <c:v>18.7</c:v>
                </c:pt>
                <c:pt idx="3">
                  <c:v>17.7</c:v>
                </c:pt>
                <c:pt idx="4">
                  <c:v>2.8</c:v>
                </c:pt>
                <c:pt idx="5">
                  <c:v>2.4</c:v>
                </c:pt>
                <c:pt idx="6">
                  <c:v>1.8</c:v>
                </c:pt>
                <c:pt idx="7">
                  <c:v>0.8</c:v>
                </c:pt>
                <c:pt idx="8">
                  <c:v>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610A-4433-B050-9B75B4B9A6B0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6.1982636785786376E-3"/>
          <c:y val="0.15129918576128903"/>
          <c:w val="0.4509651507787541"/>
          <c:h val="0.8432858255008520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600" b="1"/>
              <a:t>Motivation</a:t>
            </a:r>
            <a:r>
              <a:rPr lang="en-US" sz="1600" b="1" baseline="0"/>
              <a:t> for selecting LNG-IUS-19.5mg (N=508</a:t>
            </a:r>
            <a:r>
              <a:rPr lang="en-US" sz="1600" baseline="0"/>
              <a:t>)</a:t>
            </a:r>
            <a:endParaRPr lang="en-US" sz="1600"/>
          </a:p>
        </c:rich>
      </c:tx>
      <c:layout>
        <c:manualLayout>
          <c:xMode val="edge"/>
          <c:yMode val="edge"/>
          <c:x val="0.17476171628279083"/>
          <c:y val="2.232145103267841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61149095157274913"/>
          <c:y val="0.20152510776048785"/>
          <c:w val="0.36269176752505805"/>
          <c:h val="0.67590364393019753"/>
        </c:manualLayout>
      </c:layout>
      <c:pieChart>
        <c:varyColors val="1"/>
        <c:ser>
          <c:idx val="0"/>
          <c:order val="0"/>
          <c:tx>
            <c:strRef>
              <c:f>'[KYSS_German data_age parity motivation CO method_14.04.2022.xlsx]baseline motivation'!$F$1</c:f>
              <c:strCache>
                <c:ptCount val="1"/>
                <c:pt idx="0">
                  <c:v>Germany participants (n=508)</c:v>
                </c:pt>
              </c:strCache>
            </c:strRef>
          </c:tx>
          <c:dPt>
            <c:idx val="0"/>
            <c:bubble3D val="0"/>
            <c:spPr>
              <a:solidFill>
                <a:schemeClr val="accent5">
                  <a:lumMod val="40000"/>
                  <a:lumOff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CA0-433F-A5CB-EF2EADC8D1A6}"/>
              </c:ext>
            </c:extLst>
          </c:dPt>
          <c:dPt>
            <c:idx val="1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7CA0-433F-A5CB-EF2EADC8D1A6}"/>
              </c:ext>
            </c:extLst>
          </c:dPt>
          <c:dPt>
            <c:idx val="2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7CA0-433F-A5CB-EF2EADC8D1A6}"/>
              </c:ext>
            </c:extLst>
          </c:dPt>
          <c:dPt>
            <c:idx val="3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7CA0-433F-A5CB-EF2EADC8D1A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7CA0-433F-A5CB-EF2EADC8D1A6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7CA0-433F-A5CB-EF2EADC8D1A6}"/>
              </c:ext>
            </c:extLst>
          </c:dPt>
          <c:dPt>
            <c:idx val="6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7CA0-433F-A5CB-EF2EADC8D1A6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7CA0-433F-A5CB-EF2EADC8D1A6}"/>
              </c:ext>
            </c:extLst>
          </c:dPt>
          <c:dPt>
            <c:idx val="8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7CA0-433F-A5CB-EF2EADC8D1A6}"/>
              </c:ext>
            </c:extLst>
          </c:dPt>
          <c:dLbls>
            <c:dLbl>
              <c:idx val="0"/>
              <c:layout/>
              <c:tx>
                <c:rich>
                  <a:bodyPr/>
                  <a:lstStyle/>
                  <a:p>
                    <a:fld id="{100D0A94-CEBA-48EA-9E0A-5361F66D8609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CA0-433F-A5CB-EF2EADC8D1A6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fld id="{1923ADAC-7E21-4A29-ACD9-144F1647E2F3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7CA0-433F-A5CB-EF2EADC8D1A6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fld id="{AD6325E1-C6A2-4FAD-8961-482E28351301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7CA0-433F-A5CB-EF2EADC8D1A6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fld id="{C062CDFE-3F8D-4D4F-9F04-96C54B4F5F6F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7CA0-433F-A5CB-EF2EADC8D1A6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fld id="{89BB61D4-61AF-498F-ADAB-A658835E0807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7CA0-433F-A5CB-EF2EADC8D1A6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5"/>
              <c:layout/>
              <c:tx>
                <c:rich>
                  <a:bodyPr/>
                  <a:lstStyle/>
                  <a:p>
                    <a:fld id="{167E4846-BDEC-40FF-94E4-2D41F1DF1F72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7CA0-433F-A5CB-EF2EADC8D1A6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6"/>
              <c:layout/>
              <c:tx>
                <c:rich>
                  <a:bodyPr/>
                  <a:lstStyle/>
                  <a:p>
                    <a:fld id="{881DF65C-D974-4499-A5A5-41021F93172D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7CA0-433F-A5CB-EF2EADC8D1A6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7"/>
              <c:layout/>
              <c:tx>
                <c:rich>
                  <a:bodyPr/>
                  <a:lstStyle/>
                  <a:p>
                    <a:fld id="{22EBB8B9-C602-4C22-9B20-CED461F1BE52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7CA0-433F-A5CB-EF2EADC8D1A6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8"/>
              <c:layout/>
              <c:tx>
                <c:rich>
                  <a:bodyPr/>
                  <a:lstStyle/>
                  <a:p>
                    <a:fld id="{D7DF4E2E-CB13-4894-91BB-AB3DAA003510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7CA0-433F-A5CB-EF2EADC8D1A6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'[KYSS_German data_age parity motivation CO method_14.04.2022.xlsx]baseline motivation'!$E$2:$E$10</c:f>
              <c:strCache>
                <c:ptCount val="9"/>
                <c:pt idx="0">
                  <c:v>No daily, weekly or monthly contraceptive routine (n=174)</c:v>
                </c:pt>
                <c:pt idx="1">
                  <c:v>High contraceptive reliability (n=159)</c:v>
                </c:pt>
                <c:pt idx="2">
                  <c:v>Low hormone dose (n=158)</c:v>
                </c:pt>
                <c:pt idx="3">
                  <c:v>Expectation of shorter, lighter, less frequent bleeding (n=97)</c:v>
                </c:pt>
                <c:pt idx="4">
                  <c:v>Acts mainly locally (n=72)</c:v>
                </c:pt>
                <c:pt idx="5">
                  <c:v>Oestrogen-free contraception (n=34)</c:v>
                </c:pt>
                <c:pt idx="6">
                  <c:v>Small size (n=18)</c:v>
                </c:pt>
                <c:pt idx="7">
                  <c:v>Minimal drug interactions (n=16)</c:v>
                </c:pt>
                <c:pt idx="8">
                  <c:v>Other (n=22)</c:v>
                </c:pt>
              </c:strCache>
            </c:strRef>
          </c:cat>
          <c:val>
            <c:numRef>
              <c:f>'[KYSS_German data_age parity motivation CO method_14.04.2022.xlsx]baseline motivation'!$F$2:$F$10</c:f>
              <c:numCache>
                <c:formatCode>General</c:formatCode>
                <c:ptCount val="9"/>
                <c:pt idx="0">
                  <c:v>34.299999999999997</c:v>
                </c:pt>
                <c:pt idx="1">
                  <c:v>31.1</c:v>
                </c:pt>
                <c:pt idx="2">
                  <c:v>31.1</c:v>
                </c:pt>
                <c:pt idx="3">
                  <c:v>19.100000000000001</c:v>
                </c:pt>
                <c:pt idx="4">
                  <c:v>14.2</c:v>
                </c:pt>
                <c:pt idx="5">
                  <c:v>6.7</c:v>
                </c:pt>
                <c:pt idx="6">
                  <c:v>3.5</c:v>
                </c:pt>
                <c:pt idx="7">
                  <c:v>3.1</c:v>
                </c:pt>
                <c:pt idx="8">
                  <c:v>4.3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7CA0-433F-A5CB-EF2EADC8D1A6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0"/>
          <c:y val="0.13632980026385053"/>
          <c:w val="0.58809337757281333"/>
          <c:h val="0.8622961381989511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stacked"/>
        <c:varyColors val="0"/>
        <c:ser>
          <c:idx val="2"/>
          <c:order val="0"/>
          <c:tx>
            <c:strRef>
              <c:f>'[KYSS_German data_age parity motivation CO method_14.04.2022.xlsx]placement'!$M$5</c:f>
              <c:strCache>
                <c:ptCount val="1"/>
                <c:pt idx="0">
                  <c:v>Very difficult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1.0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80EE-48E4-8AE2-7DC8C1FF82C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888E-4195-A911-EEC76DB0E05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'[KYSS_German data_age parity motivation CO method_14.04.2022.xlsx]placement'!$N$1:$T$2</c:f>
              <c:multiLvlStrCache>
                <c:ptCount val="7"/>
                <c:lvl>
                  <c:pt idx="1">
                    <c:v>Parous
n=305</c:v>
                  </c:pt>
                  <c:pt idx="2">
                    <c:v>Nulliparous
n=203</c:v>
                  </c:pt>
                  <c:pt idx="3">
                    <c:v>≤ 17 years
n=5</c:v>
                  </c:pt>
                  <c:pt idx="4">
                    <c:v>18–25 years
n=136</c:v>
                  </c:pt>
                  <c:pt idx="5">
                    <c:v>26–35 years
n=182</c:v>
                  </c:pt>
                  <c:pt idx="6">
                    <c:v>&gt; 35 years
n=185</c:v>
                  </c:pt>
                </c:lvl>
                <c:lvl>
                  <c:pt idx="0">
                    <c:v>Total
N=508</c:v>
                  </c:pt>
                  <c:pt idx="1">
                    <c:v>Parity</c:v>
                  </c:pt>
                  <c:pt idx="3">
                    <c:v>Age</c:v>
                  </c:pt>
                </c:lvl>
              </c:multiLvlStrCache>
            </c:multiLvlStrRef>
          </c:cat>
          <c:val>
            <c:numRef>
              <c:f>'[KYSS_German data_age parity motivation CO method_14.04.2022.xlsx]placement'!$N$5:$T$5</c:f>
              <c:numCache>
                <c:formatCode>General</c:formatCode>
                <c:ptCount val="7"/>
                <c:pt idx="0" formatCode="0">
                  <c:v>1</c:v>
                </c:pt>
                <c:pt idx="1">
                  <c:v>0.3</c:v>
                </c:pt>
                <c:pt idx="2" formatCode="0.0">
                  <c:v>2</c:v>
                </c:pt>
                <c:pt idx="3" formatCode="0.0">
                  <c:v>0</c:v>
                </c:pt>
                <c:pt idx="4">
                  <c:v>2.2000000000000002</c:v>
                </c:pt>
                <c:pt idx="5">
                  <c:v>0.5</c:v>
                </c:pt>
                <c:pt idx="6">
                  <c:v>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88E-4195-A911-EEC76DB0E054}"/>
            </c:ext>
          </c:extLst>
        </c:ser>
        <c:ser>
          <c:idx val="1"/>
          <c:order val="1"/>
          <c:tx>
            <c:strRef>
              <c:f>'[KYSS_German data_age parity motivation CO method_14.04.2022.xlsx]placement'!$M$4</c:f>
              <c:strCache>
                <c:ptCount val="1"/>
                <c:pt idx="0">
                  <c:v>Slightly difficult</c:v>
                </c:pt>
              </c:strCache>
            </c:strRef>
          </c:tx>
          <c:spPr>
            <a:solidFill>
              <a:srgbClr val="FDE71B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'[KYSS_German data_age parity motivation CO method_14.04.2022.xlsx]placement'!$N$1:$T$2</c:f>
              <c:multiLvlStrCache>
                <c:ptCount val="7"/>
                <c:lvl>
                  <c:pt idx="1">
                    <c:v>Parous
n=305</c:v>
                  </c:pt>
                  <c:pt idx="2">
                    <c:v>Nulliparous
n=203</c:v>
                  </c:pt>
                  <c:pt idx="3">
                    <c:v>≤ 17 years
n=5</c:v>
                  </c:pt>
                  <c:pt idx="4">
                    <c:v>18–25 years
n=136</c:v>
                  </c:pt>
                  <c:pt idx="5">
                    <c:v>26–35 years
n=182</c:v>
                  </c:pt>
                  <c:pt idx="6">
                    <c:v>&gt; 35 years
n=185</c:v>
                  </c:pt>
                </c:lvl>
                <c:lvl>
                  <c:pt idx="0">
                    <c:v>Total
N=508</c:v>
                  </c:pt>
                  <c:pt idx="1">
                    <c:v>Parity</c:v>
                  </c:pt>
                  <c:pt idx="3">
                    <c:v>Age</c:v>
                  </c:pt>
                </c:lvl>
              </c:multiLvlStrCache>
            </c:multiLvlStrRef>
          </c:cat>
          <c:val>
            <c:numRef>
              <c:f>'[KYSS_German data_age parity motivation CO method_14.04.2022.xlsx]placement'!$N$4:$T$4</c:f>
              <c:numCache>
                <c:formatCode>General</c:formatCode>
                <c:ptCount val="7"/>
                <c:pt idx="0" formatCode="0.0">
                  <c:v>8.9</c:v>
                </c:pt>
                <c:pt idx="1">
                  <c:v>7.9</c:v>
                </c:pt>
                <c:pt idx="2">
                  <c:v>10.3</c:v>
                </c:pt>
                <c:pt idx="3" formatCode="0.0">
                  <c:v>20</c:v>
                </c:pt>
                <c:pt idx="4">
                  <c:v>6.6</c:v>
                </c:pt>
                <c:pt idx="5">
                  <c:v>10.4</c:v>
                </c:pt>
                <c:pt idx="6">
                  <c:v>8.6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88E-4195-A911-EEC76DB0E054}"/>
            </c:ext>
          </c:extLst>
        </c:ser>
        <c:ser>
          <c:idx val="0"/>
          <c:order val="2"/>
          <c:tx>
            <c:strRef>
              <c:f>'[KYSS_German data_age parity motivation CO method_14.04.2022.xlsx]placement'!$M$3</c:f>
              <c:strCache>
                <c:ptCount val="1"/>
                <c:pt idx="0">
                  <c:v>Easy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'[KYSS_German data_age parity motivation CO method_14.04.2022.xlsx]placement'!$N$1:$T$2</c:f>
              <c:multiLvlStrCache>
                <c:ptCount val="7"/>
                <c:lvl>
                  <c:pt idx="1">
                    <c:v>Parous
n=305</c:v>
                  </c:pt>
                  <c:pt idx="2">
                    <c:v>Nulliparous
n=203</c:v>
                  </c:pt>
                  <c:pt idx="3">
                    <c:v>≤ 17 years
n=5</c:v>
                  </c:pt>
                  <c:pt idx="4">
                    <c:v>18–25 years
n=136</c:v>
                  </c:pt>
                  <c:pt idx="5">
                    <c:v>26–35 years
n=182</c:v>
                  </c:pt>
                  <c:pt idx="6">
                    <c:v>&gt; 35 years
n=185</c:v>
                  </c:pt>
                </c:lvl>
                <c:lvl>
                  <c:pt idx="0">
                    <c:v>Total
N=508</c:v>
                  </c:pt>
                  <c:pt idx="1">
                    <c:v>Parity</c:v>
                  </c:pt>
                  <c:pt idx="3">
                    <c:v>Age</c:v>
                  </c:pt>
                </c:lvl>
              </c:multiLvlStrCache>
            </c:multiLvlStrRef>
          </c:cat>
          <c:val>
            <c:numRef>
              <c:f>'[KYSS_German data_age parity motivation CO method_14.04.2022.xlsx]placement'!$N$3:$T$3</c:f>
              <c:numCache>
                <c:formatCode>0.0</c:formatCode>
                <c:ptCount val="7"/>
                <c:pt idx="0">
                  <c:v>90.2</c:v>
                </c:pt>
                <c:pt idx="1">
                  <c:v>91.8</c:v>
                </c:pt>
                <c:pt idx="2" formatCode="General">
                  <c:v>87.7</c:v>
                </c:pt>
                <c:pt idx="3">
                  <c:v>80</c:v>
                </c:pt>
                <c:pt idx="4">
                  <c:v>91.2</c:v>
                </c:pt>
                <c:pt idx="5">
                  <c:v>89</c:v>
                </c:pt>
                <c:pt idx="6">
                  <c:v>90.8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88E-4195-A911-EEC76DB0E054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785899536"/>
        <c:axId val="785900080"/>
      </c:barChart>
      <c:catAx>
        <c:axId val="78589953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b="1"/>
                  <a:t>Ease of LNG-IUS-19.5mg placement</a:t>
                </a:r>
              </a:p>
            </c:rich>
          </c:tx>
          <c:layout>
            <c:manualLayout>
              <c:xMode val="edge"/>
              <c:yMode val="edge"/>
              <c:x val="0.37649046211502246"/>
              <c:y val="0.8449833157255208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85900080"/>
        <c:crosses val="autoZero"/>
        <c:auto val="1"/>
        <c:lblAlgn val="ctr"/>
        <c:lblOffset val="100"/>
        <c:noMultiLvlLbl val="0"/>
      </c:catAx>
      <c:valAx>
        <c:axId val="785900080"/>
        <c:scaling>
          <c:orientation val="minMax"/>
          <c:max val="1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Percentage (%) </a:t>
                </a:r>
              </a:p>
            </c:rich>
          </c:tx>
          <c:layout>
            <c:manualLayout>
              <c:xMode val="edge"/>
              <c:yMode val="edge"/>
              <c:x val="1.9944222135291237E-3"/>
              <c:y val="0.201864130020601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1"/>
        <c:majorTickMark val="none"/>
        <c:minorTickMark val="none"/>
        <c:tickLblPos val="nextTo"/>
        <c:spPr>
          <a:noFill/>
          <a:ln>
            <a:solidFill>
              <a:schemeClr val="bg1">
                <a:lumMod val="8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858995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2351868216118101"/>
          <c:y val="0.93306260283573639"/>
          <c:w val="0.35908278107874597"/>
          <c:h val="6.693738353790844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3"/>
          <c:order val="0"/>
          <c:tx>
            <c:strRef>
              <c:f>'[KYSS_German data_age parity motivation CO method_14.04.2022.xlsx]placement'!$Z$6</c:f>
              <c:strCache>
                <c:ptCount val="1"/>
                <c:pt idx="0">
                  <c:v>Severe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5B43-4B2F-A351-184257F7980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'[KYSS_German data_age parity motivation CO method_14.04.2022.xlsx]placement'!$AA$1:$AG$2</c:f>
              <c:multiLvlStrCache>
                <c:ptCount val="7"/>
                <c:lvl>
                  <c:pt idx="1">
                    <c:v>Parous
n=305</c:v>
                  </c:pt>
                  <c:pt idx="2">
                    <c:v>Nulliparous
n=203</c:v>
                  </c:pt>
                  <c:pt idx="3">
                    <c:v>≤ 17 years
n=5</c:v>
                  </c:pt>
                  <c:pt idx="4">
                    <c:v>18–25 years
n=136</c:v>
                  </c:pt>
                  <c:pt idx="5">
                    <c:v>26–35 years
n=182</c:v>
                  </c:pt>
                  <c:pt idx="6">
                    <c:v>&gt; 35 years
n=185</c:v>
                  </c:pt>
                </c:lvl>
                <c:lvl>
                  <c:pt idx="0">
                    <c:v>Total
N=508</c:v>
                  </c:pt>
                  <c:pt idx="1">
                    <c:v>Parity</c:v>
                  </c:pt>
                  <c:pt idx="3">
                    <c:v>Age</c:v>
                  </c:pt>
                </c:lvl>
              </c:multiLvlStrCache>
            </c:multiLvlStrRef>
          </c:cat>
          <c:val>
            <c:numRef>
              <c:f>'[KYSS_German data_age parity motivation CO method_14.04.2022.xlsx]placement'!$AA$6:$AG$6</c:f>
              <c:numCache>
                <c:formatCode>0.0</c:formatCode>
                <c:ptCount val="7"/>
                <c:pt idx="0" formatCode="General">
                  <c:v>3.9</c:v>
                </c:pt>
                <c:pt idx="1">
                  <c:v>2</c:v>
                </c:pt>
                <c:pt idx="2" formatCode="General">
                  <c:v>6.9</c:v>
                </c:pt>
                <c:pt idx="3" formatCode="General">
                  <c:v>0</c:v>
                </c:pt>
                <c:pt idx="4" formatCode="General">
                  <c:v>5.0999999999999996</c:v>
                </c:pt>
                <c:pt idx="5" formatCode="General">
                  <c:v>3.8</c:v>
                </c:pt>
                <c:pt idx="6" formatCode="General">
                  <c:v>3.2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B43-4B2F-A351-184257F79808}"/>
            </c:ext>
          </c:extLst>
        </c:ser>
        <c:ser>
          <c:idx val="2"/>
          <c:order val="1"/>
          <c:tx>
            <c:strRef>
              <c:f>'[KYSS_German data_age parity motivation CO method_14.04.2022.xlsx]placement'!$Z$5</c:f>
              <c:strCache>
                <c:ptCount val="1"/>
                <c:pt idx="0">
                  <c:v>Moderate </c:v>
                </c:pt>
              </c:strCache>
            </c:strRef>
          </c:tx>
          <c:spPr>
            <a:solidFill>
              <a:srgbClr val="FA9C12"/>
            </a:solidFill>
            <a:ln>
              <a:noFill/>
            </a:ln>
            <a:effectLst/>
          </c:spPr>
          <c:invertIfNegative val="0"/>
          <c:dLbls>
            <c:dLbl>
              <c:idx val="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5B43-4B2F-A351-184257F7980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'[KYSS_German data_age parity motivation CO method_14.04.2022.xlsx]placement'!$AA$1:$AG$2</c:f>
              <c:multiLvlStrCache>
                <c:ptCount val="7"/>
                <c:lvl>
                  <c:pt idx="1">
                    <c:v>Parous
n=305</c:v>
                  </c:pt>
                  <c:pt idx="2">
                    <c:v>Nulliparous
n=203</c:v>
                  </c:pt>
                  <c:pt idx="3">
                    <c:v>≤ 17 years
n=5</c:v>
                  </c:pt>
                  <c:pt idx="4">
                    <c:v>18–25 years
n=136</c:v>
                  </c:pt>
                  <c:pt idx="5">
                    <c:v>26–35 years
n=182</c:v>
                  </c:pt>
                  <c:pt idx="6">
                    <c:v>&gt; 35 years
n=185</c:v>
                  </c:pt>
                </c:lvl>
                <c:lvl>
                  <c:pt idx="0">
                    <c:v>Total
N=508</c:v>
                  </c:pt>
                  <c:pt idx="1">
                    <c:v>Parity</c:v>
                  </c:pt>
                  <c:pt idx="3">
                    <c:v>Age</c:v>
                  </c:pt>
                </c:lvl>
              </c:multiLvlStrCache>
            </c:multiLvlStrRef>
          </c:cat>
          <c:val>
            <c:numRef>
              <c:f>'[KYSS_German data_age parity motivation CO method_14.04.2022.xlsx]placement'!$AA$5:$AG$5</c:f>
              <c:numCache>
                <c:formatCode>General</c:formatCode>
                <c:ptCount val="7"/>
                <c:pt idx="0">
                  <c:v>14.2</c:v>
                </c:pt>
                <c:pt idx="1">
                  <c:v>8.1999999999999993</c:v>
                </c:pt>
                <c:pt idx="2">
                  <c:v>23.2</c:v>
                </c:pt>
                <c:pt idx="3">
                  <c:v>0</c:v>
                </c:pt>
                <c:pt idx="4">
                  <c:v>21.3</c:v>
                </c:pt>
                <c:pt idx="5">
                  <c:v>11.5</c:v>
                </c:pt>
                <c:pt idx="6">
                  <c:v>11.9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5B43-4B2F-A351-184257F79808}"/>
            </c:ext>
          </c:extLst>
        </c:ser>
        <c:ser>
          <c:idx val="1"/>
          <c:order val="2"/>
          <c:tx>
            <c:strRef>
              <c:f>'[KYSS_German data_age parity motivation CO method_14.04.2022.xlsx]placement'!$Z$4</c:f>
              <c:strCache>
                <c:ptCount val="1"/>
                <c:pt idx="0">
                  <c:v>Mild</c:v>
                </c:pt>
              </c:strCache>
            </c:strRef>
          </c:tx>
          <c:spPr>
            <a:solidFill>
              <a:srgbClr val="B0DD7F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'[KYSS_German data_age parity motivation CO method_14.04.2022.xlsx]placement'!$AA$1:$AG$2</c:f>
              <c:multiLvlStrCache>
                <c:ptCount val="7"/>
                <c:lvl>
                  <c:pt idx="1">
                    <c:v>Parous
n=305</c:v>
                  </c:pt>
                  <c:pt idx="2">
                    <c:v>Nulliparous
n=203</c:v>
                  </c:pt>
                  <c:pt idx="3">
                    <c:v>≤ 17 years
n=5</c:v>
                  </c:pt>
                  <c:pt idx="4">
                    <c:v>18–25 years
n=136</c:v>
                  </c:pt>
                  <c:pt idx="5">
                    <c:v>26–35 years
n=182</c:v>
                  </c:pt>
                  <c:pt idx="6">
                    <c:v>&gt; 35 years
n=185</c:v>
                  </c:pt>
                </c:lvl>
                <c:lvl>
                  <c:pt idx="0">
                    <c:v>Total
N=508</c:v>
                  </c:pt>
                  <c:pt idx="1">
                    <c:v>Parity</c:v>
                  </c:pt>
                  <c:pt idx="3">
                    <c:v>Age</c:v>
                  </c:pt>
                </c:lvl>
              </c:multiLvlStrCache>
            </c:multiLvlStrRef>
          </c:cat>
          <c:val>
            <c:numRef>
              <c:f>'[KYSS_German data_age parity motivation CO method_14.04.2022.xlsx]placement'!$AA$4:$AG$4</c:f>
              <c:numCache>
                <c:formatCode>General</c:formatCode>
                <c:ptCount val="7"/>
                <c:pt idx="0">
                  <c:v>45.5</c:v>
                </c:pt>
                <c:pt idx="1">
                  <c:v>42.6</c:v>
                </c:pt>
                <c:pt idx="2">
                  <c:v>49.8</c:v>
                </c:pt>
                <c:pt idx="3" formatCode="0.0">
                  <c:v>80</c:v>
                </c:pt>
                <c:pt idx="4">
                  <c:v>53.7</c:v>
                </c:pt>
                <c:pt idx="5">
                  <c:v>38.5</c:v>
                </c:pt>
                <c:pt idx="6">
                  <c:v>45.4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B43-4B2F-A351-184257F79808}"/>
            </c:ext>
          </c:extLst>
        </c:ser>
        <c:ser>
          <c:idx val="0"/>
          <c:order val="3"/>
          <c:tx>
            <c:strRef>
              <c:f>'[KYSS_German data_age parity motivation CO method_14.04.2022.xlsx]placement'!$Z$3</c:f>
              <c:strCache>
                <c:ptCount val="1"/>
                <c:pt idx="0">
                  <c:v>None 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'[KYSS_German data_age parity motivation CO method_14.04.2022.xlsx]placement'!$AA$1:$AG$2</c:f>
              <c:multiLvlStrCache>
                <c:ptCount val="7"/>
                <c:lvl>
                  <c:pt idx="1">
                    <c:v>Parous
n=305</c:v>
                  </c:pt>
                  <c:pt idx="2">
                    <c:v>Nulliparous
n=203</c:v>
                  </c:pt>
                  <c:pt idx="3">
                    <c:v>≤ 17 years
n=5</c:v>
                  </c:pt>
                  <c:pt idx="4">
                    <c:v>18–25 years
n=136</c:v>
                  </c:pt>
                  <c:pt idx="5">
                    <c:v>26–35 years
n=182</c:v>
                  </c:pt>
                  <c:pt idx="6">
                    <c:v>&gt; 35 years
n=185</c:v>
                  </c:pt>
                </c:lvl>
                <c:lvl>
                  <c:pt idx="0">
                    <c:v>Total
N=508</c:v>
                  </c:pt>
                  <c:pt idx="1">
                    <c:v>Parity</c:v>
                  </c:pt>
                  <c:pt idx="3">
                    <c:v>Age</c:v>
                  </c:pt>
                </c:lvl>
              </c:multiLvlStrCache>
            </c:multiLvlStrRef>
          </c:cat>
          <c:val>
            <c:numRef>
              <c:f>'[KYSS_German data_age parity motivation CO method_14.04.2022.xlsx]placement'!$AA$3:$AG$3</c:f>
              <c:numCache>
                <c:formatCode>General</c:formatCode>
                <c:ptCount val="7"/>
                <c:pt idx="0">
                  <c:v>36.4</c:v>
                </c:pt>
                <c:pt idx="1">
                  <c:v>47.2</c:v>
                </c:pt>
                <c:pt idx="2">
                  <c:v>20.2</c:v>
                </c:pt>
                <c:pt idx="3" formatCode="0.0">
                  <c:v>20</c:v>
                </c:pt>
                <c:pt idx="4">
                  <c:v>19.899999999999999</c:v>
                </c:pt>
                <c:pt idx="5">
                  <c:v>46.2</c:v>
                </c:pt>
                <c:pt idx="6">
                  <c:v>39.5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5B43-4B2F-A351-184257F79808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000859008"/>
        <c:axId val="1000853568"/>
      </c:barChart>
      <c:catAx>
        <c:axId val="10008590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b="1"/>
                  <a:t>Pain at LNG-IUS-19.5mg</a:t>
                </a:r>
                <a:r>
                  <a:rPr lang="en-GB" b="1" baseline="0"/>
                  <a:t> </a:t>
                </a:r>
                <a:r>
                  <a:rPr lang="en-GB" b="1"/>
                  <a:t>placement</a:t>
                </a:r>
              </a:p>
            </c:rich>
          </c:tx>
          <c:layout>
            <c:manualLayout>
              <c:xMode val="edge"/>
              <c:yMode val="edge"/>
              <c:x val="0.34161364761685054"/>
              <c:y val="0.8387690624778060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00853568"/>
        <c:crosses val="autoZero"/>
        <c:auto val="1"/>
        <c:lblAlgn val="ctr"/>
        <c:lblOffset val="100"/>
        <c:noMultiLvlLbl val="0"/>
      </c:catAx>
      <c:valAx>
        <c:axId val="1000853568"/>
        <c:scaling>
          <c:orientation val="minMax"/>
          <c:max val="1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Percentage (%)</a:t>
                </a:r>
              </a:p>
            </c:rich>
          </c:tx>
          <c:layout>
            <c:manualLayout>
              <c:xMode val="edge"/>
              <c:yMode val="edge"/>
              <c:x val="4.46611938534944E-3"/>
              <c:y val="0.1962488149724419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bg1">
                <a:lumMod val="8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008590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066572608551324"/>
          <c:y val="0.9368435197815983"/>
          <c:w val="0.38138134628223724"/>
          <c:h val="6.31564858569483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8370291806643719E-2"/>
          <c:y val="4.4367379456787016E-2"/>
          <c:w val="0.9048833116197168"/>
          <c:h val="0.60769790028175807"/>
        </c:manualLayout>
      </c:layout>
      <c:barChart>
        <c:barDir val="col"/>
        <c:grouping val="stacked"/>
        <c:varyColors val="0"/>
        <c:ser>
          <c:idx val="4"/>
          <c:order val="0"/>
          <c:tx>
            <c:strRef>
              <c:f>'[KYSS_German data_age parity motivation CO method_14.04.2022.xlsx]placement'!$M$21</c:f>
              <c:strCache>
                <c:ptCount val="1"/>
                <c:pt idx="0">
                  <c:v>Local &amp; systemic medication</c:v>
                </c:pt>
              </c:strCache>
            </c:strRef>
          </c:tx>
          <c:spPr>
            <a:solidFill>
              <a:srgbClr val="FA9C1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9525104801947858E-2"/>
                  <c:y val="-8.3883650193281173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349E-4283-907F-85116BCE430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6.3231887498200606E-2"/>
                  <c:y val="-8.3487032009716931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49E-4283-907F-85116BCE430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7.4390455880236059E-2"/>
                  <c:y val="-1.113160426796225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349E-4283-907F-85116BCE430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49E-4283-907F-85116BCE430C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7.0592743947217304E-2"/>
                  <c:y val="-8.3403506654879302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349E-4283-907F-85116BCE430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6.8671883722819876E-2"/>
                  <c:y val="-1.11411669188051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349E-4283-907F-85116BCE430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349E-4283-907F-85116BCE430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'[KYSS_German data_age parity motivation CO method_14.04.2022.xlsx]placement'!$N$15:$T$16</c:f>
              <c:multiLvlStrCache>
                <c:ptCount val="7"/>
                <c:lvl>
                  <c:pt idx="1">
                    <c:v>Parous
n=305</c:v>
                  </c:pt>
                  <c:pt idx="2">
                    <c:v>Nulliparous
n=203</c:v>
                  </c:pt>
                  <c:pt idx="3">
                    <c:v>≤ 17 years
n=5</c:v>
                  </c:pt>
                  <c:pt idx="4">
                    <c:v>18–25 years
n=136</c:v>
                  </c:pt>
                  <c:pt idx="5">
                    <c:v>26–35 years
n=182</c:v>
                  </c:pt>
                  <c:pt idx="6">
                    <c:v>&gt; 35 years
n=185</c:v>
                  </c:pt>
                </c:lvl>
                <c:lvl>
                  <c:pt idx="0">
                    <c:v>Total
N=508</c:v>
                  </c:pt>
                  <c:pt idx="1">
                    <c:v>Parity</c:v>
                  </c:pt>
                  <c:pt idx="3">
                    <c:v>Age</c:v>
                  </c:pt>
                </c:lvl>
              </c:multiLvlStrCache>
            </c:multiLvlStrRef>
          </c:cat>
          <c:val>
            <c:numRef>
              <c:f>'[KYSS_German data_age parity motivation CO method_14.04.2022.xlsx]placement'!$N$21:$T$21</c:f>
              <c:numCache>
                <c:formatCode>General</c:formatCode>
                <c:ptCount val="7"/>
                <c:pt idx="0">
                  <c:v>0.4</c:v>
                </c:pt>
                <c:pt idx="1">
                  <c:v>0.3</c:v>
                </c:pt>
                <c:pt idx="2">
                  <c:v>0.5</c:v>
                </c:pt>
                <c:pt idx="3">
                  <c:v>0</c:v>
                </c:pt>
                <c:pt idx="4">
                  <c:v>0.7</c:v>
                </c:pt>
                <c:pt idx="5">
                  <c:v>0.5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349E-4283-907F-85116BCE430C}"/>
            </c:ext>
          </c:extLst>
        </c:ser>
        <c:ser>
          <c:idx val="6"/>
          <c:order val="1"/>
          <c:tx>
            <c:strRef>
              <c:f>'[KYSS_German data_age parity motivation CO method_14.04.2022.xlsx]placement'!$M$23</c:f>
              <c:strCache>
                <c:ptCount val="1"/>
                <c:pt idx="0">
                  <c:v>Dilation &amp; systemic medication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6.1382669630374621E-2"/>
                  <c:y val="-3.614594059097872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349E-4283-907F-85116BCE430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5.9554538820908276E-2"/>
                  <c:y val="-3.059240951682044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349E-4283-907F-85116BCE430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6.6951410292212452E-2"/>
                  <c:y val="-3.896061493786789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349E-4283-907F-85116BCE430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349E-4283-907F-85116BCE430C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6.3161898075010242E-2"/>
                  <c:y val="-3.338452732306693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349E-4283-907F-85116BCE430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1.8559968573735102E-3"/>
                  <c:y val="-8.3558751891037626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349E-4283-907F-85116BCE430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5.3823908863831656E-2"/>
                  <c:y val="-1.11411669188051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349E-4283-907F-85116BCE430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'[KYSS_German data_age parity motivation CO method_14.04.2022.xlsx]placement'!$N$15:$T$16</c:f>
              <c:multiLvlStrCache>
                <c:ptCount val="7"/>
                <c:lvl>
                  <c:pt idx="1">
                    <c:v>Parous
n=305</c:v>
                  </c:pt>
                  <c:pt idx="2">
                    <c:v>Nulliparous
n=203</c:v>
                  </c:pt>
                  <c:pt idx="3">
                    <c:v>≤ 17 years
n=5</c:v>
                  </c:pt>
                  <c:pt idx="4">
                    <c:v>18–25 years
n=136</c:v>
                  </c:pt>
                  <c:pt idx="5">
                    <c:v>26–35 years
n=182</c:v>
                  </c:pt>
                  <c:pt idx="6">
                    <c:v>&gt; 35 years
n=185</c:v>
                  </c:pt>
                </c:lvl>
                <c:lvl>
                  <c:pt idx="0">
                    <c:v>Total
N=508</c:v>
                  </c:pt>
                  <c:pt idx="1">
                    <c:v>Parity</c:v>
                  </c:pt>
                  <c:pt idx="3">
                    <c:v>Age</c:v>
                  </c:pt>
                </c:lvl>
              </c:multiLvlStrCache>
            </c:multiLvlStrRef>
          </c:cat>
          <c:val>
            <c:numRef>
              <c:f>'[KYSS_German data_age parity motivation CO method_14.04.2022.xlsx]placement'!$N$23:$T$23</c:f>
              <c:numCache>
                <c:formatCode>General</c:formatCode>
                <c:ptCount val="7"/>
                <c:pt idx="0" formatCode="0.0">
                  <c:v>1</c:v>
                </c:pt>
                <c:pt idx="1">
                  <c:v>0.7</c:v>
                </c:pt>
                <c:pt idx="2">
                  <c:v>1.5</c:v>
                </c:pt>
                <c:pt idx="3">
                  <c:v>0</c:v>
                </c:pt>
                <c:pt idx="4">
                  <c:v>1.5</c:v>
                </c:pt>
                <c:pt idx="5">
                  <c:v>1.1000000000000001</c:v>
                </c:pt>
                <c:pt idx="6">
                  <c:v>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F-349E-4283-907F-85116BCE430C}"/>
            </c:ext>
          </c:extLst>
        </c:ser>
        <c:ser>
          <c:idx val="5"/>
          <c:order val="2"/>
          <c:tx>
            <c:strRef>
              <c:f>'[KYSS_German data_age parity motivation CO method_14.04.2022.xlsx]placement'!$M$22</c:f>
              <c:strCache>
                <c:ptCount val="1"/>
                <c:pt idx="0">
                  <c:v>Anaesthesia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4.4642327612931833E-2"/>
                  <c:y val="-8.333605414868108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349E-4283-907F-85116BCE430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3.9054989337123924E-2"/>
                  <c:y val="-8.070413094272646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349E-4283-907F-85116BCE430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4.6494034925147532E-2"/>
                  <c:y val="-6.957252667476410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349E-4283-907F-85116BCE430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349E-4283-907F-85116BCE430C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9028009577343832E-5"/>
                  <c:y val="2.8698792629236452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349E-4283-907F-85116BCE430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349E-4283-907F-85116BCE430C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1.3610486391238854E-16"/>
                  <c:y val="-1.0212618365199101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349E-4283-907F-85116BCE430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'[KYSS_German data_age parity motivation CO method_14.04.2022.xlsx]placement'!$N$15:$T$16</c:f>
              <c:multiLvlStrCache>
                <c:ptCount val="7"/>
                <c:lvl>
                  <c:pt idx="1">
                    <c:v>Parous
n=305</c:v>
                  </c:pt>
                  <c:pt idx="2">
                    <c:v>Nulliparous
n=203</c:v>
                  </c:pt>
                  <c:pt idx="3">
                    <c:v>≤ 17 years
n=5</c:v>
                  </c:pt>
                  <c:pt idx="4">
                    <c:v>18–25 years
n=136</c:v>
                  </c:pt>
                  <c:pt idx="5">
                    <c:v>26–35 years
n=182</c:v>
                  </c:pt>
                  <c:pt idx="6">
                    <c:v>&gt; 35 years
n=185</c:v>
                  </c:pt>
                </c:lvl>
                <c:lvl>
                  <c:pt idx="0">
                    <c:v>Total
N=508</c:v>
                  </c:pt>
                  <c:pt idx="1">
                    <c:v>Parity</c:v>
                  </c:pt>
                  <c:pt idx="3">
                    <c:v>Age</c:v>
                  </c:pt>
                </c:lvl>
              </c:multiLvlStrCache>
            </c:multiLvlStrRef>
          </c:cat>
          <c:val>
            <c:numRef>
              <c:f>'[KYSS_German data_age parity motivation CO method_14.04.2022.xlsx]placement'!$N$22:$T$22</c:f>
              <c:numCache>
                <c:formatCode>General</c:formatCode>
                <c:ptCount val="7"/>
                <c:pt idx="0">
                  <c:v>1.2</c:v>
                </c:pt>
                <c:pt idx="1">
                  <c:v>1.3</c:v>
                </c:pt>
                <c:pt idx="2" formatCode="0.0">
                  <c:v>1</c:v>
                </c:pt>
                <c:pt idx="3">
                  <c:v>0</c:v>
                </c:pt>
                <c:pt idx="4">
                  <c:v>1.5</c:v>
                </c:pt>
                <c:pt idx="5">
                  <c:v>0</c:v>
                </c:pt>
                <c:pt idx="6">
                  <c:v>2.2000000000000002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7-349E-4283-907F-85116BCE430C}"/>
            </c:ext>
          </c:extLst>
        </c:ser>
        <c:ser>
          <c:idx val="3"/>
          <c:order val="3"/>
          <c:tx>
            <c:strRef>
              <c:f>'[KYSS_German data_age parity motivation CO method_14.04.2022.xlsx]placement'!$M$20</c:f>
              <c:strCache>
                <c:ptCount val="1"/>
                <c:pt idx="0">
                  <c:v>Dilation</c:v>
                </c:pt>
              </c:strCache>
            </c:strRef>
          </c:tx>
          <c:spPr>
            <a:solidFill>
              <a:schemeClr val="accent4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8-349E-4283-907F-85116BCE430C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"/>
                  <c:y val="-2.7784316693955096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9-349E-4283-907F-85116BCE430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1.3610486391238854E-16"/>
                  <c:y val="-2.7852917297013567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A-349E-4283-907F-85116BCE430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'[KYSS_German data_age parity motivation CO method_14.04.2022.xlsx]placement'!$N$15:$T$16</c:f>
              <c:multiLvlStrCache>
                <c:ptCount val="7"/>
                <c:lvl>
                  <c:pt idx="1">
                    <c:v>Parous
n=305</c:v>
                  </c:pt>
                  <c:pt idx="2">
                    <c:v>Nulliparous
n=203</c:v>
                  </c:pt>
                  <c:pt idx="3">
                    <c:v>≤ 17 years
n=5</c:v>
                  </c:pt>
                  <c:pt idx="4">
                    <c:v>18–25 years
n=136</c:v>
                  </c:pt>
                  <c:pt idx="5">
                    <c:v>26–35 years
n=182</c:v>
                  </c:pt>
                  <c:pt idx="6">
                    <c:v>&gt; 35 years
n=185</c:v>
                  </c:pt>
                </c:lvl>
                <c:lvl>
                  <c:pt idx="0">
                    <c:v>Total
N=508</c:v>
                  </c:pt>
                  <c:pt idx="1">
                    <c:v>Parity</c:v>
                  </c:pt>
                  <c:pt idx="3">
                    <c:v>Age</c:v>
                  </c:pt>
                </c:lvl>
              </c:multiLvlStrCache>
            </c:multiLvlStrRef>
          </c:cat>
          <c:val>
            <c:numRef>
              <c:f>'[KYSS_German data_age parity motivation CO method_14.04.2022.xlsx]placement'!$N$20:$T$20</c:f>
              <c:numCache>
                <c:formatCode>General</c:formatCode>
                <c:ptCount val="7"/>
                <c:pt idx="0">
                  <c:v>3.3</c:v>
                </c:pt>
                <c:pt idx="1">
                  <c:v>2.6</c:v>
                </c:pt>
                <c:pt idx="2">
                  <c:v>4.4000000000000004</c:v>
                </c:pt>
                <c:pt idx="3">
                  <c:v>0</c:v>
                </c:pt>
                <c:pt idx="4">
                  <c:v>2.2000000000000002</c:v>
                </c:pt>
                <c:pt idx="5">
                  <c:v>14.4</c:v>
                </c:pt>
                <c:pt idx="6">
                  <c:v>3.2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B-349E-4283-907F-85116BCE430C}"/>
            </c:ext>
          </c:extLst>
        </c:ser>
        <c:ser>
          <c:idx val="2"/>
          <c:order val="4"/>
          <c:tx>
            <c:strRef>
              <c:f>'[KYSS_German data_age parity motivation CO method_14.04.2022.xlsx]placement'!$M$19</c:f>
              <c:strCache>
                <c:ptCount val="1"/>
                <c:pt idx="0">
                  <c:v>Local medication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'[KYSS_German data_age parity motivation CO method_14.04.2022.xlsx]placement'!$N$15:$T$16</c:f>
              <c:multiLvlStrCache>
                <c:ptCount val="7"/>
                <c:lvl>
                  <c:pt idx="1">
                    <c:v>Parous
n=305</c:v>
                  </c:pt>
                  <c:pt idx="2">
                    <c:v>Nulliparous
n=203</c:v>
                  </c:pt>
                  <c:pt idx="3">
                    <c:v>≤ 17 years
n=5</c:v>
                  </c:pt>
                  <c:pt idx="4">
                    <c:v>18–25 years
n=136</c:v>
                  </c:pt>
                  <c:pt idx="5">
                    <c:v>26–35 years
n=182</c:v>
                  </c:pt>
                  <c:pt idx="6">
                    <c:v>&gt; 35 years
n=185</c:v>
                  </c:pt>
                </c:lvl>
                <c:lvl>
                  <c:pt idx="0">
                    <c:v>Total
N=508</c:v>
                  </c:pt>
                  <c:pt idx="1">
                    <c:v>Parity</c:v>
                  </c:pt>
                  <c:pt idx="3">
                    <c:v>Age</c:v>
                  </c:pt>
                </c:lvl>
              </c:multiLvlStrCache>
            </c:multiLvlStrRef>
          </c:cat>
          <c:val>
            <c:numRef>
              <c:f>'[KYSS_German data_age parity motivation CO method_14.04.2022.xlsx]placement'!$N$19:$T$19</c:f>
              <c:numCache>
                <c:formatCode>General</c:formatCode>
                <c:ptCount val="7"/>
                <c:pt idx="0">
                  <c:v>11.8</c:v>
                </c:pt>
                <c:pt idx="1">
                  <c:v>11.1</c:v>
                </c:pt>
                <c:pt idx="2">
                  <c:v>12.8</c:v>
                </c:pt>
                <c:pt idx="3" formatCode="0.0">
                  <c:v>20</c:v>
                </c:pt>
                <c:pt idx="4">
                  <c:v>7.4</c:v>
                </c:pt>
                <c:pt idx="5">
                  <c:v>15.9</c:v>
                </c:pt>
                <c:pt idx="6">
                  <c:v>10.8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C-349E-4283-907F-85116BCE430C}"/>
            </c:ext>
          </c:extLst>
        </c:ser>
        <c:ser>
          <c:idx val="1"/>
          <c:order val="5"/>
          <c:tx>
            <c:strRef>
              <c:f>'[KYSS_German data_age parity motivation CO method_14.04.2022.xlsx]placement'!$M$18</c:f>
              <c:strCache>
                <c:ptCount val="1"/>
                <c:pt idx="0">
                  <c:v>Systemic medication</c:v>
                </c:pt>
              </c:strCache>
            </c:strRef>
          </c:tx>
          <c:spPr>
            <a:solidFill>
              <a:schemeClr val="accent6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'[KYSS_German data_age parity motivation CO method_14.04.2022.xlsx]placement'!$N$15:$T$16</c:f>
              <c:multiLvlStrCache>
                <c:ptCount val="7"/>
                <c:lvl>
                  <c:pt idx="1">
                    <c:v>Parous
n=305</c:v>
                  </c:pt>
                  <c:pt idx="2">
                    <c:v>Nulliparous
n=203</c:v>
                  </c:pt>
                  <c:pt idx="3">
                    <c:v>≤ 17 years
n=5</c:v>
                  </c:pt>
                  <c:pt idx="4">
                    <c:v>18–25 years
n=136</c:v>
                  </c:pt>
                  <c:pt idx="5">
                    <c:v>26–35 years
n=182</c:v>
                  </c:pt>
                  <c:pt idx="6">
                    <c:v>&gt; 35 years
n=185</c:v>
                  </c:pt>
                </c:lvl>
                <c:lvl>
                  <c:pt idx="0">
                    <c:v>Total
N=508</c:v>
                  </c:pt>
                  <c:pt idx="1">
                    <c:v>Parity</c:v>
                  </c:pt>
                  <c:pt idx="3">
                    <c:v>Age</c:v>
                  </c:pt>
                </c:lvl>
              </c:multiLvlStrCache>
            </c:multiLvlStrRef>
          </c:cat>
          <c:val>
            <c:numRef>
              <c:f>'[KYSS_German data_age parity motivation CO method_14.04.2022.xlsx]placement'!$N$18:$T$18</c:f>
              <c:numCache>
                <c:formatCode>General</c:formatCode>
                <c:ptCount val="7"/>
                <c:pt idx="0">
                  <c:v>23</c:v>
                </c:pt>
                <c:pt idx="1">
                  <c:v>19.7</c:v>
                </c:pt>
                <c:pt idx="2">
                  <c:v>28.1</c:v>
                </c:pt>
                <c:pt idx="3" formatCode="0.0">
                  <c:v>40</c:v>
                </c:pt>
                <c:pt idx="4">
                  <c:v>35.299999999999997</c:v>
                </c:pt>
                <c:pt idx="5">
                  <c:v>13.7</c:v>
                </c:pt>
                <c:pt idx="6">
                  <c:v>22.7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D-349E-4283-907F-85116BCE430C}"/>
            </c:ext>
          </c:extLst>
        </c:ser>
        <c:ser>
          <c:idx val="0"/>
          <c:order val="6"/>
          <c:tx>
            <c:strRef>
              <c:f>'[KYSS_German data_age parity motivation CO method_14.04.2022.xlsx]placement'!$M$17</c:f>
              <c:strCache>
                <c:ptCount val="1"/>
                <c:pt idx="0">
                  <c:v>None 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'[KYSS_German data_age parity motivation CO method_14.04.2022.xlsx]placement'!$N$15:$T$16</c:f>
              <c:multiLvlStrCache>
                <c:ptCount val="7"/>
                <c:lvl>
                  <c:pt idx="1">
                    <c:v>Parous
n=305</c:v>
                  </c:pt>
                  <c:pt idx="2">
                    <c:v>Nulliparous
n=203</c:v>
                  </c:pt>
                  <c:pt idx="3">
                    <c:v>≤ 17 years
n=5</c:v>
                  </c:pt>
                  <c:pt idx="4">
                    <c:v>18–25 years
n=136</c:v>
                  </c:pt>
                  <c:pt idx="5">
                    <c:v>26–35 years
n=182</c:v>
                  </c:pt>
                  <c:pt idx="6">
                    <c:v>&gt; 35 years
n=185</c:v>
                  </c:pt>
                </c:lvl>
                <c:lvl>
                  <c:pt idx="0">
                    <c:v>Total
N=508</c:v>
                  </c:pt>
                  <c:pt idx="1">
                    <c:v>Parity</c:v>
                  </c:pt>
                  <c:pt idx="3">
                    <c:v>Age</c:v>
                  </c:pt>
                </c:lvl>
              </c:multiLvlStrCache>
            </c:multiLvlStrRef>
          </c:cat>
          <c:val>
            <c:numRef>
              <c:f>'[KYSS_German data_age parity motivation CO method_14.04.2022.xlsx]placement'!$N$17:$T$17</c:f>
              <c:numCache>
                <c:formatCode>General</c:formatCode>
                <c:ptCount val="7"/>
                <c:pt idx="0">
                  <c:v>59.1</c:v>
                </c:pt>
                <c:pt idx="1">
                  <c:v>64.3</c:v>
                </c:pt>
                <c:pt idx="2">
                  <c:v>51.2</c:v>
                </c:pt>
                <c:pt idx="3" formatCode="0.0">
                  <c:v>40</c:v>
                </c:pt>
                <c:pt idx="4">
                  <c:v>50.7</c:v>
                </c:pt>
                <c:pt idx="5">
                  <c:v>64.3</c:v>
                </c:pt>
                <c:pt idx="6">
                  <c:v>60.5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E-349E-4283-907F-85116BCE430C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000854112"/>
        <c:axId val="1000859552"/>
      </c:barChart>
      <c:catAx>
        <c:axId val="10008541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b="1"/>
                  <a:t>Additional measures</a:t>
                </a:r>
                <a:r>
                  <a:rPr lang="en-GB" b="1" baseline="0"/>
                  <a:t> used during LNG-IUS-19.5mg placement</a:t>
                </a:r>
                <a:endParaRPr lang="en-GB" b="1"/>
              </a:p>
            </c:rich>
          </c:tx>
          <c:layout>
            <c:manualLayout>
              <c:xMode val="edge"/>
              <c:yMode val="edge"/>
              <c:x val="0.25345696922105482"/>
              <c:y val="0.8289224052753110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00859552"/>
        <c:crosses val="autoZero"/>
        <c:auto val="1"/>
        <c:lblAlgn val="ctr"/>
        <c:lblOffset val="100"/>
        <c:noMultiLvlLbl val="0"/>
      </c:catAx>
      <c:valAx>
        <c:axId val="1000859552"/>
        <c:scaling>
          <c:orientation val="minMax"/>
          <c:max val="1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Percentage (%) 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bg1">
                <a:lumMod val="8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00854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Ranjitha  Sivasankaran</dc:creator>
  <cp:keywords/>
  <dc:description/>
  <cp:lastModifiedBy>Ranjitha  Sivasankaran</cp:lastModifiedBy>
  <cp:revision>1</cp:revision>
  <dcterms:created xsi:type="dcterms:W3CDTF">2024-02-20T05:49:00Z</dcterms:created>
  <dcterms:modified xsi:type="dcterms:W3CDTF">2024-02-20T05:50:00Z</dcterms:modified>
</cp:coreProperties>
</file>