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4316DC" w14:textId="77777777" w:rsidR="00AB06EC" w:rsidRDefault="00EE772C">
      <w:pPr>
        <w:rPr>
          <w:rFonts w:ascii="Arial" w:hAnsi="Arial" w:cs="Arial"/>
          <w:sz w:val="24"/>
          <w:szCs w:val="24"/>
        </w:rPr>
      </w:pPr>
      <w:r w:rsidRPr="00EE772C">
        <w:rPr>
          <w:rFonts w:ascii="Arial" w:hAnsi="Arial" w:cs="Arial"/>
          <w:b/>
          <w:sz w:val="24"/>
          <w:szCs w:val="24"/>
        </w:rPr>
        <w:t>Supplementary table 1.</w:t>
      </w:r>
      <w:r w:rsidRPr="00EE772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 w:rsidRPr="00EE772C">
        <w:rPr>
          <w:rFonts w:ascii="Arial" w:hAnsi="Arial" w:cs="Arial"/>
          <w:sz w:val="24"/>
          <w:szCs w:val="24"/>
        </w:rPr>
        <w:t>he Categories of Auditory Performance (CAP)</w:t>
      </w:r>
      <w:r>
        <w:rPr>
          <w:rFonts w:ascii="Arial" w:hAnsi="Arial" w:cs="Arial"/>
          <w:sz w:val="24"/>
          <w:szCs w:val="24"/>
        </w:rPr>
        <w:t xml:space="preserve"> criteria.</w:t>
      </w:r>
    </w:p>
    <w:tbl>
      <w:tblPr>
        <w:tblStyle w:val="a3"/>
        <w:tblW w:w="9060" w:type="dxa"/>
        <w:tblLook w:val="04A0" w:firstRow="1" w:lastRow="0" w:firstColumn="1" w:lastColumn="0" w:noHBand="0" w:noVBand="1"/>
      </w:tblPr>
      <w:tblGrid>
        <w:gridCol w:w="1271"/>
        <w:gridCol w:w="7789"/>
      </w:tblGrid>
      <w:tr w:rsidR="00EE772C" w14:paraId="5B9F744D" w14:textId="77777777" w:rsidTr="00EE772C">
        <w:trPr>
          <w:trHeight w:val="868"/>
        </w:trPr>
        <w:tc>
          <w:tcPr>
            <w:tcW w:w="1271" w:type="dxa"/>
            <w:vAlign w:val="center"/>
          </w:tcPr>
          <w:p w14:paraId="2DD0C5F2" w14:textId="77777777" w:rsidR="00EE772C" w:rsidRDefault="00EE772C" w:rsidP="00EE772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R</w:t>
            </w:r>
            <w:r>
              <w:rPr>
                <w:rFonts w:ascii="Arial" w:hAnsi="Arial" w:cs="Arial"/>
                <w:sz w:val="24"/>
                <w:szCs w:val="24"/>
              </w:rPr>
              <w:t>ating</w:t>
            </w:r>
          </w:p>
        </w:tc>
        <w:tc>
          <w:tcPr>
            <w:tcW w:w="7789" w:type="dxa"/>
            <w:vAlign w:val="center"/>
          </w:tcPr>
          <w:p w14:paraId="3D46AE74" w14:textId="77777777" w:rsidR="00EE772C" w:rsidRDefault="00EE772C" w:rsidP="00EE772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C</w:t>
            </w:r>
            <w:r>
              <w:rPr>
                <w:rFonts w:ascii="Arial" w:hAnsi="Arial" w:cs="Arial"/>
                <w:sz w:val="24"/>
                <w:szCs w:val="24"/>
              </w:rPr>
              <w:t>riterion</w:t>
            </w:r>
          </w:p>
        </w:tc>
      </w:tr>
      <w:tr w:rsidR="00EE772C" w14:paraId="4D7543CA" w14:textId="77777777" w:rsidTr="00EE772C">
        <w:trPr>
          <w:trHeight w:val="868"/>
        </w:trPr>
        <w:tc>
          <w:tcPr>
            <w:tcW w:w="1271" w:type="dxa"/>
            <w:vAlign w:val="center"/>
          </w:tcPr>
          <w:p w14:paraId="0F3D97DA" w14:textId="77777777" w:rsidR="00EE772C" w:rsidRDefault="00EE772C" w:rsidP="00EE772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7</w:t>
            </w:r>
          </w:p>
        </w:tc>
        <w:tc>
          <w:tcPr>
            <w:tcW w:w="7789" w:type="dxa"/>
            <w:vAlign w:val="center"/>
          </w:tcPr>
          <w:p w14:paraId="48F72C8F" w14:textId="77777777" w:rsidR="00EE772C" w:rsidRPr="00EE772C" w:rsidRDefault="00EE772C" w:rsidP="00EE772C">
            <w:pPr>
              <w:rPr>
                <w:rFonts w:ascii="Arial" w:hAnsi="Arial" w:cs="Arial"/>
                <w:sz w:val="24"/>
                <w:szCs w:val="24"/>
              </w:rPr>
            </w:pPr>
            <w:r w:rsidRPr="00EE772C">
              <w:rPr>
                <w:rFonts w:ascii="Arial" w:hAnsi="Arial" w:cs="Arial"/>
                <w:sz w:val="24"/>
              </w:rPr>
              <w:t>Uses the telephone with a known listener</w:t>
            </w:r>
          </w:p>
        </w:tc>
      </w:tr>
      <w:tr w:rsidR="00EE772C" w14:paraId="4DEB5E8C" w14:textId="77777777" w:rsidTr="00EE772C">
        <w:trPr>
          <w:trHeight w:val="868"/>
        </w:trPr>
        <w:tc>
          <w:tcPr>
            <w:tcW w:w="1271" w:type="dxa"/>
            <w:vAlign w:val="center"/>
          </w:tcPr>
          <w:p w14:paraId="26B66E0E" w14:textId="77777777" w:rsidR="00EE772C" w:rsidRDefault="00EE772C" w:rsidP="00EE772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6</w:t>
            </w:r>
          </w:p>
        </w:tc>
        <w:tc>
          <w:tcPr>
            <w:tcW w:w="7789" w:type="dxa"/>
            <w:vAlign w:val="center"/>
          </w:tcPr>
          <w:p w14:paraId="3FA8E87A" w14:textId="77777777" w:rsidR="00EE772C" w:rsidRPr="00EE772C" w:rsidRDefault="00EE772C" w:rsidP="00EE772C">
            <w:pPr>
              <w:rPr>
                <w:rFonts w:ascii="Arial" w:hAnsi="Arial" w:cs="Arial"/>
                <w:sz w:val="24"/>
                <w:szCs w:val="24"/>
              </w:rPr>
            </w:pPr>
            <w:r w:rsidRPr="00EE772C">
              <w:rPr>
                <w:rFonts w:ascii="Arial" w:hAnsi="Arial" w:cs="Arial"/>
                <w:sz w:val="24"/>
              </w:rPr>
              <w:t>Understands conversation without lip-reading</w:t>
            </w:r>
          </w:p>
        </w:tc>
      </w:tr>
      <w:tr w:rsidR="00EE772C" w14:paraId="334CC6F9" w14:textId="77777777" w:rsidTr="00EE772C">
        <w:trPr>
          <w:trHeight w:val="868"/>
        </w:trPr>
        <w:tc>
          <w:tcPr>
            <w:tcW w:w="1271" w:type="dxa"/>
            <w:vAlign w:val="center"/>
          </w:tcPr>
          <w:p w14:paraId="5996EC9C" w14:textId="77777777" w:rsidR="00EE772C" w:rsidRDefault="00EE772C" w:rsidP="00EE772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5</w:t>
            </w:r>
          </w:p>
        </w:tc>
        <w:tc>
          <w:tcPr>
            <w:tcW w:w="7789" w:type="dxa"/>
            <w:vAlign w:val="center"/>
          </w:tcPr>
          <w:p w14:paraId="0E000F04" w14:textId="77777777" w:rsidR="00EE772C" w:rsidRPr="00EE772C" w:rsidRDefault="00EE772C" w:rsidP="00EE772C">
            <w:pPr>
              <w:rPr>
                <w:rFonts w:ascii="Arial" w:hAnsi="Arial" w:cs="Arial"/>
                <w:sz w:val="24"/>
                <w:szCs w:val="24"/>
              </w:rPr>
            </w:pPr>
            <w:r w:rsidRPr="00EE772C">
              <w:rPr>
                <w:rFonts w:ascii="Arial" w:hAnsi="Arial" w:cs="Arial"/>
                <w:sz w:val="24"/>
              </w:rPr>
              <w:t>Understands common phrases without lip-reading</w:t>
            </w:r>
          </w:p>
        </w:tc>
      </w:tr>
      <w:tr w:rsidR="00EE772C" w14:paraId="5BCE5E4F" w14:textId="77777777" w:rsidTr="00EE772C">
        <w:trPr>
          <w:trHeight w:val="868"/>
        </w:trPr>
        <w:tc>
          <w:tcPr>
            <w:tcW w:w="1271" w:type="dxa"/>
            <w:vAlign w:val="center"/>
          </w:tcPr>
          <w:p w14:paraId="237A12FA" w14:textId="77777777" w:rsidR="00EE772C" w:rsidRDefault="00EE772C" w:rsidP="00EE772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4</w:t>
            </w:r>
          </w:p>
        </w:tc>
        <w:tc>
          <w:tcPr>
            <w:tcW w:w="7789" w:type="dxa"/>
            <w:vAlign w:val="center"/>
          </w:tcPr>
          <w:p w14:paraId="1D36D677" w14:textId="77777777" w:rsidR="00EE772C" w:rsidRPr="00EE772C" w:rsidRDefault="00EE772C" w:rsidP="00EE772C">
            <w:pPr>
              <w:rPr>
                <w:rFonts w:ascii="Arial" w:hAnsi="Arial" w:cs="Arial"/>
                <w:sz w:val="24"/>
                <w:szCs w:val="24"/>
              </w:rPr>
            </w:pPr>
            <w:r w:rsidRPr="00EE772C">
              <w:rPr>
                <w:rFonts w:ascii="Arial" w:hAnsi="Arial" w:cs="Arial"/>
                <w:sz w:val="24"/>
              </w:rPr>
              <w:t>Discriminates some speech sounds without lip-reading</w:t>
            </w:r>
          </w:p>
        </w:tc>
      </w:tr>
      <w:tr w:rsidR="00EE772C" w14:paraId="1A87B502" w14:textId="77777777" w:rsidTr="00EE772C">
        <w:trPr>
          <w:trHeight w:val="868"/>
        </w:trPr>
        <w:tc>
          <w:tcPr>
            <w:tcW w:w="1271" w:type="dxa"/>
            <w:vAlign w:val="center"/>
          </w:tcPr>
          <w:p w14:paraId="1704D6B1" w14:textId="77777777" w:rsidR="00EE772C" w:rsidRDefault="00EE772C" w:rsidP="00EE772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3</w:t>
            </w:r>
          </w:p>
        </w:tc>
        <w:tc>
          <w:tcPr>
            <w:tcW w:w="7789" w:type="dxa"/>
            <w:vAlign w:val="center"/>
          </w:tcPr>
          <w:p w14:paraId="2FACFD8C" w14:textId="77777777" w:rsidR="00EE772C" w:rsidRPr="00EE772C" w:rsidRDefault="00EE772C" w:rsidP="00EE772C">
            <w:pPr>
              <w:rPr>
                <w:rFonts w:ascii="Arial" w:hAnsi="Arial" w:cs="Arial"/>
                <w:sz w:val="24"/>
                <w:szCs w:val="24"/>
              </w:rPr>
            </w:pPr>
            <w:r w:rsidRPr="00EE772C">
              <w:rPr>
                <w:rFonts w:ascii="Arial" w:hAnsi="Arial" w:cs="Arial"/>
                <w:sz w:val="24"/>
              </w:rPr>
              <w:t>Identifies environmental sounds</w:t>
            </w:r>
          </w:p>
        </w:tc>
      </w:tr>
      <w:tr w:rsidR="00EE772C" w14:paraId="26FC7094" w14:textId="77777777" w:rsidTr="00EE772C">
        <w:trPr>
          <w:trHeight w:val="868"/>
        </w:trPr>
        <w:tc>
          <w:tcPr>
            <w:tcW w:w="1271" w:type="dxa"/>
            <w:vAlign w:val="center"/>
          </w:tcPr>
          <w:p w14:paraId="6337DCB3" w14:textId="77777777" w:rsidR="00EE772C" w:rsidRDefault="00EE772C" w:rsidP="00EE772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2</w:t>
            </w:r>
          </w:p>
        </w:tc>
        <w:tc>
          <w:tcPr>
            <w:tcW w:w="7789" w:type="dxa"/>
            <w:vAlign w:val="center"/>
          </w:tcPr>
          <w:p w14:paraId="711AAA19" w14:textId="77777777" w:rsidR="00EE772C" w:rsidRPr="00EE772C" w:rsidRDefault="00EE772C" w:rsidP="00EE772C">
            <w:pPr>
              <w:rPr>
                <w:rFonts w:ascii="Arial" w:hAnsi="Arial" w:cs="Arial"/>
                <w:sz w:val="24"/>
                <w:szCs w:val="24"/>
              </w:rPr>
            </w:pPr>
            <w:r w:rsidRPr="00EE772C">
              <w:rPr>
                <w:rFonts w:ascii="Arial" w:hAnsi="Arial" w:cs="Arial"/>
                <w:sz w:val="24"/>
              </w:rPr>
              <w:t>Responds to speech sounds</w:t>
            </w:r>
          </w:p>
        </w:tc>
      </w:tr>
      <w:tr w:rsidR="00EE772C" w14:paraId="79CDECCE" w14:textId="77777777" w:rsidTr="00EE772C">
        <w:trPr>
          <w:trHeight w:val="868"/>
        </w:trPr>
        <w:tc>
          <w:tcPr>
            <w:tcW w:w="1271" w:type="dxa"/>
            <w:vAlign w:val="center"/>
          </w:tcPr>
          <w:p w14:paraId="3D779C08" w14:textId="77777777" w:rsidR="00EE772C" w:rsidRDefault="00EE772C" w:rsidP="00EE772C">
            <w:pPr>
              <w:jc w:val="center"/>
              <w:rPr>
                <w:rFonts w:ascii="Arial" w:hAnsi="Arial" w:cs="Arial" w:hint="eastAsia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1</w:t>
            </w:r>
          </w:p>
        </w:tc>
        <w:tc>
          <w:tcPr>
            <w:tcW w:w="7789" w:type="dxa"/>
            <w:vAlign w:val="center"/>
          </w:tcPr>
          <w:p w14:paraId="30A9B693" w14:textId="77777777" w:rsidR="00EE772C" w:rsidRPr="00EE772C" w:rsidRDefault="00EE772C" w:rsidP="00EE772C">
            <w:pPr>
              <w:rPr>
                <w:rFonts w:ascii="Arial" w:hAnsi="Arial" w:cs="Arial"/>
                <w:sz w:val="24"/>
                <w:szCs w:val="24"/>
              </w:rPr>
            </w:pPr>
            <w:r w:rsidRPr="00EE772C">
              <w:rPr>
                <w:rFonts w:ascii="Arial" w:hAnsi="Arial" w:cs="Arial"/>
                <w:sz w:val="24"/>
              </w:rPr>
              <w:t>Is aware of environmental sounds</w:t>
            </w:r>
          </w:p>
        </w:tc>
      </w:tr>
      <w:tr w:rsidR="00EE772C" w14:paraId="43609601" w14:textId="77777777" w:rsidTr="00EE772C">
        <w:trPr>
          <w:trHeight w:val="868"/>
        </w:trPr>
        <w:tc>
          <w:tcPr>
            <w:tcW w:w="1271" w:type="dxa"/>
            <w:vAlign w:val="center"/>
          </w:tcPr>
          <w:p w14:paraId="6C029F02" w14:textId="77777777" w:rsidR="00EE772C" w:rsidRDefault="00EE772C" w:rsidP="00EE772C">
            <w:pPr>
              <w:jc w:val="center"/>
              <w:rPr>
                <w:rFonts w:ascii="Arial" w:hAnsi="Arial" w:cs="Arial" w:hint="eastAsia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0</w:t>
            </w:r>
          </w:p>
        </w:tc>
        <w:tc>
          <w:tcPr>
            <w:tcW w:w="7789" w:type="dxa"/>
            <w:vAlign w:val="center"/>
          </w:tcPr>
          <w:p w14:paraId="3B9AF973" w14:textId="77777777" w:rsidR="00EE772C" w:rsidRPr="00EE772C" w:rsidRDefault="00EE772C" w:rsidP="00EE772C">
            <w:pPr>
              <w:rPr>
                <w:rFonts w:ascii="Arial" w:hAnsi="Arial" w:cs="Arial"/>
                <w:sz w:val="24"/>
                <w:szCs w:val="24"/>
              </w:rPr>
            </w:pPr>
            <w:r w:rsidRPr="00EE772C">
              <w:rPr>
                <w:rFonts w:ascii="Arial" w:hAnsi="Arial" w:cs="Arial"/>
                <w:sz w:val="24"/>
              </w:rPr>
              <w:t>Has no awareness of environmental sounds</w:t>
            </w:r>
          </w:p>
        </w:tc>
      </w:tr>
    </w:tbl>
    <w:p w14:paraId="7EA8E84E" w14:textId="24E0FB9E" w:rsidR="00EE772C" w:rsidRPr="00EE772C" w:rsidRDefault="002911BA">
      <w:pPr>
        <w:rPr>
          <w:rFonts w:ascii="Arial" w:hAnsi="Arial" w:cs="Arial" w:hint="eastAsia"/>
          <w:sz w:val="24"/>
          <w:szCs w:val="24"/>
        </w:rPr>
      </w:pPr>
      <w:r w:rsidRPr="002911BA">
        <w:rPr>
          <w:rFonts w:ascii="Arial" w:hAnsi="Arial" w:cs="Arial"/>
          <w:sz w:val="24"/>
          <w:szCs w:val="24"/>
        </w:rPr>
        <w:t>DOI: 10.1371/journal.pone.0081568</w:t>
      </w:r>
      <w:bookmarkStart w:id="0" w:name="_GoBack"/>
      <w:bookmarkEnd w:id="0"/>
    </w:p>
    <w:sectPr w:rsidR="00EE772C" w:rsidRPr="00EE772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72C"/>
    <w:rsid w:val="002911BA"/>
    <w:rsid w:val="00B405ED"/>
    <w:rsid w:val="00C6386A"/>
    <w:rsid w:val="00EE7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41229"/>
  <w15:chartTrackingRefBased/>
  <w15:docId w15:val="{CB203D8C-880C-4A51-9DCB-EA14AF7B2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77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Ent(이비인후과)_계정</dc:creator>
  <cp:keywords/>
  <dc:description/>
  <cp:lastModifiedBy>Ent(이비인후과)_계정</cp:lastModifiedBy>
  <cp:revision>2</cp:revision>
  <dcterms:created xsi:type="dcterms:W3CDTF">2025-07-14T07:45:00Z</dcterms:created>
  <dcterms:modified xsi:type="dcterms:W3CDTF">2025-07-14T07:52:00Z</dcterms:modified>
</cp:coreProperties>
</file>