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A83CD" w14:textId="296D1FE5" w:rsidR="009C1715" w:rsidRPr="001770D0" w:rsidRDefault="009C1715" w:rsidP="009C1715">
      <w:pPr>
        <w:widowControl/>
        <w:wordWrap/>
        <w:autoSpaceDE/>
        <w:autoSpaceDN/>
        <w:spacing w:line="48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Supplementary </w:t>
      </w:r>
      <w:r w:rsidR="00E87019">
        <w:rPr>
          <w:rFonts w:ascii="Arial" w:hAnsi="Arial" w:cs="Arial"/>
          <w:b/>
          <w:sz w:val="24"/>
          <w:szCs w:val="24"/>
        </w:rPr>
        <w:t xml:space="preserve">table 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</w:rPr>
        <w:t>4</w:t>
      </w:r>
      <w:r w:rsidRPr="001770D0">
        <w:rPr>
          <w:rFonts w:ascii="Arial" w:hAnsi="Arial" w:cs="Arial"/>
          <w:b/>
          <w:sz w:val="24"/>
          <w:szCs w:val="24"/>
        </w:rPr>
        <w:t xml:space="preserve">. </w:t>
      </w:r>
      <w:r w:rsidRPr="001770D0">
        <w:rPr>
          <w:rFonts w:ascii="Arial" w:hAnsi="Arial" w:cs="Arial"/>
          <w:sz w:val="24"/>
          <w:szCs w:val="24"/>
        </w:rPr>
        <w:t xml:space="preserve">A comparison of each speech performance results between pre- and post-treatment is indicated. A Wilcoxon signed rank test was performed between pre- and post- treatment period and a </w:t>
      </w:r>
      <w:r w:rsidRPr="001770D0">
        <w:rPr>
          <w:rFonts w:ascii="Arial" w:hAnsi="Arial" w:cs="Arial"/>
          <w:i/>
          <w:sz w:val="24"/>
          <w:szCs w:val="24"/>
        </w:rPr>
        <w:t>p</w:t>
      </w:r>
      <w:r w:rsidRPr="001770D0">
        <w:rPr>
          <w:rFonts w:ascii="Arial" w:hAnsi="Arial" w:cs="Arial"/>
          <w:sz w:val="24"/>
          <w:szCs w:val="24"/>
        </w:rPr>
        <w:t>-value of less than 0.05 was reported as statistically significant.</w:t>
      </w:r>
      <w:r>
        <w:rPr>
          <w:rFonts w:ascii="Arial" w:hAnsi="Arial" w:cs="Arial"/>
          <w:sz w:val="24"/>
          <w:szCs w:val="24"/>
        </w:rPr>
        <w:t xml:space="preserve"> Only </w:t>
      </w:r>
      <w:r w:rsidRPr="001770D0">
        <w:rPr>
          <w:rFonts w:ascii="Arial" w:hAnsi="Arial" w:cs="Arial"/>
          <w:sz w:val="24"/>
          <w:szCs w:val="24"/>
        </w:rPr>
        <w:t>the EVA group demonstrated significantly better expressive language outcomes compared to the non-EVA group after one year of hearing aid rehabilitation</w:t>
      </w:r>
    </w:p>
    <w:tbl>
      <w:tblPr>
        <w:tblStyle w:val="a3"/>
        <w:tblW w:w="90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59"/>
        <w:gridCol w:w="1774"/>
        <w:gridCol w:w="2052"/>
        <w:gridCol w:w="2052"/>
        <w:gridCol w:w="1345"/>
      </w:tblGrid>
      <w:tr w:rsidR="009C1715" w:rsidRPr="001770D0" w14:paraId="0F8C9473" w14:textId="77777777" w:rsidTr="00275CB6">
        <w:trPr>
          <w:trHeight w:val="484"/>
        </w:trPr>
        <w:tc>
          <w:tcPr>
            <w:tcW w:w="1859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06DF1E9A" w14:textId="77777777" w:rsidR="009C1715" w:rsidRPr="001770D0" w:rsidRDefault="009C1715" w:rsidP="00275CB6">
            <w:pPr>
              <w:widowControl/>
              <w:wordWrap/>
              <w:autoSpaceDE/>
              <w:autoSpaceDN/>
              <w:spacing w:line="48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74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38A5A63B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70D0">
              <w:rPr>
                <w:rFonts w:ascii="Arial" w:hAnsi="Arial" w:cs="Arial"/>
                <w:b/>
                <w:sz w:val="24"/>
                <w:szCs w:val="24"/>
              </w:rPr>
              <w:t>Group</w:t>
            </w:r>
          </w:p>
        </w:tc>
        <w:tc>
          <w:tcPr>
            <w:tcW w:w="205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5E6E652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70D0">
              <w:rPr>
                <w:rFonts w:ascii="Arial" w:hAnsi="Arial" w:cs="Arial"/>
                <w:b/>
                <w:sz w:val="24"/>
                <w:szCs w:val="24"/>
              </w:rPr>
              <w:t>Pre-treatment</w:t>
            </w:r>
          </w:p>
        </w:tc>
        <w:tc>
          <w:tcPr>
            <w:tcW w:w="2052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461EBD2B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70D0">
              <w:rPr>
                <w:rFonts w:ascii="Arial" w:hAnsi="Arial" w:cs="Arial"/>
                <w:b/>
                <w:sz w:val="24"/>
                <w:szCs w:val="24"/>
              </w:rPr>
              <w:t>Post-treatment</w:t>
            </w:r>
          </w:p>
        </w:tc>
        <w:tc>
          <w:tcPr>
            <w:tcW w:w="1345" w:type="dxa"/>
            <w:tcBorders>
              <w:top w:val="single" w:sz="18" w:space="0" w:color="auto"/>
              <w:bottom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244BEB3F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70D0">
              <w:rPr>
                <w:rFonts w:ascii="Arial" w:hAnsi="Arial" w:cs="Arial"/>
                <w:b/>
                <w:i/>
                <w:sz w:val="24"/>
                <w:szCs w:val="24"/>
              </w:rPr>
              <w:t>p</w:t>
            </w:r>
            <w:r w:rsidRPr="001770D0">
              <w:rPr>
                <w:rFonts w:ascii="Arial" w:hAnsi="Arial" w:cs="Arial"/>
                <w:b/>
                <w:sz w:val="24"/>
                <w:szCs w:val="24"/>
              </w:rPr>
              <w:t>-value</w:t>
            </w:r>
          </w:p>
        </w:tc>
      </w:tr>
      <w:tr w:rsidR="009C1715" w:rsidRPr="001770D0" w14:paraId="58BD1364" w14:textId="77777777" w:rsidTr="00275CB6">
        <w:trPr>
          <w:trHeight w:val="583"/>
        </w:trPr>
        <w:tc>
          <w:tcPr>
            <w:tcW w:w="1859" w:type="dxa"/>
            <w:vMerge w:val="restart"/>
            <w:tcBorders>
              <w:top w:val="single" w:sz="18" w:space="0" w:color="auto"/>
            </w:tcBorders>
            <w:vAlign w:val="center"/>
          </w:tcPr>
          <w:p w14:paraId="1F27BAF9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Hearing threshold</w:t>
            </w:r>
          </w:p>
          <w:p w14:paraId="523CA8F7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(dB)</w:t>
            </w:r>
          </w:p>
        </w:tc>
        <w:tc>
          <w:tcPr>
            <w:tcW w:w="1774" w:type="dxa"/>
            <w:tcBorders>
              <w:top w:val="single" w:sz="18" w:space="0" w:color="auto"/>
            </w:tcBorders>
            <w:vAlign w:val="center"/>
          </w:tcPr>
          <w:p w14:paraId="7C2AE2A5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EVA</w:t>
            </w:r>
          </w:p>
        </w:tc>
        <w:tc>
          <w:tcPr>
            <w:tcW w:w="2052" w:type="dxa"/>
            <w:tcBorders>
              <w:top w:val="single" w:sz="18" w:space="0" w:color="auto"/>
            </w:tcBorders>
            <w:vAlign w:val="center"/>
          </w:tcPr>
          <w:p w14:paraId="1445C8C2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76.1 ± 7.1</w:t>
            </w:r>
          </w:p>
        </w:tc>
        <w:tc>
          <w:tcPr>
            <w:tcW w:w="2052" w:type="dxa"/>
            <w:tcBorders>
              <w:top w:val="single" w:sz="18" w:space="0" w:color="auto"/>
            </w:tcBorders>
            <w:vAlign w:val="center"/>
          </w:tcPr>
          <w:p w14:paraId="543374D8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82.3 ± 13.2</w:t>
            </w:r>
          </w:p>
        </w:tc>
        <w:tc>
          <w:tcPr>
            <w:tcW w:w="1345" w:type="dxa"/>
            <w:tcBorders>
              <w:top w:val="single" w:sz="18" w:space="0" w:color="auto"/>
            </w:tcBorders>
            <w:vAlign w:val="center"/>
          </w:tcPr>
          <w:p w14:paraId="55166F6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0.073</w:t>
            </w:r>
          </w:p>
        </w:tc>
      </w:tr>
      <w:tr w:rsidR="009C1715" w:rsidRPr="001770D0" w14:paraId="4E5F6047" w14:textId="77777777" w:rsidTr="00275CB6">
        <w:trPr>
          <w:trHeight w:val="583"/>
        </w:trPr>
        <w:tc>
          <w:tcPr>
            <w:tcW w:w="1859" w:type="dxa"/>
            <w:vMerge/>
            <w:tcBorders>
              <w:bottom w:val="single" w:sz="4" w:space="0" w:color="auto"/>
            </w:tcBorders>
            <w:vAlign w:val="center"/>
          </w:tcPr>
          <w:p w14:paraId="689DD405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4" w:type="dxa"/>
            <w:tcBorders>
              <w:bottom w:val="single" w:sz="4" w:space="0" w:color="auto"/>
            </w:tcBorders>
            <w:vAlign w:val="center"/>
          </w:tcPr>
          <w:p w14:paraId="09DBA4D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Non-EVA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4A4FFB4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75.1 ± 5.7</w:t>
            </w:r>
          </w:p>
        </w:tc>
        <w:tc>
          <w:tcPr>
            <w:tcW w:w="2052" w:type="dxa"/>
            <w:tcBorders>
              <w:bottom w:val="single" w:sz="4" w:space="0" w:color="auto"/>
            </w:tcBorders>
            <w:vAlign w:val="center"/>
          </w:tcPr>
          <w:p w14:paraId="79681348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74.6 ± 12.8</w:t>
            </w:r>
          </w:p>
        </w:tc>
        <w:tc>
          <w:tcPr>
            <w:tcW w:w="1345" w:type="dxa"/>
            <w:tcBorders>
              <w:bottom w:val="single" w:sz="4" w:space="0" w:color="auto"/>
            </w:tcBorders>
            <w:vAlign w:val="center"/>
          </w:tcPr>
          <w:p w14:paraId="28B8A359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0.760</w:t>
            </w:r>
          </w:p>
        </w:tc>
      </w:tr>
      <w:tr w:rsidR="009C1715" w:rsidRPr="001770D0" w14:paraId="48D145A1" w14:textId="77777777" w:rsidTr="00275CB6">
        <w:trPr>
          <w:trHeight w:val="583"/>
        </w:trPr>
        <w:tc>
          <w:tcPr>
            <w:tcW w:w="1859" w:type="dxa"/>
            <w:vMerge w:val="restart"/>
            <w:tcBorders>
              <w:top w:val="single" w:sz="4" w:space="0" w:color="auto"/>
            </w:tcBorders>
            <w:vAlign w:val="center"/>
          </w:tcPr>
          <w:p w14:paraId="3BFD608E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CAP</w:t>
            </w:r>
          </w:p>
        </w:tc>
        <w:tc>
          <w:tcPr>
            <w:tcW w:w="1774" w:type="dxa"/>
            <w:tcBorders>
              <w:top w:val="single" w:sz="4" w:space="0" w:color="auto"/>
            </w:tcBorders>
            <w:vAlign w:val="center"/>
          </w:tcPr>
          <w:p w14:paraId="026DFC7C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EVA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14:paraId="507BCCCE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2.6 ± 1.5</w:t>
            </w:r>
          </w:p>
        </w:tc>
        <w:tc>
          <w:tcPr>
            <w:tcW w:w="2052" w:type="dxa"/>
            <w:tcBorders>
              <w:top w:val="single" w:sz="4" w:space="0" w:color="auto"/>
            </w:tcBorders>
            <w:vAlign w:val="center"/>
          </w:tcPr>
          <w:p w14:paraId="386CD7AD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4.3 ± 1.2</w:t>
            </w:r>
          </w:p>
        </w:tc>
        <w:tc>
          <w:tcPr>
            <w:tcW w:w="1345" w:type="dxa"/>
            <w:tcBorders>
              <w:top w:val="single" w:sz="4" w:space="0" w:color="auto"/>
            </w:tcBorders>
            <w:vAlign w:val="center"/>
          </w:tcPr>
          <w:p w14:paraId="429AD45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0.001</w:t>
            </w:r>
          </w:p>
        </w:tc>
      </w:tr>
      <w:tr w:rsidR="009C1715" w:rsidRPr="001770D0" w14:paraId="7363C488" w14:textId="77777777" w:rsidTr="00275CB6">
        <w:trPr>
          <w:trHeight w:val="583"/>
        </w:trPr>
        <w:tc>
          <w:tcPr>
            <w:tcW w:w="1859" w:type="dxa"/>
            <w:vMerge/>
            <w:tcBorders>
              <w:bottom w:val="single" w:sz="8" w:space="0" w:color="auto"/>
            </w:tcBorders>
            <w:vAlign w:val="center"/>
          </w:tcPr>
          <w:p w14:paraId="1F690F87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74" w:type="dxa"/>
            <w:tcBorders>
              <w:bottom w:val="single" w:sz="8" w:space="0" w:color="auto"/>
            </w:tcBorders>
            <w:vAlign w:val="center"/>
          </w:tcPr>
          <w:p w14:paraId="1C855FF3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Non-EVA</w:t>
            </w:r>
          </w:p>
        </w:tc>
        <w:tc>
          <w:tcPr>
            <w:tcW w:w="2052" w:type="dxa"/>
            <w:tcBorders>
              <w:bottom w:val="single" w:sz="8" w:space="0" w:color="auto"/>
            </w:tcBorders>
            <w:vAlign w:val="center"/>
          </w:tcPr>
          <w:p w14:paraId="43BE9FB4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3.0 ± 1.7</w:t>
            </w:r>
          </w:p>
        </w:tc>
        <w:tc>
          <w:tcPr>
            <w:tcW w:w="2052" w:type="dxa"/>
            <w:tcBorders>
              <w:bottom w:val="single" w:sz="8" w:space="0" w:color="auto"/>
            </w:tcBorders>
            <w:vAlign w:val="center"/>
          </w:tcPr>
          <w:p w14:paraId="03019F9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4.4 ± 1.1</w:t>
            </w:r>
          </w:p>
        </w:tc>
        <w:tc>
          <w:tcPr>
            <w:tcW w:w="1345" w:type="dxa"/>
            <w:tcBorders>
              <w:bottom w:val="single" w:sz="8" w:space="0" w:color="auto"/>
            </w:tcBorders>
            <w:vAlign w:val="center"/>
          </w:tcPr>
          <w:p w14:paraId="705476F0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0.001</w:t>
            </w:r>
          </w:p>
        </w:tc>
      </w:tr>
      <w:tr w:rsidR="009C1715" w:rsidRPr="001770D0" w14:paraId="28D76B48" w14:textId="77777777" w:rsidTr="00275CB6">
        <w:trPr>
          <w:trHeight w:val="583"/>
        </w:trPr>
        <w:tc>
          <w:tcPr>
            <w:tcW w:w="1859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577832D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 xml:space="preserve">Receptive </w:t>
            </w:r>
          </w:p>
          <w:p w14:paraId="64F0333B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(age, month)</w:t>
            </w:r>
          </w:p>
        </w:tc>
        <w:tc>
          <w:tcPr>
            <w:tcW w:w="1774" w:type="dxa"/>
            <w:tcBorders>
              <w:top w:val="single" w:sz="8" w:space="0" w:color="auto"/>
            </w:tcBorders>
            <w:vAlign w:val="center"/>
          </w:tcPr>
          <w:p w14:paraId="6DEA4F20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EVA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50EA5FA8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10.6 ± 7.6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4A649290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20.8 ± 8.7</w:t>
            </w:r>
          </w:p>
        </w:tc>
        <w:tc>
          <w:tcPr>
            <w:tcW w:w="1345" w:type="dxa"/>
            <w:tcBorders>
              <w:top w:val="single" w:sz="8" w:space="0" w:color="auto"/>
            </w:tcBorders>
            <w:vAlign w:val="center"/>
          </w:tcPr>
          <w:p w14:paraId="0F5772AF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0.001</w:t>
            </w:r>
          </w:p>
        </w:tc>
      </w:tr>
      <w:tr w:rsidR="009C1715" w:rsidRPr="001770D0" w14:paraId="0885126D" w14:textId="77777777" w:rsidTr="00275CB6">
        <w:trPr>
          <w:trHeight w:val="583"/>
        </w:trPr>
        <w:tc>
          <w:tcPr>
            <w:tcW w:w="1859" w:type="dxa"/>
            <w:vMerge/>
            <w:tcBorders>
              <w:bottom w:val="single" w:sz="8" w:space="0" w:color="auto"/>
            </w:tcBorders>
            <w:vAlign w:val="center"/>
          </w:tcPr>
          <w:p w14:paraId="6B3B7C79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74" w:type="dxa"/>
            <w:tcBorders>
              <w:bottom w:val="single" w:sz="8" w:space="0" w:color="auto"/>
            </w:tcBorders>
            <w:vAlign w:val="center"/>
          </w:tcPr>
          <w:p w14:paraId="64232D8F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Non-EVA</w:t>
            </w:r>
          </w:p>
        </w:tc>
        <w:tc>
          <w:tcPr>
            <w:tcW w:w="2052" w:type="dxa"/>
            <w:tcBorders>
              <w:bottom w:val="single" w:sz="8" w:space="0" w:color="auto"/>
            </w:tcBorders>
            <w:vAlign w:val="center"/>
          </w:tcPr>
          <w:p w14:paraId="3497ADAD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15.4 ± 17.9</w:t>
            </w:r>
          </w:p>
        </w:tc>
        <w:tc>
          <w:tcPr>
            <w:tcW w:w="2052" w:type="dxa"/>
            <w:tcBorders>
              <w:bottom w:val="single" w:sz="8" w:space="0" w:color="auto"/>
            </w:tcBorders>
            <w:vAlign w:val="center"/>
          </w:tcPr>
          <w:p w14:paraId="39EEA0D0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25.9 ± 15.5</w:t>
            </w:r>
          </w:p>
        </w:tc>
        <w:tc>
          <w:tcPr>
            <w:tcW w:w="1345" w:type="dxa"/>
            <w:tcBorders>
              <w:bottom w:val="single" w:sz="8" w:space="0" w:color="auto"/>
            </w:tcBorders>
            <w:vAlign w:val="center"/>
          </w:tcPr>
          <w:p w14:paraId="129C12AC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0.000</w:t>
            </w:r>
          </w:p>
        </w:tc>
      </w:tr>
      <w:tr w:rsidR="009C1715" w:rsidRPr="001770D0" w14:paraId="1E25777C" w14:textId="77777777" w:rsidTr="00275CB6">
        <w:trPr>
          <w:trHeight w:val="583"/>
        </w:trPr>
        <w:tc>
          <w:tcPr>
            <w:tcW w:w="1859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4208D14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Receptive</w:t>
            </w:r>
          </w:p>
          <w:p w14:paraId="1FD11BEC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(percentile)</w:t>
            </w:r>
          </w:p>
        </w:tc>
        <w:tc>
          <w:tcPr>
            <w:tcW w:w="1774" w:type="dxa"/>
            <w:tcBorders>
              <w:top w:val="single" w:sz="8" w:space="0" w:color="auto"/>
            </w:tcBorders>
            <w:vAlign w:val="center"/>
          </w:tcPr>
          <w:p w14:paraId="3428F6B1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EVA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228CA27E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23.4 ± 22.6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08428C7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33.3 ± 32.3</w:t>
            </w:r>
          </w:p>
        </w:tc>
        <w:tc>
          <w:tcPr>
            <w:tcW w:w="1345" w:type="dxa"/>
            <w:tcBorders>
              <w:top w:val="single" w:sz="8" w:space="0" w:color="auto"/>
            </w:tcBorders>
            <w:vAlign w:val="center"/>
          </w:tcPr>
          <w:p w14:paraId="7C13C97B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0.277</w:t>
            </w:r>
          </w:p>
        </w:tc>
      </w:tr>
      <w:tr w:rsidR="009C1715" w:rsidRPr="001770D0" w14:paraId="00DD13BD" w14:textId="77777777" w:rsidTr="00275CB6">
        <w:trPr>
          <w:trHeight w:val="583"/>
        </w:trPr>
        <w:tc>
          <w:tcPr>
            <w:tcW w:w="1859" w:type="dxa"/>
            <w:vMerge/>
            <w:tcBorders>
              <w:bottom w:val="single" w:sz="8" w:space="0" w:color="auto"/>
            </w:tcBorders>
            <w:vAlign w:val="center"/>
          </w:tcPr>
          <w:p w14:paraId="1E659702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4" w:type="dxa"/>
            <w:tcBorders>
              <w:bottom w:val="single" w:sz="8" w:space="0" w:color="auto"/>
            </w:tcBorders>
            <w:vAlign w:val="center"/>
          </w:tcPr>
          <w:p w14:paraId="3A5EDBB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Non-EVA</w:t>
            </w:r>
          </w:p>
        </w:tc>
        <w:tc>
          <w:tcPr>
            <w:tcW w:w="2052" w:type="dxa"/>
            <w:tcBorders>
              <w:bottom w:val="single" w:sz="8" w:space="0" w:color="auto"/>
            </w:tcBorders>
            <w:vAlign w:val="center"/>
          </w:tcPr>
          <w:p w14:paraId="64204AA8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24.1 ± 31.9</w:t>
            </w:r>
          </w:p>
        </w:tc>
        <w:tc>
          <w:tcPr>
            <w:tcW w:w="2052" w:type="dxa"/>
            <w:tcBorders>
              <w:bottom w:val="single" w:sz="8" w:space="0" w:color="auto"/>
            </w:tcBorders>
            <w:vAlign w:val="center"/>
          </w:tcPr>
          <w:p w14:paraId="45DCF1F0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27.9 ± 30.1</w:t>
            </w:r>
          </w:p>
        </w:tc>
        <w:tc>
          <w:tcPr>
            <w:tcW w:w="1345" w:type="dxa"/>
            <w:tcBorders>
              <w:bottom w:val="single" w:sz="8" w:space="0" w:color="auto"/>
            </w:tcBorders>
            <w:vAlign w:val="center"/>
          </w:tcPr>
          <w:p w14:paraId="483A5509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0.551</w:t>
            </w:r>
          </w:p>
        </w:tc>
      </w:tr>
      <w:tr w:rsidR="009C1715" w:rsidRPr="001770D0" w14:paraId="2E19CE8C" w14:textId="77777777" w:rsidTr="00275CB6">
        <w:trPr>
          <w:trHeight w:val="583"/>
        </w:trPr>
        <w:tc>
          <w:tcPr>
            <w:tcW w:w="1859" w:type="dxa"/>
            <w:vMerge w:val="restart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3C4AE87E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Expressive</w:t>
            </w:r>
          </w:p>
          <w:p w14:paraId="20C5F169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(age, month)</w:t>
            </w:r>
          </w:p>
        </w:tc>
        <w:tc>
          <w:tcPr>
            <w:tcW w:w="1774" w:type="dxa"/>
            <w:tcBorders>
              <w:top w:val="single" w:sz="8" w:space="0" w:color="auto"/>
            </w:tcBorders>
            <w:vAlign w:val="center"/>
          </w:tcPr>
          <w:p w14:paraId="64CAFA98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EVA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59FC94ED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11.25 ± 7.0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49EA1DA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19.6 ± 9.7</w:t>
            </w:r>
          </w:p>
        </w:tc>
        <w:tc>
          <w:tcPr>
            <w:tcW w:w="1345" w:type="dxa"/>
            <w:tcBorders>
              <w:top w:val="single" w:sz="8" w:space="0" w:color="auto"/>
            </w:tcBorders>
            <w:vAlign w:val="center"/>
          </w:tcPr>
          <w:p w14:paraId="3580ED3B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0.002</w:t>
            </w:r>
          </w:p>
        </w:tc>
      </w:tr>
      <w:tr w:rsidR="009C1715" w:rsidRPr="001770D0" w14:paraId="66AD71E2" w14:textId="77777777" w:rsidTr="00275CB6">
        <w:trPr>
          <w:trHeight w:val="583"/>
        </w:trPr>
        <w:tc>
          <w:tcPr>
            <w:tcW w:w="1859" w:type="dxa"/>
            <w:vMerge/>
            <w:tcBorders>
              <w:bottom w:val="single" w:sz="8" w:space="0" w:color="auto"/>
            </w:tcBorders>
            <w:vAlign w:val="center"/>
          </w:tcPr>
          <w:p w14:paraId="2F1589BB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4" w:type="dxa"/>
            <w:tcBorders>
              <w:bottom w:val="single" w:sz="8" w:space="0" w:color="auto"/>
            </w:tcBorders>
            <w:vAlign w:val="center"/>
          </w:tcPr>
          <w:p w14:paraId="68519F9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Non-EVA</w:t>
            </w:r>
          </w:p>
        </w:tc>
        <w:tc>
          <w:tcPr>
            <w:tcW w:w="2052" w:type="dxa"/>
            <w:tcBorders>
              <w:bottom w:val="single" w:sz="8" w:space="0" w:color="auto"/>
            </w:tcBorders>
            <w:vAlign w:val="center"/>
          </w:tcPr>
          <w:p w14:paraId="1E64BA87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12.8 ± 9.6</w:t>
            </w:r>
          </w:p>
        </w:tc>
        <w:tc>
          <w:tcPr>
            <w:tcW w:w="2052" w:type="dxa"/>
            <w:tcBorders>
              <w:bottom w:val="single" w:sz="8" w:space="0" w:color="auto"/>
            </w:tcBorders>
            <w:vAlign w:val="center"/>
          </w:tcPr>
          <w:p w14:paraId="19548FE2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18.5 ± 6.3</w:t>
            </w:r>
          </w:p>
        </w:tc>
        <w:tc>
          <w:tcPr>
            <w:tcW w:w="1345" w:type="dxa"/>
            <w:tcBorders>
              <w:bottom w:val="single" w:sz="8" w:space="0" w:color="auto"/>
            </w:tcBorders>
            <w:vAlign w:val="center"/>
          </w:tcPr>
          <w:p w14:paraId="5C20857A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0.000</w:t>
            </w:r>
          </w:p>
        </w:tc>
      </w:tr>
      <w:tr w:rsidR="009C1715" w:rsidRPr="001770D0" w14:paraId="52B69EDB" w14:textId="77777777" w:rsidTr="00275CB6">
        <w:trPr>
          <w:trHeight w:val="583"/>
        </w:trPr>
        <w:tc>
          <w:tcPr>
            <w:tcW w:w="1859" w:type="dxa"/>
            <w:vMerge w:val="restart"/>
            <w:tcBorders>
              <w:top w:val="single" w:sz="8" w:space="0" w:color="auto"/>
              <w:bottom w:val="single" w:sz="18" w:space="0" w:color="auto"/>
            </w:tcBorders>
            <w:vAlign w:val="center"/>
          </w:tcPr>
          <w:p w14:paraId="26F6DFC4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Expressive</w:t>
            </w:r>
          </w:p>
          <w:p w14:paraId="67F334EC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(percentile)</w:t>
            </w:r>
          </w:p>
        </w:tc>
        <w:tc>
          <w:tcPr>
            <w:tcW w:w="1774" w:type="dxa"/>
            <w:tcBorders>
              <w:top w:val="single" w:sz="8" w:space="0" w:color="auto"/>
            </w:tcBorders>
            <w:vAlign w:val="center"/>
          </w:tcPr>
          <w:p w14:paraId="78422FF3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EVA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1E3684E6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26.0 ± 22.1</w:t>
            </w:r>
          </w:p>
        </w:tc>
        <w:tc>
          <w:tcPr>
            <w:tcW w:w="2052" w:type="dxa"/>
            <w:tcBorders>
              <w:top w:val="single" w:sz="8" w:space="0" w:color="auto"/>
            </w:tcBorders>
            <w:vAlign w:val="center"/>
          </w:tcPr>
          <w:p w14:paraId="2C953CB4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41.8 ± 30.9</w:t>
            </w:r>
          </w:p>
        </w:tc>
        <w:tc>
          <w:tcPr>
            <w:tcW w:w="1345" w:type="dxa"/>
            <w:tcBorders>
              <w:top w:val="single" w:sz="8" w:space="0" w:color="auto"/>
            </w:tcBorders>
            <w:vAlign w:val="center"/>
          </w:tcPr>
          <w:p w14:paraId="7446945D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0.069</w:t>
            </w:r>
          </w:p>
        </w:tc>
      </w:tr>
      <w:tr w:rsidR="009C1715" w:rsidRPr="001770D0" w14:paraId="722A2D31" w14:textId="77777777" w:rsidTr="00275CB6">
        <w:trPr>
          <w:trHeight w:val="583"/>
        </w:trPr>
        <w:tc>
          <w:tcPr>
            <w:tcW w:w="1859" w:type="dxa"/>
            <w:vMerge/>
            <w:tcBorders>
              <w:bottom w:val="single" w:sz="18" w:space="0" w:color="auto"/>
            </w:tcBorders>
            <w:vAlign w:val="center"/>
          </w:tcPr>
          <w:p w14:paraId="42F92721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74" w:type="dxa"/>
            <w:tcBorders>
              <w:bottom w:val="single" w:sz="18" w:space="0" w:color="auto"/>
            </w:tcBorders>
            <w:vAlign w:val="center"/>
          </w:tcPr>
          <w:p w14:paraId="6B5EE238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Non-EVA</w:t>
            </w:r>
          </w:p>
        </w:tc>
        <w:tc>
          <w:tcPr>
            <w:tcW w:w="2052" w:type="dxa"/>
            <w:tcBorders>
              <w:bottom w:val="single" w:sz="18" w:space="0" w:color="auto"/>
            </w:tcBorders>
            <w:vAlign w:val="center"/>
          </w:tcPr>
          <w:p w14:paraId="32197841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27.9 ± 28.1</w:t>
            </w:r>
          </w:p>
        </w:tc>
        <w:tc>
          <w:tcPr>
            <w:tcW w:w="2052" w:type="dxa"/>
            <w:tcBorders>
              <w:bottom w:val="single" w:sz="18" w:space="0" w:color="auto"/>
            </w:tcBorders>
            <w:vAlign w:val="center"/>
          </w:tcPr>
          <w:p w14:paraId="16271D79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20.4 ± 28.8</w:t>
            </w:r>
          </w:p>
        </w:tc>
        <w:tc>
          <w:tcPr>
            <w:tcW w:w="1345" w:type="dxa"/>
            <w:tcBorders>
              <w:bottom w:val="single" w:sz="18" w:space="0" w:color="auto"/>
            </w:tcBorders>
            <w:vAlign w:val="center"/>
          </w:tcPr>
          <w:p w14:paraId="75A265D9" w14:textId="77777777" w:rsidR="009C1715" w:rsidRPr="001770D0" w:rsidRDefault="009C1715" w:rsidP="00275CB6">
            <w:pPr>
              <w:widowControl/>
              <w:wordWrap/>
              <w:autoSpaceDE/>
              <w:autoSpaceDN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770D0">
              <w:rPr>
                <w:rFonts w:ascii="Arial" w:hAnsi="Arial" w:cs="Arial"/>
                <w:sz w:val="24"/>
                <w:szCs w:val="24"/>
              </w:rPr>
              <w:t>0.116</w:t>
            </w:r>
          </w:p>
        </w:tc>
      </w:tr>
    </w:tbl>
    <w:p w14:paraId="57149847" w14:textId="77777777" w:rsidR="009C1715" w:rsidRPr="001770D0" w:rsidRDefault="009C1715" w:rsidP="009C1715">
      <w:pPr>
        <w:spacing w:line="480" w:lineRule="auto"/>
        <w:rPr>
          <w:rFonts w:ascii="Arial" w:hAnsi="Arial" w:cs="Arial"/>
          <w:sz w:val="24"/>
          <w:szCs w:val="24"/>
        </w:rPr>
      </w:pPr>
      <w:r w:rsidRPr="001770D0">
        <w:rPr>
          <w:rFonts w:ascii="Arial" w:hAnsi="Arial" w:cs="Arial"/>
          <w:sz w:val="24"/>
          <w:szCs w:val="24"/>
        </w:rPr>
        <w:t>Abbreviations: CAP, categories of auditory performance; EVA, enlarged vestibular aqueduct.</w:t>
      </w:r>
    </w:p>
    <w:p w14:paraId="7EA8E84E" w14:textId="271106B1" w:rsidR="00EE772C" w:rsidRPr="009C1715" w:rsidRDefault="00EE772C" w:rsidP="009C1715"/>
    <w:sectPr w:rsidR="00EE772C" w:rsidRPr="009C1715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2FFD907" w14:textId="77777777" w:rsidR="009C1715" w:rsidRDefault="009C1715" w:rsidP="009C1715">
      <w:pPr>
        <w:spacing w:after="0" w:line="240" w:lineRule="auto"/>
      </w:pPr>
      <w:r>
        <w:separator/>
      </w:r>
    </w:p>
  </w:endnote>
  <w:endnote w:type="continuationSeparator" w:id="0">
    <w:p w14:paraId="336EA671" w14:textId="77777777" w:rsidR="009C1715" w:rsidRDefault="009C1715" w:rsidP="009C17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229016" w14:textId="77777777" w:rsidR="009C1715" w:rsidRDefault="009C1715" w:rsidP="009C1715">
      <w:pPr>
        <w:spacing w:after="0" w:line="240" w:lineRule="auto"/>
      </w:pPr>
      <w:r>
        <w:separator/>
      </w:r>
    </w:p>
  </w:footnote>
  <w:footnote w:type="continuationSeparator" w:id="0">
    <w:p w14:paraId="52A970B9" w14:textId="77777777" w:rsidR="009C1715" w:rsidRDefault="009C1715" w:rsidP="009C171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72C"/>
    <w:rsid w:val="002911BA"/>
    <w:rsid w:val="009C1715"/>
    <w:rsid w:val="00B047D4"/>
    <w:rsid w:val="00B405ED"/>
    <w:rsid w:val="00C6386A"/>
    <w:rsid w:val="00E87019"/>
    <w:rsid w:val="00EE7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FF41229"/>
  <w15:chartTrackingRefBased/>
  <w15:docId w15:val="{CB203D8C-880C-4A51-9DCB-EA14AF7B2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C1715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77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9C1715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9C1715"/>
  </w:style>
  <w:style w:type="paragraph" w:styleId="a5">
    <w:name w:val="footer"/>
    <w:basedOn w:val="a"/>
    <w:link w:val="Char0"/>
    <w:uiPriority w:val="99"/>
    <w:unhideWhenUsed/>
    <w:rsid w:val="009C1715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C17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Ent(이비인후과)_계정</dc:creator>
  <cp:keywords/>
  <dc:description/>
  <cp:lastModifiedBy>Ent(이비인후과)_계정</cp:lastModifiedBy>
  <cp:revision>2</cp:revision>
  <dcterms:created xsi:type="dcterms:W3CDTF">2025-07-14T10:36:00Z</dcterms:created>
  <dcterms:modified xsi:type="dcterms:W3CDTF">2025-07-14T10:36:00Z</dcterms:modified>
</cp:coreProperties>
</file>