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2AFBE" w14:textId="77777777" w:rsidR="002E3C87" w:rsidRPr="00572F7A" w:rsidRDefault="002E3C87" w:rsidP="002E3C87">
      <w:pPr>
        <w:spacing w:line="360" w:lineRule="auto"/>
        <w:rPr>
          <w:b/>
          <w:bCs/>
        </w:rPr>
      </w:pPr>
      <w:r w:rsidRPr="00572F7A">
        <w:rPr>
          <w:b/>
          <w:bCs/>
        </w:rPr>
        <w:t>Supplementary table 7. Interaction between the follow-up time and the patient/control-variable with and without adjusting for confounders</w:t>
      </w:r>
    </w:p>
    <w:p w14:paraId="272CE830" w14:textId="77777777" w:rsidR="002E3C87" w:rsidRPr="00572F7A" w:rsidRDefault="002E3C87" w:rsidP="002E3C87">
      <w:pPr>
        <w:spacing w:line="360" w:lineRule="auto"/>
        <w:rPr>
          <w:b/>
          <w:bCs/>
        </w:rPr>
      </w:pPr>
    </w:p>
    <w:tbl>
      <w:tblPr>
        <w:tblStyle w:val="PlainTable2"/>
        <w:tblW w:w="1105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275"/>
        <w:gridCol w:w="1560"/>
        <w:gridCol w:w="1417"/>
        <w:gridCol w:w="1276"/>
        <w:gridCol w:w="1701"/>
        <w:gridCol w:w="992"/>
      </w:tblGrid>
      <w:tr w:rsidR="00572F7A" w:rsidRPr="00572F7A" w14:paraId="0F808903" w14:textId="77777777" w:rsidTr="003728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0D43CF4" w14:textId="77777777" w:rsidR="002E3C87" w:rsidRPr="00572F7A" w:rsidRDefault="002E3C87" w:rsidP="003728AB">
            <w:pPr>
              <w:spacing w:line="360" w:lineRule="auto"/>
              <w:jc w:val="center"/>
              <w:rPr>
                <w:rStyle w:val="normaltextrun"/>
                <w:sz w:val="18"/>
                <w:szCs w:val="18"/>
              </w:rPr>
            </w:pPr>
            <w:r w:rsidRPr="00572F7A">
              <w:rPr>
                <w:rStyle w:val="normaltextrun"/>
                <w:sz w:val="18"/>
                <w:szCs w:val="18"/>
              </w:rPr>
              <w:t>CMRIs</w:t>
            </w:r>
          </w:p>
        </w:tc>
        <w:tc>
          <w:tcPr>
            <w:tcW w:w="1276" w:type="dxa"/>
            <w:vAlign w:val="center"/>
          </w:tcPr>
          <w:p w14:paraId="69330300" w14:textId="77777777" w:rsidR="002E3C87" w:rsidRPr="00572F7A" w:rsidRDefault="002E3C8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572F7A">
              <w:rPr>
                <w:rStyle w:val="normaltextrun"/>
                <w:sz w:val="18"/>
                <w:szCs w:val="18"/>
              </w:rPr>
              <w:t>Participants</w:t>
            </w:r>
          </w:p>
        </w:tc>
        <w:tc>
          <w:tcPr>
            <w:tcW w:w="1275" w:type="dxa"/>
            <w:vAlign w:val="center"/>
          </w:tcPr>
          <w:p w14:paraId="65071734" w14:textId="77777777" w:rsidR="002E3C87" w:rsidRPr="00572F7A" w:rsidRDefault="002E3C87" w:rsidP="003728AB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  <w:lang w:eastAsia="en-GB"/>
              </w:rPr>
            </w:pPr>
            <w:r w:rsidRPr="00572F7A">
              <w:rPr>
                <w:rStyle w:val="normaltextrun"/>
                <w:sz w:val="18"/>
                <w:szCs w:val="18"/>
              </w:rPr>
              <w:t>Coefficient estimate</w:t>
            </w:r>
            <w:r w:rsidRPr="00572F7A">
              <w:rPr>
                <w:rStyle w:val="normaltextrun"/>
                <w:rFonts w:ascii="Symbol" w:eastAsia="Symbol" w:hAnsi="Symbol" w:cs="Symbol"/>
                <w:sz w:val="18"/>
                <w:szCs w:val="18"/>
                <w:vertAlign w:val="superscript"/>
              </w:rPr>
              <w:t></w:t>
            </w:r>
          </w:p>
        </w:tc>
        <w:tc>
          <w:tcPr>
            <w:tcW w:w="1560" w:type="dxa"/>
            <w:vAlign w:val="center"/>
          </w:tcPr>
          <w:p w14:paraId="5C120306" w14:textId="77777777" w:rsidR="002E3C87" w:rsidRPr="00572F7A" w:rsidRDefault="002E3C8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572F7A">
              <w:rPr>
                <w:rStyle w:val="normaltextrun"/>
                <w:sz w:val="18"/>
                <w:szCs w:val="18"/>
              </w:rPr>
              <w:t>95% CI</w:t>
            </w:r>
          </w:p>
        </w:tc>
        <w:tc>
          <w:tcPr>
            <w:tcW w:w="1417" w:type="dxa"/>
            <w:vAlign w:val="center"/>
          </w:tcPr>
          <w:p w14:paraId="3A0AF4EA" w14:textId="77777777" w:rsidR="002E3C87" w:rsidRPr="00572F7A" w:rsidRDefault="002E3C8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572F7A">
              <w:rPr>
                <w:rStyle w:val="normaltextrun"/>
                <w:sz w:val="18"/>
                <w:szCs w:val="18"/>
              </w:rPr>
              <w:t>P-value</w:t>
            </w:r>
            <w:r w:rsidRPr="00572F7A">
              <w:rPr>
                <w:rStyle w:val="normaltextru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vAlign w:val="center"/>
          </w:tcPr>
          <w:p w14:paraId="516298E3" w14:textId="77777777" w:rsidR="002E3C87" w:rsidRPr="00572F7A" w:rsidRDefault="002E3C8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572F7A">
              <w:rPr>
                <w:rStyle w:val="normaltextrun"/>
                <w:sz w:val="18"/>
                <w:szCs w:val="18"/>
              </w:rPr>
              <w:t>Coefficient estimate (adjusted)</w:t>
            </w:r>
          </w:p>
        </w:tc>
        <w:tc>
          <w:tcPr>
            <w:tcW w:w="1701" w:type="dxa"/>
            <w:vAlign w:val="center"/>
          </w:tcPr>
          <w:p w14:paraId="4E901B2C" w14:textId="77777777" w:rsidR="002E3C87" w:rsidRPr="00572F7A" w:rsidRDefault="002E3C8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572F7A">
              <w:rPr>
                <w:rStyle w:val="normaltextrun"/>
                <w:sz w:val="18"/>
                <w:szCs w:val="18"/>
              </w:rPr>
              <w:t>95% CI (adjusted)</w:t>
            </w:r>
          </w:p>
        </w:tc>
        <w:tc>
          <w:tcPr>
            <w:tcW w:w="992" w:type="dxa"/>
            <w:vAlign w:val="center"/>
          </w:tcPr>
          <w:p w14:paraId="096F579B" w14:textId="77777777" w:rsidR="002E3C87" w:rsidRPr="00572F7A" w:rsidRDefault="002E3C8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572F7A">
              <w:rPr>
                <w:rStyle w:val="normaltextrun"/>
                <w:sz w:val="18"/>
                <w:szCs w:val="18"/>
              </w:rPr>
              <w:t>P-value</w:t>
            </w:r>
            <w:r w:rsidRPr="00572F7A">
              <w:rPr>
                <w:rFonts w:eastAsia="Calibri"/>
                <w:kern w:val="24"/>
                <w:sz w:val="18"/>
                <w:szCs w:val="18"/>
                <w:vertAlign w:val="superscript"/>
              </w:rPr>
              <w:t>‡</w:t>
            </w:r>
          </w:p>
        </w:tc>
      </w:tr>
      <w:tr w:rsidR="00572F7A" w:rsidRPr="00572F7A" w14:paraId="350EDC3F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5114F84D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WHR</w:t>
            </w:r>
          </w:p>
        </w:tc>
        <w:tc>
          <w:tcPr>
            <w:tcW w:w="1276" w:type="dxa"/>
            <w:vAlign w:val="center"/>
          </w:tcPr>
          <w:p w14:paraId="2C86955D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75" w:type="dxa"/>
            <w:vAlign w:val="center"/>
          </w:tcPr>
          <w:p w14:paraId="421CE022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- 0.002</w:t>
            </w:r>
          </w:p>
        </w:tc>
        <w:tc>
          <w:tcPr>
            <w:tcW w:w="1560" w:type="dxa"/>
            <w:vAlign w:val="center"/>
          </w:tcPr>
          <w:p w14:paraId="68CF5FE6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- 0.004 – 0.001</w:t>
            </w:r>
          </w:p>
        </w:tc>
        <w:tc>
          <w:tcPr>
            <w:tcW w:w="1417" w:type="dxa"/>
            <w:vAlign w:val="center"/>
          </w:tcPr>
          <w:p w14:paraId="769EFBCE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4C2EF456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- 0.002</w:t>
            </w:r>
          </w:p>
        </w:tc>
        <w:tc>
          <w:tcPr>
            <w:tcW w:w="1701" w:type="dxa"/>
            <w:vAlign w:val="center"/>
          </w:tcPr>
          <w:p w14:paraId="406073AA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- 0.004 – 0.001</w:t>
            </w:r>
          </w:p>
        </w:tc>
        <w:tc>
          <w:tcPr>
            <w:tcW w:w="992" w:type="dxa"/>
            <w:vAlign w:val="center"/>
          </w:tcPr>
          <w:p w14:paraId="4F42143A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32114AF6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16243B4D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14:paraId="0703A75B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75" w:type="dxa"/>
            <w:vAlign w:val="center"/>
          </w:tcPr>
          <w:p w14:paraId="3238123F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0.005</w:t>
            </w:r>
          </w:p>
        </w:tc>
        <w:tc>
          <w:tcPr>
            <w:tcW w:w="1560" w:type="dxa"/>
            <w:vAlign w:val="center"/>
          </w:tcPr>
          <w:p w14:paraId="2C20B99A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0.003 – 0.008</w:t>
            </w:r>
          </w:p>
        </w:tc>
        <w:tc>
          <w:tcPr>
            <w:tcW w:w="1417" w:type="dxa"/>
            <w:vAlign w:val="center"/>
          </w:tcPr>
          <w:p w14:paraId="7E7D240E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&lt; 0.001</w:t>
            </w:r>
          </w:p>
        </w:tc>
        <w:tc>
          <w:tcPr>
            <w:tcW w:w="1276" w:type="dxa"/>
            <w:vAlign w:val="center"/>
          </w:tcPr>
          <w:p w14:paraId="21DD287F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0.005</w:t>
            </w:r>
          </w:p>
        </w:tc>
        <w:tc>
          <w:tcPr>
            <w:tcW w:w="1701" w:type="dxa"/>
            <w:vAlign w:val="center"/>
          </w:tcPr>
          <w:p w14:paraId="3C6749E8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0.003 – 0.008</w:t>
            </w:r>
          </w:p>
        </w:tc>
        <w:tc>
          <w:tcPr>
            <w:tcW w:w="992" w:type="dxa"/>
            <w:vAlign w:val="center"/>
          </w:tcPr>
          <w:p w14:paraId="618B24D8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&lt; 0.001</w:t>
            </w:r>
          </w:p>
        </w:tc>
      </w:tr>
      <w:tr w:rsidR="00572F7A" w:rsidRPr="00572F7A" w14:paraId="7A101EB0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5C7586B3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BMI</w:t>
            </w:r>
          </w:p>
        </w:tc>
        <w:tc>
          <w:tcPr>
            <w:tcW w:w="1276" w:type="dxa"/>
            <w:vAlign w:val="center"/>
          </w:tcPr>
          <w:p w14:paraId="23BD57DF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75" w:type="dxa"/>
            <w:vAlign w:val="center"/>
          </w:tcPr>
          <w:p w14:paraId="31E0CD7F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0.2</w:t>
            </w:r>
          </w:p>
        </w:tc>
        <w:tc>
          <w:tcPr>
            <w:tcW w:w="1560" w:type="dxa"/>
            <w:vAlign w:val="center"/>
          </w:tcPr>
          <w:p w14:paraId="18383F8E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0.05 – 0.3</w:t>
            </w:r>
          </w:p>
        </w:tc>
        <w:tc>
          <w:tcPr>
            <w:tcW w:w="1417" w:type="dxa"/>
            <w:vAlign w:val="center"/>
          </w:tcPr>
          <w:p w14:paraId="40EAE9D3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0.04</w:t>
            </w:r>
          </w:p>
        </w:tc>
        <w:tc>
          <w:tcPr>
            <w:tcW w:w="1276" w:type="dxa"/>
            <w:vAlign w:val="center"/>
          </w:tcPr>
          <w:p w14:paraId="0F19292F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0.2</w:t>
            </w:r>
          </w:p>
        </w:tc>
        <w:tc>
          <w:tcPr>
            <w:tcW w:w="1701" w:type="dxa"/>
            <w:vAlign w:val="center"/>
          </w:tcPr>
          <w:p w14:paraId="534DA845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0.05 – 0.3</w:t>
            </w:r>
          </w:p>
        </w:tc>
        <w:tc>
          <w:tcPr>
            <w:tcW w:w="992" w:type="dxa"/>
            <w:vAlign w:val="center"/>
          </w:tcPr>
          <w:p w14:paraId="653D41BF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0.04</w:t>
            </w:r>
          </w:p>
        </w:tc>
      </w:tr>
      <w:tr w:rsidR="00572F7A" w:rsidRPr="00572F7A" w14:paraId="03EA1DC1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57765221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14:paraId="71399021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75" w:type="dxa"/>
            <w:vAlign w:val="center"/>
          </w:tcPr>
          <w:p w14:paraId="485B4184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- 0.09</w:t>
            </w:r>
          </w:p>
        </w:tc>
        <w:tc>
          <w:tcPr>
            <w:tcW w:w="1560" w:type="dxa"/>
            <w:vAlign w:val="center"/>
          </w:tcPr>
          <w:p w14:paraId="6FED44C9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- 0.2 – 0.03</w:t>
            </w:r>
          </w:p>
        </w:tc>
        <w:tc>
          <w:tcPr>
            <w:tcW w:w="1417" w:type="dxa"/>
            <w:vAlign w:val="center"/>
          </w:tcPr>
          <w:p w14:paraId="7C74B912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24ECD0AA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- 0.09</w:t>
            </w:r>
          </w:p>
        </w:tc>
        <w:tc>
          <w:tcPr>
            <w:tcW w:w="1701" w:type="dxa"/>
            <w:vAlign w:val="center"/>
          </w:tcPr>
          <w:p w14:paraId="2C0DDD9B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- 0.2 – 0.03</w:t>
            </w:r>
          </w:p>
        </w:tc>
        <w:tc>
          <w:tcPr>
            <w:tcW w:w="992" w:type="dxa"/>
            <w:vAlign w:val="center"/>
          </w:tcPr>
          <w:p w14:paraId="2AFB409A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384C1A15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4784255E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SBP</w:t>
            </w:r>
          </w:p>
        </w:tc>
        <w:tc>
          <w:tcPr>
            <w:tcW w:w="1276" w:type="dxa"/>
            <w:vAlign w:val="center"/>
          </w:tcPr>
          <w:p w14:paraId="339A6017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75" w:type="dxa"/>
            <w:vAlign w:val="center"/>
          </w:tcPr>
          <w:p w14:paraId="44651D22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0.1</w:t>
            </w:r>
          </w:p>
        </w:tc>
        <w:tc>
          <w:tcPr>
            <w:tcW w:w="1560" w:type="dxa"/>
            <w:vAlign w:val="center"/>
          </w:tcPr>
          <w:p w14:paraId="761B85D4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-0.4 – 0.6</w:t>
            </w:r>
          </w:p>
        </w:tc>
        <w:tc>
          <w:tcPr>
            <w:tcW w:w="1417" w:type="dxa"/>
            <w:vAlign w:val="center"/>
          </w:tcPr>
          <w:p w14:paraId="18EA061C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64F92FD2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0.1</w:t>
            </w:r>
          </w:p>
        </w:tc>
        <w:tc>
          <w:tcPr>
            <w:tcW w:w="1701" w:type="dxa"/>
            <w:vAlign w:val="center"/>
          </w:tcPr>
          <w:p w14:paraId="46AC685A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-0.4 – 0.6</w:t>
            </w:r>
          </w:p>
        </w:tc>
        <w:tc>
          <w:tcPr>
            <w:tcW w:w="992" w:type="dxa"/>
            <w:vAlign w:val="center"/>
          </w:tcPr>
          <w:p w14:paraId="5F2C0F19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4BBE3CC3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5A9175F6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14:paraId="19675282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75" w:type="dxa"/>
            <w:vAlign w:val="center"/>
          </w:tcPr>
          <w:p w14:paraId="2BD50D89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1.1</w:t>
            </w:r>
          </w:p>
        </w:tc>
        <w:tc>
          <w:tcPr>
            <w:tcW w:w="1560" w:type="dxa"/>
            <w:vAlign w:val="center"/>
          </w:tcPr>
          <w:p w14:paraId="2774FF1D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0.5 – 1.7</w:t>
            </w:r>
          </w:p>
        </w:tc>
        <w:tc>
          <w:tcPr>
            <w:tcW w:w="1417" w:type="dxa"/>
            <w:vAlign w:val="center"/>
          </w:tcPr>
          <w:p w14:paraId="4E6BB3CE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0.003</w:t>
            </w:r>
          </w:p>
        </w:tc>
        <w:tc>
          <w:tcPr>
            <w:tcW w:w="1276" w:type="dxa"/>
            <w:vAlign w:val="center"/>
          </w:tcPr>
          <w:p w14:paraId="14DDCF7D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1.1</w:t>
            </w:r>
          </w:p>
        </w:tc>
        <w:tc>
          <w:tcPr>
            <w:tcW w:w="1701" w:type="dxa"/>
            <w:vAlign w:val="center"/>
          </w:tcPr>
          <w:p w14:paraId="1C6DA63C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0.5 – 1.7</w:t>
            </w:r>
          </w:p>
        </w:tc>
        <w:tc>
          <w:tcPr>
            <w:tcW w:w="992" w:type="dxa"/>
            <w:vAlign w:val="center"/>
          </w:tcPr>
          <w:p w14:paraId="358F0BA3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0.002</w:t>
            </w:r>
          </w:p>
        </w:tc>
      </w:tr>
      <w:tr w:rsidR="00572F7A" w:rsidRPr="00572F7A" w14:paraId="7041CE8F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5C2DE8CB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DBP</w:t>
            </w:r>
          </w:p>
        </w:tc>
        <w:tc>
          <w:tcPr>
            <w:tcW w:w="1276" w:type="dxa"/>
            <w:vAlign w:val="center"/>
          </w:tcPr>
          <w:p w14:paraId="6848996C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75" w:type="dxa"/>
            <w:vAlign w:val="center"/>
          </w:tcPr>
          <w:p w14:paraId="4432B0BB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- 0.4</w:t>
            </w:r>
          </w:p>
        </w:tc>
        <w:tc>
          <w:tcPr>
            <w:tcW w:w="1560" w:type="dxa"/>
            <w:vAlign w:val="center"/>
          </w:tcPr>
          <w:p w14:paraId="67B2D05F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- 0.8 – - 0.06</w:t>
            </w:r>
          </w:p>
        </w:tc>
        <w:tc>
          <w:tcPr>
            <w:tcW w:w="1417" w:type="dxa"/>
            <w:vAlign w:val="center"/>
          </w:tcPr>
          <w:p w14:paraId="51F0AF91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0.2</w:t>
            </w:r>
          </w:p>
        </w:tc>
        <w:tc>
          <w:tcPr>
            <w:tcW w:w="1276" w:type="dxa"/>
            <w:vAlign w:val="center"/>
          </w:tcPr>
          <w:p w14:paraId="198C2C76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- 0.4</w:t>
            </w:r>
          </w:p>
        </w:tc>
        <w:tc>
          <w:tcPr>
            <w:tcW w:w="1701" w:type="dxa"/>
            <w:vAlign w:val="center"/>
          </w:tcPr>
          <w:p w14:paraId="31927C17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- 0.8 – - 0.05</w:t>
            </w:r>
          </w:p>
        </w:tc>
        <w:tc>
          <w:tcPr>
            <w:tcW w:w="992" w:type="dxa"/>
            <w:vAlign w:val="center"/>
          </w:tcPr>
          <w:p w14:paraId="5BAF544C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0.2</w:t>
            </w:r>
          </w:p>
        </w:tc>
      </w:tr>
      <w:tr w:rsidR="00572F7A" w:rsidRPr="00572F7A" w14:paraId="5F385D51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279E33D2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14:paraId="7B36BA1B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75" w:type="dxa"/>
            <w:vAlign w:val="center"/>
          </w:tcPr>
          <w:p w14:paraId="7D8E8E33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0.8</w:t>
            </w:r>
          </w:p>
        </w:tc>
        <w:tc>
          <w:tcPr>
            <w:tcW w:w="1560" w:type="dxa"/>
            <w:vAlign w:val="center"/>
          </w:tcPr>
          <w:p w14:paraId="60F2260C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0.4–1.2</w:t>
            </w:r>
          </w:p>
        </w:tc>
        <w:tc>
          <w:tcPr>
            <w:tcW w:w="1417" w:type="dxa"/>
            <w:vAlign w:val="center"/>
          </w:tcPr>
          <w:p w14:paraId="44AA8D60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&lt; 0.001</w:t>
            </w:r>
          </w:p>
        </w:tc>
        <w:tc>
          <w:tcPr>
            <w:tcW w:w="1276" w:type="dxa"/>
            <w:vAlign w:val="center"/>
          </w:tcPr>
          <w:p w14:paraId="5DFE6EBF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0.8</w:t>
            </w:r>
          </w:p>
        </w:tc>
        <w:tc>
          <w:tcPr>
            <w:tcW w:w="1701" w:type="dxa"/>
            <w:vAlign w:val="center"/>
          </w:tcPr>
          <w:p w14:paraId="04EB6B2F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0.4 – 1.2</w:t>
            </w:r>
          </w:p>
        </w:tc>
        <w:tc>
          <w:tcPr>
            <w:tcW w:w="992" w:type="dxa"/>
            <w:vAlign w:val="center"/>
          </w:tcPr>
          <w:p w14:paraId="567B9CBA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&lt; 0.001</w:t>
            </w:r>
          </w:p>
        </w:tc>
      </w:tr>
      <w:tr w:rsidR="00572F7A" w:rsidRPr="00572F7A" w14:paraId="4845F80C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1060CCC9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TAG</w:t>
            </w:r>
          </w:p>
        </w:tc>
        <w:tc>
          <w:tcPr>
            <w:tcW w:w="1276" w:type="dxa"/>
            <w:vAlign w:val="center"/>
          </w:tcPr>
          <w:p w14:paraId="6C9D051F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75" w:type="dxa"/>
            <w:vAlign w:val="center"/>
          </w:tcPr>
          <w:p w14:paraId="5EDA68C0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0.02</w:t>
            </w:r>
          </w:p>
        </w:tc>
        <w:tc>
          <w:tcPr>
            <w:tcW w:w="1560" w:type="dxa"/>
            <w:vAlign w:val="center"/>
          </w:tcPr>
          <w:p w14:paraId="7BF17C91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- 0.01 – 0.05</w:t>
            </w:r>
          </w:p>
        </w:tc>
        <w:tc>
          <w:tcPr>
            <w:tcW w:w="1417" w:type="dxa"/>
            <w:vAlign w:val="center"/>
          </w:tcPr>
          <w:p w14:paraId="7A44B950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39862EF8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0.02</w:t>
            </w:r>
          </w:p>
        </w:tc>
        <w:tc>
          <w:tcPr>
            <w:tcW w:w="1701" w:type="dxa"/>
            <w:vAlign w:val="center"/>
          </w:tcPr>
          <w:p w14:paraId="6BC4B223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- 0.01 – 0.05</w:t>
            </w:r>
          </w:p>
        </w:tc>
        <w:tc>
          <w:tcPr>
            <w:tcW w:w="992" w:type="dxa"/>
            <w:vAlign w:val="center"/>
          </w:tcPr>
          <w:p w14:paraId="73F2E4F1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0956F5A6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3F49BFFF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14:paraId="0B577919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75" w:type="dxa"/>
            <w:vAlign w:val="center"/>
          </w:tcPr>
          <w:p w14:paraId="35CD774B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- 0.008</w:t>
            </w:r>
          </w:p>
        </w:tc>
        <w:tc>
          <w:tcPr>
            <w:tcW w:w="1560" w:type="dxa"/>
            <w:vAlign w:val="center"/>
          </w:tcPr>
          <w:p w14:paraId="26664F77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- 0.04 – 0.02</w:t>
            </w:r>
          </w:p>
        </w:tc>
        <w:tc>
          <w:tcPr>
            <w:tcW w:w="1417" w:type="dxa"/>
            <w:vAlign w:val="center"/>
          </w:tcPr>
          <w:p w14:paraId="3E034C31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1F8EC3FA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- 0.007</w:t>
            </w:r>
          </w:p>
        </w:tc>
        <w:tc>
          <w:tcPr>
            <w:tcW w:w="1701" w:type="dxa"/>
            <w:vAlign w:val="center"/>
          </w:tcPr>
          <w:p w14:paraId="43010EEF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- 0.04 – 0.02</w:t>
            </w:r>
          </w:p>
        </w:tc>
        <w:tc>
          <w:tcPr>
            <w:tcW w:w="992" w:type="dxa"/>
            <w:vAlign w:val="center"/>
          </w:tcPr>
          <w:p w14:paraId="1AA6BABF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66013727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681AA6FC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TAG/HDL-C ratio</w:t>
            </w:r>
          </w:p>
        </w:tc>
        <w:tc>
          <w:tcPr>
            <w:tcW w:w="1276" w:type="dxa"/>
            <w:vAlign w:val="center"/>
          </w:tcPr>
          <w:p w14:paraId="61850EE6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75" w:type="dxa"/>
            <w:vAlign w:val="center"/>
          </w:tcPr>
          <w:p w14:paraId="48998956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0.007</w:t>
            </w:r>
          </w:p>
        </w:tc>
        <w:tc>
          <w:tcPr>
            <w:tcW w:w="1560" w:type="dxa"/>
            <w:vAlign w:val="center"/>
          </w:tcPr>
          <w:p w14:paraId="453684C7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- 0.02 – 0.04</w:t>
            </w:r>
          </w:p>
        </w:tc>
        <w:tc>
          <w:tcPr>
            <w:tcW w:w="1417" w:type="dxa"/>
            <w:vAlign w:val="center"/>
          </w:tcPr>
          <w:p w14:paraId="5790ACA5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643C146D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0.007</w:t>
            </w:r>
          </w:p>
        </w:tc>
        <w:tc>
          <w:tcPr>
            <w:tcW w:w="1701" w:type="dxa"/>
            <w:vAlign w:val="center"/>
          </w:tcPr>
          <w:p w14:paraId="6FE8754F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- 0.02 – 0.04</w:t>
            </w:r>
          </w:p>
        </w:tc>
        <w:tc>
          <w:tcPr>
            <w:tcW w:w="992" w:type="dxa"/>
            <w:vAlign w:val="center"/>
          </w:tcPr>
          <w:p w14:paraId="43E93E20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7ECCCFF1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57ADB1BA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14:paraId="3D880F40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75" w:type="dxa"/>
            <w:vAlign w:val="center"/>
          </w:tcPr>
          <w:p w14:paraId="27BDEC8F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0.01</w:t>
            </w:r>
          </w:p>
        </w:tc>
        <w:tc>
          <w:tcPr>
            <w:tcW w:w="1560" w:type="dxa"/>
            <w:vAlign w:val="center"/>
          </w:tcPr>
          <w:p w14:paraId="3C28E96A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- 0.02 – 0.05</w:t>
            </w:r>
          </w:p>
        </w:tc>
        <w:tc>
          <w:tcPr>
            <w:tcW w:w="1417" w:type="dxa"/>
            <w:vAlign w:val="center"/>
          </w:tcPr>
          <w:p w14:paraId="088F5B95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7EB90EF5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0.01</w:t>
            </w:r>
          </w:p>
        </w:tc>
        <w:tc>
          <w:tcPr>
            <w:tcW w:w="1701" w:type="dxa"/>
            <w:vAlign w:val="center"/>
          </w:tcPr>
          <w:p w14:paraId="1C7FD72D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- 0.02 – 0.05</w:t>
            </w:r>
          </w:p>
        </w:tc>
        <w:tc>
          <w:tcPr>
            <w:tcW w:w="992" w:type="dxa"/>
            <w:vAlign w:val="center"/>
          </w:tcPr>
          <w:p w14:paraId="6F6E8AB9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30A7D50E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125250C2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  <w:proofErr w:type="spellStart"/>
            <w:r w:rsidRPr="00572F7A">
              <w:rPr>
                <w:rFonts w:eastAsia="Calibri"/>
                <w:kern w:val="24"/>
                <w:sz w:val="18"/>
                <w:szCs w:val="18"/>
              </w:rPr>
              <w:t>TChol</w:t>
            </w:r>
            <w:proofErr w:type="spellEnd"/>
            <w:r w:rsidRPr="00572F7A">
              <w:rPr>
                <w:rFonts w:eastAsia="Calibri"/>
                <w:kern w:val="24"/>
                <w:sz w:val="18"/>
                <w:szCs w:val="18"/>
              </w:rPr>
              <w:t>/HDL-C ratio</w:t>
            </w:r>
          </w:p>
        </w:tc>
        <w:tc>
          <w:tcPr>
            <w:tcW w:w="1276" w:type="dxa"/>
            <w:vAlign w:val="center"/>
          </w:tcPr>
          <w:p w14:paraId="7AF0CDDB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75" w:type="dxa"/>
            <w:vAlign w:val="center"/>
          </w:tcPr>
          <w:p w14:paraId="03165149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- 0.02</w:t>
            </w:r>
          </w:p>
        </w:tc>
        <w:tc>
          <w:tcPr>
            <w:tcW w:w="1560" w:type="dxa"/>
            <w:vAlign w:val="center"/>
          </w:tcPr>
          <w:p w14:paraId="0A39016A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- 0.06 – 0.01</w:t>
            </w:r>
          </w:p>
        </w:tc>
        <w:tc>
          <w:tcPr>
            <w:tcW w:w="1417" w:type="dxa"/>
            <w:vAlign w:val="center"/>
          </w:tcPr>
          <w:p w14:paraId="47F7F336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0E3A35D4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- 0.02</w:t>
            </w:r>
          </w:p>
        </w:tc>
        <w:tc>
          <w:tcPr>
            <w:tcW w:w="1701" w:type="dxa"/>
            <w:vAlign w:val="center"/>
          </w:tcPr>
          <w:p w14:paraId="6A2FBAB0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- 0.06 – 0.01</w:t>
            </w:r>
          </w:p>
        </w:tc>
        <w:tc>
          <w:tcPr>
            <w:tcW w:w="992" w:type="dxa"/>
            <w:vAlign w:val="center"/>
          </w:tcPr>
          <w:p w14:paraId="4419E660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630231A3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31A54E4E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14:paraId="2DB9E678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75" w:type="dxa"/>
            <w:vAlign w:val="center"/>
          </w:tcPr>
          <w:p w14:paraId="4FCB6528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0.03</w:t>
            </w:r>
          </w:p>
        </w:tc>
        <w:tc>
          <w:tcPr>
            <w:tcW w:w="1560" w:type="dxa"/>
            <w:vAlign w:val="center"/>
          </w:tcPr>
          <w:p w14:paraId="48F48805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- 0.01 – 0.07</w:t>
            </w:r>
          </w:p>
        </w:tc>
        <w:tc>
          <w:tcPr>
            <w:tcW w:w="1417" w:type="dxa"/>
            <w:vAlign w:val="center"/>
          </w:tcPr>
          <w:p w14:paraId="68131582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3F2D196F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0.03</w:t>
            </w:r>
          </w:p>
        </w:tc>
        <w:tc>
          <w:tcPr>
            <w:tcW w:w="1701" w:type="dxa"/>
            <w:vAlign w:val="center"/>
          </w:tcPr>
          <w:p w14:paraId="40357ECE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- 0.01 – 0.07</w:t>
            </w:r>
          </w:p>
        </w:tc>
        <w:tc>
          <w:tcPr>
            <w:tcW w:w="992" w:type="dxa"/>
            <w:vAlign w:val="center"/>
          </w:tcPr>
          <w:p w14:paraId="5F4E899D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7B7A7CAB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66371FBE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Non-HDL-C</w:t>
            </w:r>
          </w:p>
        </w:tc>
        <w:tc>
          <w:tcPr>
            <w:tcW w:w="1276" w:type="dxa"/>
            <w:vAlign w:val="center"/>
          </w:tcPr>
          <w:p w14:paraId="6BC99A95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75" w:type="dxa"/>
            <w:vAlign w:val="center"/>
          </w:tcPr>
          <w:p w14:paraId="303C28D0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- 0.01</w:t>
            </w:r>
          </w:p>
        </w:tc>
        <w:tc>
          <w:tcPr>
            <w:tcW w:w="1560" w:type="dxa"/>
            <w:vAlign w:val="center"/>
          </w:tcPr>
          <w:p w14:paraId="0EF66F95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- 0.04 – 0.02</w:t>
            </w:r>
          </w:p>
        </w:tc>
        <w:tc>
          <w:tcPr>
            <w:tcW w:w="1417" w:type="dxa"/>
            <w:vAlign w:val="center"/>
          </w:tcPr>
          <w:p w14:paraId="1F236D90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2D2EFD43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- 0.01</w:t>
            </w:r>
          </w:p>
        </w:tc>
        <w:tc>
          <w:tcPr>
            <w:tcW w:w="1701" w:type="dxa"/>
            <w:vAlign w:val="center"/>
          </w:tcPr>
          <w:p w14:paraId="7EB6C5E8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- 0.04 – 0.02</w:t>
            </w:r>
          </w:p>
        </w:tc>
        <w:tc>
          <w:tcPr>
            <w:tcW w:w="992" w:type="dxa"/>
            <w:vAlign w:val="center"/>
          </w:tcPr>
          <w:p w14:paraId="44D35BED" w14:textId="77777777" w:rsidR="002E3C87" w:rsidRPr="00572F7A" w:rsidRDefault="002E3C8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54784298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250DA9B4" w14:textId="77777777" w:rsidR="002E3C87" w:rsidRPr="00572F7A" w:rsidRDefault="002E3C87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14:paraId="1834225A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75" w:type="dxa"/>
            <w:vAlign w:val="center"/>
          </w:tcPr>
          <w:p w14:paraId="2316A6DF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- 0.01</w:t>
            </w:r>
          </w:p>
        </w:tc>
        <w:tc>
          <w:tcPr>
            <w:tcW w:w="1560" w:type="dxa"/>
            <w:vAlign w:val="center"/>
          </w:tcPr>
          <w:p w14:paraId="370C7A20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- 0.05 – 0.02</w:t>
            </w:r>
          </w:p>
        </w:tc>
        <w:tc>
          <w:tcPr>
            <w:tcW w:w="1417" w:type="dxa"/>
            <w:vAlign w:val="center"/>
          </w:tcPr>
          <w:p w14:paraId="74B5F18B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03004C20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- 0.01</w:t>
            </w:r>
          </w:p>
        </w:tc>
        <w:tc>
          <w:tcPr>
            <w:tcW w:w="1701" w:type="dxa"/>
            <w:vAlign w:val="center"/>
          </w:tcPr>
          <w:p w14:paraId="3D750705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- 0.05 – 0.02</w:t>
            </w:r>
          </w:p>
        </w:tc>
        <w:tc>
          <w:tcPr>
            <w:tcW w:w="992" w:type="dxa"/>
            <w:vAlign w:val="center"/>
          </w:tcPr>
          <w:p w14:paraId="4D9B28C7" w14:textId="77777777" w:rsidR="002E3C87" w:rsidRPr="00572F7A" w:rsidRDefault="002E3C8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572F7A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572F7A" w:rsidRPr="00572F7A" w14:paraId="79B45080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8"/>
            <w:vAlign w:val="center"/>
          </w:tcPr>
          <w:p w14:paraId="249F9511" w14:textId="77777777" w:rsidR="002E3C87" w:rsidRPr="00572F7A" w:rsidRDefault="002E3C87" w:rsidP="003728AB">
            <w:pPr>
              <w:spacing w:line="360" w:lineRule="auto"/>
              <w:rPr>
                <w:sz w:val="16"/>
                <w:szCs w:val="16"/>
              </w:rPr>
            </w:pPr>
            <w:r w:rsidRPr="00572F7A">
              <w:rPr>
                <w:rStyle w:val="normaltextrun"/>
                <w:rFonts w:ascii="Symbol" w:eastAsia="Symbol" w:hAnsi="Symbol" w:cs="Symbol"/>
                <w:sz w:val="16"/>
                <w:szCs w:val="16"/>
              </w:rPr>
              <w:t></w:t>
            </w:r>
            <w:r w:rsidRPr="00572F7A">
              <w:rPr>
                <w:rStyle w:val="normaltextrun"/>
                <w:sz w:val="16"/>
                <w:szCs w:val="16"/>
              </w:rPr>
              <w:t xml:space="preserve"> </w:t>
            </w:r>
            <w:r w:rsidRPr="00572F7A">
              <w:rPr>
                <w:rStyle w:val="normaltextrun"/>
                <w:b w:val="0"/>
                <w:bCs w:val="0"/>
                <w:sz w:val="16"/>
                <w:szCs w:val="16"/>
              </w:rPr>
              <w:t xml:space="preserve">Controls´ rows show </w:t>
            </w:r>
            <w:r w:rsidRPr="00572F7A">
              <w:rPr>
                <w:rStyle w:val="normaltextrun"/>
                <w:rFonts w:eastAsiaTheme="minorEastAsia"/>
                <w:b w:val="0"/>
                <w:bCs w:val="0"/>
                <w:sz w:val="16"/>
                <w:szCs w:val="16"/>
              </w:rPr>
              <w:t>average annual change in estimates during the</w:t>
            </w:r>
            <w:r w:rsidRPr="00572F7A">
              <w:rPr>
                <w:rStyle w:val="normaltextrun"/>
                <w:b w:val="0"/>
                <w:bCs w:val="0"/>
                <w:sz w:val="16"/>
                <w:szCs w:val="16"/>
              </w:rPr>
              <w:t xml:space="preserve"> follow-up </w:t>
            </w:r>
            <w:r w:rsidRPr="00572F7A">
              <w:rPr>
                <w:rStyle w:val="normaltextrun"/>
                <w:rFonts w:eastAsiaTheme="minorEastAsia"/>
                <w:b w:val="0"/>
                <w:bCs w:val="0"/>
                <w:sz w:val="16"/>
                <w:szCs w:val="16"/>
              </w:rPr>
              <w:t>period for the control group.</w:t>
            </w:r>
            <w:r w:rsidRPr="00572F7A">
              <w:rPr>
                <w:rStyle w:val="normaltextrun"/>
                <w:b w:val="0"/>
                <w:bCs w:val="0"/>
                <w:sz w:val="16"/>
                <w:szCs w:val="16"/>
              </w:rPr>
              <w:t xml:space="preserve"> Patients´ rows show </w:t>
            </w:r>
            <w:r w:rsidRPr="00572F7A">
              <w:rPr>
                <w:b w:val="0"/>
                <w:bCs w:val="0"/>
                <w:sz w:val="16"/>
                <w:szCs w:val="16"/>
              </w:rPr>
              <w:t>estimates for the difference in average annual change between the patient group and the control group.</w:t>
            </w:r>
          </w:p>
          <w:p w14:paraId="19266A78" w14:textId="77777777" w:rsidR="002E3C87" w:rsidRPr="00572F7A" w:rsidRDefault="002E3C87" w:rsidP="003728AB">
            <w:pPr>
              <w:spacing w:line="360" w:lineRule="auto"/>
              <w:rPr>
                <w:b w:val="0"/>
                <w:bCs w:val="0"/>
                <w:sz w:val="16"/>
                <w:szCs w:val="16"/>
              </w:rPr>
            </w:pPr>
            <w:r w:rsidRPr="00572F7A">
              <w:rPr>
                <w:rStyle w:val="normaltextrun"/>
                <w:sz w:val="16"/>
                <w:szCs w:val="16"/>
              </w:rPr>
              <w:t xml:space="preserve">† </w:t>
            </w:r>
            <w:r w:rsidRPr="00572F7A">
              <w:rPr>
                <w:b w:val="0"/>
                <w:bCs w:val="0"/>
                <w:sz w:val="16"/>
                <w:szCs w:val="16"/>
              </w:rPr>
              <w:t>P-value adjusted for follow-up time and corrected for multiple comparisons.</w:t>
            </w:r>
          </w:p>
          <w:p w14:paraId="71CF4765" w14:textId="77777777" w:rsidR="002E3C87" w:rsidRPr="00572F7A" w:rsidRDefault="002E3C87" w:rsidP="003728AB">
            <w:pPr>
              <w:spacing w:line="360" w:lineRule="auto"/>
              <w:rPr>
                <w:rStyle w:val="normaltextrun"/>
                <w:b w:val="0"/>
                <w:bCs w:val="0"/>
                <w:sz w:val="16"/>
                <w:szCs w:val="16"/>
              </w:rPr>
            </w:pPr>
            <w:r w:rsidRPr="00572F7A">
              <w:rPr>
                <w:rFonts w:eastAsia="Calibri"/>
                <w:kern w:val="24"/>
                <w:sz w:val="16"/>
                <w:szCs w:val="16"/>
              </w:rPr>
              <w:t xml:space="preserve">‡ </w:t>
            </w:r>
            <w:r w:rsidRPr="00572F7A">
              <w:rPr>
                <w:b w:val="0"/>
                <w:bCs w:val="0"/>
                <w:sz w:val="16"/>
                <w:szCs w:val="16"/>
              </w:rPr>
              <w:t>P-value adjusted for age at baseline, sex, and follow-up time</w:t>
            </w:r>
            <w:r w:rsidRPr="00572F7A" w:rsidDel="00EA41EA">
              <w:rPr>
                <w:rStyle w:val="normaltextrun"/>
                <w:sz w:val="16"/>
                <w:szCs w:val="16"/>
              </w:rPr>
              <w:t xml:space="preserve"> </w:t>
            </w:r>
            <w:r w:rsidRPr="00572F7A">
              <w:rPr>
                <w:b w:val="0"/>
                <w:bCs w:val="0"/>
                <w:sz w:val="16"/>
                <w:szCs w:val="16"/>
              </w:rPr>
              <w:t>and corrected for multiple comparisons.</w:t>
            </w:r>
          </w:p>
          <w:p w14:paraId="37F2EAAC" w14:textId="77777777" w:rsidR="002E3C87" w:rsidRPr="00572F7A" w:rsidRDefault="002E3C87" w:rsidP="003728AB">
            <w:pPr>
              <w:spacing w:line="360" w:lineRule="auto"/>
              <w:rPr>
                <w:b w:val="0"/>
                <w:bCs w:val="0"/>
                <w:sz w:val="16"/>
                <w:szCs w:val="16"/>
              </w:rPr>
            </w:pPr>
            <w:r w:rsidRPr="00572F7A">
              <w:rPr>
                <w:sz w:val="16"/>
                <w:szCs w:val="16"/>
              </w:rPr>
              <w:t>Note</w:t>
            </w:r>
          </w:p>
          <w:p w14:paraId="7D21A16C" w14:textId="77777777" w:rsidR="002E3C87" w:rsidRPr="00572F7A" w:rsidRDefault="002E3C87" w:rsidP="003728AB">
            <w:pPr>
              <w:spacing w:line="360" w:lineRule="auto"/>
              <w:rPr>
                <w:b w:val="0"/>
                <w:bCs w:val="0"/>
                <w:sz w:val="16"/>
                <w:szCs w:val="16"/>
              </w:rPr>
            </w:pPr>
            <w:r w:rsidRPr="00572F7A">
              <w:rPr>
                <w:b w:val="0"/>
                <w:bCs w:val="0"/>
                <w:sz w:val="16"/>
                <w:szCs w:val="16"/>
              </w:rPr>
              <w:t>Comparisons are made using multiply imputed data.</w:t>
            </w:r>
          </w:p>
          <w:p w14:paraId="0E3A9D61" w14:textId="77777777" w:rsidR="002E3C87" w:rsidRPr="00572F7A" w:rsidRDefault="002E3C87" w:rsidP="003728AB">
            <w:pPr>
              <w:spacing w:line="360" w:lineRule="auto"/>
              <w:rPr>
                <w:rFonts w:eastAsia="Calibri"/>
                <w:kern w:val="24"/>
                <w:sz w:val="20"/>
                <w:szCs w:val="20"/>
              </w:rPr>
            </w:pPr>
            <w:r w:rsidRPr="00572F7A">
              <w:rPr>
                <w:sz w:val="16"/>
                <w:szCs w:val="16"/>
              </w:rPr>
              <w:t xml:space="preserve">Abbreviations: </w:t>
            </w:r>
            <w:r w:rsidRPr="00572F7A">
              <w:rPr>
                <w:b w:val="0"/>
                <w:bCs w:val="0"/>
                <w:sz w:val="16"/>
                <w:szCs w:val="16"/>
              </w:rPr>
              <w:t>BMI, body mass index; CI, confidence interval; CMRIs, cardiometabolic risk indicators; DBP, diastolic blood pressure; HDL-C, plasma high-density lipoprotein-cholesterol; SBP, systolic blood pressure; SD, standard deviation; TAG, fasting plasma triacylglycerol; TChol, total plasma cholesterol; WHR, waist-to-hip ratio.</w:t>
            </w:r>
            <w:bookmarkStart w:id="0" w:name="_GoBack"/>
            <w:bookmarkEnd w:id="0"/>
          </w:p>
        </w:tc>
      </w:tr>
    </w:tbl>
    <w:p w14:paraId="74093CB4" w14:textId="77777777" w:rsidR="002E3C87" w:rsidRPr="00572F7A" w:rsidRDefault="002E3C87" w:rsidP="002E3C87">
      <w:pPr>
        <w:spacing w:line="360" w:lineRule="auto"/>
        <w:rPr>
          <w:b/>
          <w:bCs/>
        </w:rPr>
      </w:pPr>
    </w:p>
    <w:p w14:paraId="216AB749" w14:textId="77777777" w:rsidR="002E3C87" w:rsidRPr="00572F7A" w:rsidRDefault="002E3C87" w:rsidP="002E3C87">
      <w:pPr>
        <w:spacing w:line="360" w:lineRule="auto"/>
        <w:rPr>
          <w:b/>
          <w:bCs/>
        </w:rPr>
      </w:pPr>
    </w:p>
    <w:sectPr w:rsidR="002E3C87" w:rsidRPr="00572F7A" w:rsidSect="007C618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F7422" w14:textId="77777777" w:rsidR="00000000" w:rsidRDefault="00572F7A">
      <w:pPr>
        <w:spacing w:line="240" w:lineRule="auto"/>
      </w:pPr>
      <w:r>
        <w:separator/>
      </w:r>
    </w:p>
  </w:endnote>
  <w:endnote w:type="continuationSeparator" w:id="0">
    <w:p w14:paraId="45963F53" w14:textId="77777777" w:rsidR="00000000" w:rsidRDefault="00572F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2BE92" w14:textId="77777777" w:rsidR="005875FE" w:rsidRDefault="002E3C87" w:rsidP="00973460">
    <w:pPr>
      <w:pStyle w:val="Footer"/>
      <w:framePr w:wrap="none" w:vAnchor="text" w:hAnchor="margin" w:xAlign="right" w:y="1"/>
      <w:rPr>
        <w:rStyle w:val="PageNumber"/>
      </w:rPr>
    </w:pPr>
    <w:r w:rsidRPr="2FD47473">
      <w:rPr>
        <w:rStyle w:val="PageNumber"/>
      </w:rPr>
      <w:fldChar w:fldCharType="begin"/>
    </w:r>
    <w:r w:rsidRPr="2FD47473">
      <w:rPr>
        <w:rStyle w:val="PageNumber"/>
      </w:rPr>
      <w:instrText xml:space="preserve"> PAGE </w:instrText>
    </w:r>
    <w:r w:rsidRPr="2FD47473">
      <w:rPr>
        <w:rStyle w:val="PageNumber"/>
      </w:rPr>
      <w:fldChar w:fldCharType="separate"/>
    </w:r>
    <w:r>
      <w:rPr>
        <w:rStyle w:val="PageNumber"/>
        <w:noProof/>
      </w:rPr>
      <w:t>2</w:t>
    </w:r>
    <w:r w:rsidRPr="2FD47473">
      <w:rPr>
        <w:rStyle w:val="PageNumber"/>
      </w:rPr>
      <w:fldChar w:fldCharType="end"/>
    </w:r>
  </w:p>
  <w:p w14:paraId="0775B62B" w14:textId="77777777" w:rsidR="005875FE" w:rsidRDefault="00572F7A" w:rsidP="009C27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398021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38F42B" w14:textId="77777777" w:rsidR="005875FE" w:rsidRDefault="002E3C87" w:rsidP="00973460">
        <w:pPr>
          <w:pStyle w:val="Footer"/>
          <w:framePr w:wrap="none" w:vAnchor="text" w:hAnchor="margin" w:xAlign="right" w:y="1"/>
          <w:rPr>
            <w:rStyle w:val="PageNumber"/>
          </w:rPr>
        </w:pPr>
        <w:r w:rsidRPr="2FD47473">
          <w:rPr>
            <w:rStyle w:val="PageNumber"/>
          </w:rPr>
          <w:fldChar w:fldCharType="begin"/>
        </w:r>
        <w:r w:rsidRPr="2FD47473">
          <w:rPr>
            <w:rStyle w:val="PageNumber"/>
          </w:rPr>
          <w:instrText xml:space="preserve"> PAGE </w:instrText>
        </w:r>
        <w:r w:rsidRPr="2FD47473">
          <w:rPr>
            <w:rStyle w:val="PageNumber"/>
          </w:rPr>
          <w:fldChar w:fldCharType="separate"/>
        </w:r>
        <w:r w:rsidR="00572F7A">
          <w:rPr>
            <w:rStyle w:val="PageNumber"/>
            <w:noProof/>
          </w:rPr>
          <w:t>1</w:t>
        </w:r>
        <w:r w:rsidRPr="2FD47473">
          <w:rPr>
            <w:rStyle w:val="PageNumber"/>
          </w:rPr>
          <w:fldChar w:fldCharType="end"/>
        </w:r>
      </w:p>
    </w:sdtContent>
  </w:sdt>
  <w:p w14:paraId="27FBFB00" w14:textId="77777777" w:rsidR="005875FE" w:rsidRDefault="00572F7A" w:rsidP="009C27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6B648" w14:textId="77777777" w:rsidR="00000000" w:rsidRDefault="00572F7A">
      <w:pPr>
        <w:spacing w:line="240" w:lineRule="auto"/>
      </w:pPr>
      <w:r>
        <w:separator/>
      </w:r>
    </w:p>
  </w:footnote>
  <w:footnote w:type="continuationSeparator" w:id="0">
    <w:p w14:paraId="22CC195C" w14:textId="77777777" w:rsidR="00000000" w:rsidRDefault="00572F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C31FD"/>
    <w:multiLevelType w:val="hybridMultilevel"/>
    <w:tmpl w:val="28FEDB70"/>
    <w:lvl w:ilvl="0" w:tplc="5B4860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1309A"/>
    <w:multiLevelType w:val="hybridMultilevel"/>
    <w:tmpl w:val="FFFFFFFF"/>
    <w:lvl w:ilvl="0" w:tplc="997E1646">
      <w:start w:val="1"/>
      <w:numFmt w:val="decimal"/>
      <w:lvlText w:val="%1."/>
      <w:lvlJc w:val="left"/>
      <w:pPr>
        <w:ind w:left="720" w:hanging="360"/>
      </w:pPr>
    </w:lvl>
    <w:lvl w:ilvl="1" w:tplc="BBDC84CA">
      <w:start w:val="1"/>
      <w:numFmt w:val="lowerLetter"/>
      <w:lvlText w:val="%2."/>
      <w:lvlJc w:val="left"/>
      <w:pPr>
        <w:ind w:left="1440" w:hanging="360"/>
      </w:pPr>
    </w:lvl>
    <w:lvl w:ilvl="2" w:tplc="BD2CDC60">
      <w:start w:val="1"/>
      <w:numFmt w:val="lowerRoman"/>
      <w:lvlText w:val="%3."/>
      <w:lvlJc w:val="right"/>
      <w:pPr>
        <w:ind w:left="2160" w:hanging="180"/>
      </w:pPr>
    </w:lvl>
    <w:lvl w:ilvl="3" w:tplc="E7B0065E">
      <w:start w:val="1"/>
      <w:numFmt w:val="decimal"/>
      <w:lvlText w:val="%4."/>
      <w:lvlJc w:val="left"/>
      <w:pPr>
        <w:ind w:left="2880" w:hanging="360"/>
      </w:pPr>
    </w:lvl>
    <w:lvl w:ilvl="4" w:tplc="AD1C982E">
      <w:start w:val="1"/>
      <w:numFmt w:val="lowerLetter"/>
      <w:lvlText w:val="%5."/>
      <w:lvlJc w:val="left"/>
      <w:pPr>
        <w:ind w:left="3600" w:hanging="360"/>
      </w:pPr>
    </w:lvl>
    <w:lvl w:ilvl="5" w:tplc="C062EA0C">
      <w:start w:val="1"/>
      <w:numFmt w:val="lowerRoman"/>
      <w:lvlText w:val="%6."/>
      <w:lvlJc w:val="right"/>
      <w:pPr>
        <w:ind w:left="4320" w:hanging="180"/>
      </w:pPr>
    </w:lvl>
    <w:lvl w:ilvl="6" w:tplc="6D42EC7C">
      <w:start w:val="1"/>
      <w:numFmt w:val="decimal"/>
      <w:lvlText w:val="%7."/>
      <w:lvlJc w:val="left"/>
      <w:pPr>
        <w:ind w:left="5040" w:hanging="360"/>
      </w:pPr>
    </w:lvl>
    <w:lvl w:ilvl="7" w:tplc="CFB4CB5C">
      <w:start w:val="1"/>
      <w:numFmt w:val="lowerLetter"/>
      <w:lvlText w:val="%8."/>
      <w:lvlJc w:val="left"/>
      <w:pPr>
        <w:ind w:left="5760" w:hanging="360"/>
      </w:pPr>
    </w:lvl>
    <w:lvl w:ilvl="8" w:tplc="364422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87"/>
    <w:rsid w:val="002E3C87"/>
    <w:rsid w:val="00485969"/>
    <w:rsid w:val="00572F7A"/>
    <w:rsid w:val="006C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CD6DC"/>
  <w15:chartTrackingRefBased/>
  <w15:docId w15:val="{4D17D386-05F5-48FD-A0EA-D1D9E227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C87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C87"/>
    <w:pPr>
      <w:keepNext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C87"/>
    <w:pPr>
      <w:keepNext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E3C87"/>
    <w:pPr>
      <w:spacing w:beforeAutospacing="1" w:afterAutospacing="1"/>
      <w:outlineLvl w:val="2"/>
    </w:pPr>
    <w:rPr>
      <w:b/>
      <w:bCs/>
      <w:sz w:val="27"/>
      <w:szCs w:val="27"/>
      <w:lang w:eastAsia="sv-S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3C87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3C87"/>
    <w:pPr>
      <w:keepNext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3C87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3C87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3C87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3C87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C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E3C8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E3C87"/>
    <w:rPr>
      <w:rFonts w:ascii="Times New Roman" w:eastAsia="Times New Roman" w:hAnsi="Times New Roman" w:cs="Times New Roman"/>
      <w:b/>
      <w:bCs/>
      <w:sz w:val="27"/>
      <w:szCs w:val="27"/>
      <w:lang w:val="en-US" w:eastAsia="sv-SE"/>
    </w:rPr>
  </w:style>
  <w:style w:type="character" w:customStyle="1" w:styleId="Heading4Char">
    <w:name w:val="Heading 4 Char"/>
    <w:basedOn w:val="DefaultParagraphFont"/>
    <w:link w:val="Heading4"/>
    <w:uiPriority w:val="9"/>
    <w:rsid w:val="002E3C8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2E3C8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2E3C87"/>
    <w:rPr>
      <w:rFonts w:asciiTheme="majorHAnsi" w:eastAsiaTheme="majorEastAsia" w:hAnsiTheme="majorHAnsi" w:cstheme="majorBidi"/>
      <w:color w:val="243F60"/>
      <w:sz w:val="24"/>
      <w:szCs w:val="24"/>
      <w:lang w:val="en-US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2E3C87"/>
    <w:rPr>
      <w:rFonts w:asciiTheme="majorHAnsi" w:eastAsiaTheme="majorEastAsia" w:hAnsiTheme="majorHAnsi" w:cstheme="majorBidi"/>
      <w:i/>
      <w:iCs/>
      <w:color w:val="243F60"/>
      <w:sz w:val="24"/>
      <w:szCs w:val="24"/>
      <w:lang w:val="en-US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2E3C87"/>
    <w:rPr>
      <w:rFonts w:asciiTheme="majorHAnsi" w:eastAsiaTheme="majorEastAsia" w:hAnsiTheme="majorHAnsi" w:cstheme="majorBidi"/>
      <w:color w:val="272727"/>
      <w:sz w:val="21"/>
      <w:szCs w:val="21"/>
      <w:lang w:val="en-US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2E3C87"/>
    <w:rPr>
      <w:rFonts w:asciiTheme="majorHAnsi" w:eastAsiaTheme="majorEastAsia" w:hAnsiTheme="majorHAnsi" w:cstheme="majorBidi"/>
      <w:i/>
      <w:iCs/>
      <w:color w:val="272727"/>
      <w:sz w:val="21"/>
      <w:szCs w:val="21"/>
      <w:lang w:val="en-US" w:eastAsia="en-GB"/>
    </w:rPr>
  </w:style>
  <w:style w:type="table" w:styleId="TableGrid">
    <w:name w:val="Table Grid"/>
    <w:basedOn w:val="TableNormal"/>
    <w:uiPriority w:val="39"/>
    <w:rsid w:val="002E3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3C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87"/>
    <w:rPr>
      <w:rFonts w:ascii="Tahoma" w:eastAsia="Times New Roman" w:hAnsi="Tahoma" w:cs="Tahoma"/>
      <w:sz w:val="16"/>
      <w:szCs w:val="16"/>
      <w:lang w:val="en-US" w:eastAsia="en-GB"/>
    </w:rPr>
  </w:style>
  <w:style w:type="paragraph" w:styleId="ListParagraph">
    <w:name w:val="List Paragraph"/>
    <w:basedOn w:val="Normal"/>
    <w:uiPriority w:val="34"/>
    <w:qFormat/>
    <w:rsid w:val="002E3C8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3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3C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3C87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C87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paragraph" w:customStyle="1" w:styleId="EndNoteBibliographyTitle">
    <w:name w:val="EndNote Bibliography Title"/>
    <w:basedOn w:val="Normal"/>
    <w:link w:val="EndNoteBibliographyTitleChar"/>
    <w:uiPriority w:val="1"/>
    <w:rsid w:val="002E3C87"/>
    <w:pPr>
      <w:jc w:val="center"/>
    </w:pPr>
    <w:rPr>
      <w:rFonts w:ascii="Calibri" w:hAnsi="Calibri" w:cs="Calibr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1"/>
    <w:rsid w:val="002E3C87"/>
    <w:rPr>
      <w:rFonts w:ascii="Calibri" w:eastAsia="Times New Roman" w:hAnsi="Calibri" w:cs="Calibri"/>
      <w:noProof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uiPriority w:val="1"/>
    <w:rsid w:val="002E3C87"/>
    <w:pPr>
      <w:spacing w:line="240" w:lineRule="auto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uiPriority w:val="1"/>
    <w:rsid w:val="002E3C87"/>
    <w:rPr>
      <w:rFonts w:ascii="Calibri" w:eastAsia="Times New Roman" w:hAnsi="Calibri" w:cs="Calibri"/>
      <w:noProof/>
      <w:lang w:val="en-US" w:eastAsia="en-GB"/>
    </w:rPr>
  </w:style>
  <w:style w:type="paragraph" w:styleId="NormalWeb">
    <w:name w:val="Normal (Web)"/>
    <w:basedOn w:val="Normal"/>
    <w:uiPriority w:val="99"/>
    <w:unhideWhenUsed/>
    <w:rsid w:val="002E3C87"/>
    <w:pPr>
      <w:spacing w:beforeAutospacing="1" w:afterAutospacing="1"/>
    </w:pPr>
    <w:rPr>
      <w:lang w:eastAsia="sv-SE"/>
    </w:rPr>
  </w:style>
  <w:style w:type="character" w:customStyle="1" w:styleId="A8">
    <w:name w:val="A8"/>
    <w:uiPriority w:val="99"/>
    <w:rsid w:val="002E3C87"/>
    <w:rPr>
      <w:rFonts w:cs="Trebuchet MS"/>
      <w:color w:val="000000"/>
      <w:sz w:val="10"/>
      <w:szCs w:val="10"/>
    </w:rPr>
  </w:style>
  <w:style w:type="paragraph" w:customStyle="1" w:styleId="Default">
    <w:name w:val="Default"/>
    <w:rsid w:val="002E3C87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C87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2E3C87"/>
  </w:style>
  <w:style w:type="character" w:customStyle="1" w:styleId="Subtitle1">
    <w:name w:val="Subtitle1"/>
    <w:basedOn w:val="DefaultParagraphFont"/>
    <w:rsid w:val="002E3C87"/>
  </w:style>
  <w:style w:type="character" w:styleId="Emphasis">
    <w:name w:val="Emphasis"/>
    <w:basedOn w:val="DefaultParagraphFont"/>
    <w:uiPriority w:val="20"/>
    <w:qFormat/>
    <w:rsid w:val="002E3C87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2E3C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C87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2E3C87"/>
  </w:style>
  <w:style w:type="character" w:styleId="FollowedHyperlink">
    <w:name w:val="FollowedHyperlink"/>
    <w:basedOn w:val="DefaultParagraphFont"/>
    <w:uiPriority w:val="99"/>
    <w:semiHidden/>
    <w:unhideWhenUsed/>
    <w:rsid w:val="002E3C87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3C87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2E3C8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E3C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3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3C8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3C87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E3C87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E3C87"/>
    <w:rPr>
      <w:color w:val="808080"/>
    </w:rPr>
  </w:style>
  <w:style w:type="character" w:customStyle="1" w:styleId="highlight">
    <w:name w:val="highlight"/>
    <w:basedOn w:val="DefaultParagraphFont"/>
    <w:rsid w:val="002E3C87"/>
  </w:style>
  <w:style w:type="character" w:customStyle="1" w:styleId="apple-converted-space">
    <w:name w:val="apple-converted-space"/>
    <w:basedOn w:val="DefaultParagraphFont"/>
    <w:rsid w:val="002E3C87"/>
  </w:style>
  <w:style w:type="paragraph" w:customStyle="1" w:styleId="xmsonormal">
    <w:name w:val="xmsonormal"/>
    <w:basedOn w:val="Normal"/>
    <w:uiPriority w:val="1"/>
    <w:rsid w:val="002E3C87"/>
    <w:pPr>
      <w:spacing w:beforeAutospacing="1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3C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3C87"/>
    <w:rPr>
      <w:rFonts w:ascii="Courier New" w:eastAsia="Times New Roman" w:hAnsi="Courier New" w:cs="Courier New"/>
      <w:sz w:val="20"/>
      <w:szCs w:val="20"/>
      <w:lang w:val="en-US" w:eastAsia="en-GB"/>
    </w:rPr>
  </w:style>
  <w:style w:type="character" w:customStyle="1" w:styleId="y2iqfc">
    <w:name w:val="y2iqfc"/>
    <w:basedOn w:val="DefaultParagraphFont"/>
    <w:rsid w:val="002E3C87"/>
  </w:style>
  <w:style w:type="character" w:customStyle="1" w:styleId="UnresolvedMention3">
    <w:name w:val="Unresolved Mention3"/>
    <w:basedOn w:val="DefaultParagraphFont"/>
    <w:uiPriority w:val="99"/>
    <w:unhideWhenUsed/>
    <w:rsid w:val="002E3C87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2E3C87"/>
  </w:style>
  <w:style w:type="character" w:customStyle="1" w:styleId="hgkelc">
    <w:name w:val="hgkelc"/>
    <w:basedOn w:val="DefaultParagraphFont"/>
    <w:rsid w:val="002E3C87"/>
  </w:style>
  <w:style w:type="character" w:customStyle="1" w:styleId="Mention1">
    <w:name w:val="Mention1"/>
    <w:basedOn w:val="DefaultParagraphFont"/>
    <w:uiPriority w:val="99"/>
    <w:unhideWhenUsed/>
    <w:rsid w:val="002E3C87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unhideWhenUsed/>
    <w:rsid w:val="002E3C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3C87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table" w:styleId="PlainTable2">
    <w:name w:val="Plain Table 2"/>
    <w:basedOn w:val="TableNormal"/>
    <w:uiPriority w:val="42"/>
    <w:rsid w:val="002E3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tion2">
    <w:name w:val="Mention2"/>
    <w:basedOn w:val="DefaultParagraphFont"/>
    <w:uiPriority w:val="99"/>
    <w:unhideWhenUsed/>
    <w:rsid w:val="002E3C87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2E3C87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E3C8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2E3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2E3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E3C87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C87"/>
    <w:rPr>
      <w:rFonts w:asciiTheme="majorHAnsi" w:eastAsiaTheme="majorEastAsia" w:hAnsiTheme="majorHAnsi" w:cstheme="majorBidi"/>
      <w:sz w:val="56"/>
      <w:szCs w:val="56"/>
      <w:lang w:val="en-US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C87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2E3C87"/>
    <w:rPr>
      <w:rFonts w:ascii="Times New Roman" w:eastAsiaTheme="minorEastAsia" w:hAnsi="Times New Roman" w:cs="Times New Roman"/>
      <w:color w:val="5A5A5A"/>
      <w:sz w:val="24"/>
      <w:szCs w:val="24"/>
      <w:lang w:val="en-US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2E3C8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C87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US"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C87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C87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val="en-US" w:eastAsia="en-GB"/>
    </w:rPr>
  </w:style>
  <w:style w:type="paragraph" w:styleId="TOC1">
    <w:name w:val="toc 1"/>
    <w:basedOn w:val="Normal"/>
    <w:next w:val="Normal"/>
    <w:uiPriority w:val="39"/>
    <w:unhideWhenUsed/>
    <w:rsid w:val="002E3C87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2E3C87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2E3C87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2E3C87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2E3C87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2E3C87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2E3C87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2E3C87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2E3C87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E3C8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3C87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3C87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2E3C8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Hemen Najar</dc:creator>
  <cp:keywords/>
  <dc:description/>
  <cp:lastModifiedBy>Wasim Ashfaq Mohamed Yusuf</cp:lastModifiedBy>
  <cp:revision>2</cp:revision>
  <dcterms:created xsi:type="dcterms:W3CDTF">2022-10-06T15:13:00Z</dcterms:created>
  <dcterms:modified xsi:type="dcterms:W3CDTF">2022-11-18T08:44:00Z</dcterms:modified>
</cp:coreProperties>
</file>