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66C" w:rsidRPr="00DC69D7" w:rsidRDefault="008B466C" w:rsidP="008B466C">
      <w:pPr>
        <w:spacing w:line="480" w:lineRule="auto"/>
        <w:rPr>
          <w:rFonts w:ascii="Arial" w:hAnsi="Arial" w:cs="Arial"/>
          <w:b/>
          <w:lang w:val="en-US"/>
        </w:rPr>
      </w:pPr>
      <w:r w:rsidRPr="00DC69D7">
        <w:rPr>
          <w:rFonts w:ascii="Arial" w:hAnsi="Arial" w:cs="Arial"/>
          <w:b/>
          <w:lang w:val="en-US"/>
        </w:rPr>
        <w:t>Post-Hoc Analysis of Main Outcomes</w:t>
      </w:r>
    </w:p>
    <w:p w:rsidR="000344B1" w:rsidRPr="00DC69D7" w:rsidRDefault="000344B1" w:rsidP="000344B1">
      <w:pPr>
        <w:spacing w:line="480" w:lineRule="auto"/>
        <w:rPr>
          <w:rFonts w:ascii="Arial" w:hAnsi="Arial" w:cs="Arial"/>
          <w:lang w:val="en-US"/>
        </w:rPr>
      </w:pPr>
      <w:r w:rsidRPr="00DC69D7">
        <w:rPr>
          <w:rFonts w:ascii="Arial" w:hAnsi="Arial" w:cs="Arial"/>
          <w:lang w:val="en-US"/>
        </w:rPr>
        <w:t xml:space="preserve">As the distance of advice (difference between advice and initial estimate) affects advice taking </w:t>
      </w:r>
      <w:r w:rsidRPr="00DC69D7">
        <w:rPr>
          <w:rFonts w:ascii="Arial" w:hAnsi="Arial" w:cs="Arial"/>
          <w:lang w:val="en-US"/>
        </w:rPr>
        <w:fldChar w:fldCharType="begin" w:fldLock="1"/>
      </w:r>
      <w:r w:rsidR="009701AE" w:rsidRPr="00DC69D7">
        <w:rPr>
          <w:rFonts w:ascii="Arial" w:hAnsi="Arial" w:cs="Arial"/>
          <w:lang w:val="en-US"/>
        </w:rPr>
        <w:instrText>ADDIN CSL_CITATION {"citationItems":[{"id":"ITEM-1","itemData":{"author":[{"dropping-particle":"","family":"Schultze","given":"Thomas","non-dropping-particle":"","parse-names":false,"suffix":""},{"dropping-particle":"","family":"Rakotoarisoa","given":"Anne-Fernandine","non-dropping-particle":"","parse-names":false,"suffix":""},{"dropping-particle":"","family":"Schulz-Hardt","given":"Stefan","non-dropping-particle":"","parse-names":false,"suffix":""}],"container-title":"Judgment &amp; Decision Making","id":"ITEM-1","issue":"2","issued":{"date-parts":[["2015"]]},"title":"Effects of distance between initial estimates and advice on advice utilization.","type":"article-journal","volume":"10"},"uris":["http://www.mendeley.com/documents/?uuid=1fbb350f-237b-3231-9696-8fc55d352701"]}],"mendeley":{"formattedCitation":"[1]","plainTextFormattedCitation":"[1]","previouslyFormattedCitation":"[1]"},"properties":{"noteIndex":0},"schema":"https://github.com/citation-style-language/schema/raw/master/csl-citation.json"}</w:instrText>
      </w:r>
      <w:r w:rsidRPr="00DC69D7">
        <w:rPr>
          <w:rFonts w:ascii="Arial" w:hAnsi="Arial" w:cs="Arial"/>
          <w:lang w:val="en-US"/>
        </w:rPr>
        <w:fldChar w:fldCharType="separate"/>
      </w:r>
      <w:r w:rsidRPr="00DC69D7">
        <w:rPr>
          <w:rFonts w:ascii="Arial" w:hAnsi="Arial" w:cs="Arial"/>
          <w:noProof/>
          <w:lang w:val="en-US"/>
        </w:rPr>
        <w:t>[1]</w:t>
      </w:r>
      <w:r w:rsidRPr="00DC69D7">
        <w:rPr>
          <w:rFonts w:ascii="Arial" w:hAnsi="Arial" w:cs="Arial"/>
          <w:lang w:val="en-US"/>
        </w:rPr>
        <w:fldChar w:fldCharType="end"/>
      </w:r>
      <w:r w:rsidRPr="00DC69D7">
        <w:rPr>
          <w:rFonts w:ascii="Arial" w:hAnsi="Arial" w:cs="Arial"/>
          <w:lang w:val="en-US"/>
        </w:rPr>
        <w:t>, the four trials per task type consisted of different distances of advice. However, none of the eight trials evoked significant group differences in either outcome (</w:t>
      </w:r>
      <w:proofErr w:type="spellStart"/>
      <w:r w:rsidRPr="00DC69D7">
        <w:rPr>
          <w:rFonts w:ascii="Arial" w:hAnsi="Arial" w:cs="Arial"/>
          <w:lang w:val="en-US"/>
        </w:rPr>
        <w:t>NoRfA</w:t>
      </w:r>
      <w:proofErr w:type="spellEnd"/>
      <w:r w:rsidRPr="00DC69D7">
        <w:rPr>
          <w:rFonts w:ascii="Arial" w:hAnsi="Arial" w:cs="Arial"/>
          <w:lang w:val="en-US"/>
        </w:rPr>
        <w:t xml:space="preserve"> </w:t>
      </w:r>
      <w:r w:rsidRPr="00DC69D7">
        <w:rPr>
          <w:rFonts w:ascii="Arial" w:hAnsi="Arial" w:cs="Arial"/>
          <w:i/>
          <w:iCs/>
          <w:lang w:val="en-US"/>
        </w:rPr>
        <w:t>p</w:t>
      </w:r>
      <w:r w:rsidRPr="00DC69D7">
        <w:rPr>
          <w:rFonts w:ascii="Arial" w:hAnsi="Arial" w:cs="Arial"/>
          <w:lang w:val="en-US"/>
        </w:rPr>
        <w:t xml:space="preserve"> ≥ .237, </w:t>
      </w:r>
      <w:r w:rsidRPr="00DC69D7">
        <w:rPr>
          <w:rFonts w:ascii="Arial" w:hAnsi="Arial" w:cs="Arial"/>
          <w:i/>
          <w:iCs/>
          <w:lang w:val="en-US"/>
        </w:rPr>
        <w:t>d</w:t>
      </w:r>
      <w:r w:rsidRPr="00DC69D7">
        <w:rPr>
          <w:rFonts w:ascii="Arial" w:hAnsi="Arial" w:cs="Arial"/>
          <w:lang w:val="en-US"/>
        </w:rPr>
        <w:t xml:space="preserve"> ≤ 0.29; Confidence </w:t>
      </w:r>
      <w:r w:rsidRPr="00DC69D7">
        <w:rPr>
          <w:rFonts w:ascii="Arial" w:hAnsi="Arial" w:cs="Arial"/>
          <w:i/>
          <w:iCs/>
          <w:lang w:val="en-US"/>
        </w:rPr>
        <w:t>p</w:t>
      </w:r>
      <w:r w:rsidRPr="00DC69D7">
        <w:rPr>
          <w:rFonts w:ascii="Arial" w:hAnsi="Arial" w:cs="Arial"/>
          <w:lang w:val="en-US"/>
        </w:rPr>
        <w:t xml:space="preserve"> ≥ .194, </w:t>
      </w:r>
      <w:r w:rsidRPr="00DC69D7">
        <w:rPr>
          <w:rFonts w:ascii="Arial" w:hAnsi="Arial" w:cs="Arial"/>
          <w:i/>
          <w:iCs/>
          <w:lang w:val="en-US"/>
        </w:rPr>
        <w:t>d</w:t>
      </w:r>
      <w:r w:rsidRPr="00DC69D7">
        <w:rPr>
          <w:rFonts w:ascii="Arial" w:hAnsi="Arial" w:cs="Arial"/>
          <w:lang w:val="en-US"/>
        </w:rPr>
        <w:t xml:space="preserve"> ≤ 0.32; RAAW </w:t>
      </w:r>
      <w:r w:rsidRPr="00DC69D7">
        <w:rPr>
          <w:rFonts w:ascii="Arial" w:hAnsi="Arial" w:cs="Arial"/>
          <w:i/>
          <w:iCs/>
          <w:lang w:val="en-US"/>
        </w:rPr>
        <w:t>p</w:t>
      </w:r>
      <w:r w:rsidRPr="00DC69D7">
        <w:rPr>
          <w:rFonts w:ascii="Arial" w:hAnsi="Arial" w:cs="Arial"/>
          <w:lang w:val="en-US"/>
        </w:rPr>
        <w:t xml:space="preserve"> ≥ .103, </w:t>
      </w:r>
      <w:r w:rsidRPr="00DC69D7">
        <w:rPr>
          <w:rFonts w:ascii="Arial" w:hAnsi="Arial" w:cs="Arial"/>
          <w:i/>
          <w:iCs/>
          <w:lang w:val="en-US"/>
        </w:rPr>
        <w:t>d</w:t>
      </w:r>
      <w:r w:rsidRPr="00DC69D7">
        <w:rPr>
          <w:rFonts w:ascii="Arial" w:hAnsi="Arial" w:cs="Arial"/>
          <w:lang w:val="en-US"/>
        </w:rPr>
        <w:t xml:space="preserve"> ≤ 0.38). </w:t>
      </w:r>
    </w:p>
    <w:p w:rsidR="000344B1" w:rsidRPr="00DC69D7" w:rsidRDefault="000344B1" w:rsidP="000344B1">
      <w:pPr>
        <w:spacing w:line="480" w:lineRule="auto"/>
        <w:rPr>
          <w:rFonts w:ascii="Arial" w:hAnsi="Arial" w:cs="Arial"/>
          <w:lang w:val="en-US"/>
        </w:rPr>
      </w:pPr>
      <w:r w:rsidRPr="00DC69D7">
        <w:rPr>
          <w:rFonts w:ascii="Arial" w:hAnsi="Arial" w:cs="Arial"/>
          <w:lang w:val="en-US"/>
        </w:rPr>
        <w:t xml:space="preserve">In our preregistered protocol, we only specified outliers for RAAW (truncated to 1 or 0; see above). As random outliers might have contributed to an incorrect non-rejection of the null hypothesis (beta error; </w:t>
      </w:r>
      <w:r w:rsidRPr="00DC69D7">
        <w:rPr>
          <w:rFonts w:ascii="Arial" w:hAnsi="Arial" w:cs="Arial"/>
          <w:lang w:val="en-US"/>
        </w:rPr>
        <w:fldChar w:fldCharType="begin" w:fldLock="1"/>
      </w:r>
      <w:r w:rsidR="009701AE" w:rsidRPr="00DC69D7">
        <w:rPr>
          <w:rFonts w:ascii="Arial" w:hAnsi="Arial" w:cs="Arial"/>
          <w:lang w:val="en-US"/>
        </w:rPr>
        <w:instrText>ADDIN CSL_CITATION {"citationItems":[{"id":"ITEM-1","itemData":{"DOI":"10.5334/irsp.289","ISSN":"23978570","abstract":"Researchers often lack knowledge about how to deal with outliers when analyzing their data. Even more frequently, researchers do not pre-specify how they plan to manage outliers. In this paper we aim to improve research practices by outlining what you need to know about outliers. We start by providing a functional definition of outliers. We then lay down an appropriate nomenclature/classification of outliers. This nomenclature is used to understand what kinds of outliers can be encountered and serves as a guideline to make appropriate decisions regarding the conservation, deletion, or recoding of outliers. These decisions might impact the validity of statistical inferences as well as the reproducibility of our experiments. To be able to make informed decisions about outliers you first need proper detection tools. We remind readers why the most common outlier detection methods are problematic and recommend the use of the median absolute deviation to detect univariate outliers, and of the Mahalanobis-MCD distance to detect multivariate outliers. An R package was created that can be used to easily perform these detection tests. Finally, we promote the use of pre-registration to avoid flexibility in data analysis when handling outliers.","author":[{"dropping-particle":"","family":"Leys","given":"Christophe","non-dropping-particle":"","parse-names":false,"suffix":""},{"dropping-particle":"","family":"Delacre","given":"Marie","non-dropping-particle":"","parse-names":false,"suffix":""},{"dropping-particle":"","family":"Mora","given":"Youri L.","non-dropping-particle":"","parse-names":false,"suffix":""},{"dropping-particle":"","family":"Lakens","given":"Daniël","non-dropping-particle":"","parse-names":false,"suffix":""},{"dropping-particle":"","family":"Ley","given":"Christophe","non-dropping-particle":"","parse-names":false,"suffix":""}],"container-title":"International Review of Social Psychology","id":"ITEM-1","issue":"1","issued":{"date-parts":[["2019"]]},"publisher":"Ubiquity Press","title":"How to classify, detect, and manage univariate and multivariate outliers, with emphasis on pre-registration","type":"article-journal","volume":"32"},"uris":["http://www.mendeley.com/documents/?uuid=c81ba5be-7079-3a23-a3cd-2325774fcf63"]}],"mendeley":{"formattedCitation":"[2]","plainTextFormattedCitation":"[2]","previouslyFormattedCitation":"[2]"},"properties":{"noteIndex":0},"schema":"https://github.com/citation-style-language/schema/raw/master/csl-citation.json"}</w:instrText>
      </w:r>
      <w:r w:rsidRPr="00DC69D7">
        <w:rPr>
          <w:rFonts w:ascii="Arial" w:hAnsi="Arial" w:cs="Arial"/>
          <w:lang w:val="en-US"/>
        </w:rPr>
        <w:fldChar w:fldCharType="separate"/>
      </w:r>
      <w:r w:rsidRPr="00DC69D7">
        <w:rPr>
          <w:rFonts w:ascii="Arial" w:hAnsi="Arial" w:cs="Arial"/>
          <w:noProof/>
          <w:lang w:val="en-US"/>
        </w:rPr>
        <w:t>[2]</w:t>
      </w:r>
      <w:r w:rsidRPr="00DC69D7">
        <w:rPr>
          <w:rFonts w:ascii="Arial" w:hAnsi="Arial" w:cs="Arial"/>
          <w:lang w:val="en-US"/>
        </w:rPr>
        <w:fldChar w:fldCharType="end"/>
      </w:r>
      <w:r w:rsidRPr="00DC69D7">
        <w:rPr>
          <w:rFonts w:ascii="Arial" w:hAnsi="Arial" w:cs="Arial"/>
          <w:lang w:val="en-US"/>
        </w:rPr>
        <w:t xml:space="preserve">), we searched for outliers on our pooled main outcomes post-hoc using a liberal threshold of two median absolute deviations (MAD; </w:t>
      </w:r>
      <w:r w:rsidRPr="00DC69D7">
        <w:rPr>
          <w:rFonts w:ascii="Arial" w:hAnsi="Arial" w:cs="Arial"/>
          <w:lang w:val="en-US"/>
        </w:rPr>
        <w:fldChar w:fldCharType="begin" w:fldLock="1"/>
      </w:r>
      <w:r w:rsidR="009701AE" w:rsidRPr="00DC69D7">
        <w:rPr>
          <w:rFonts w:ascii="Arial" w:hAnsi="Arial" w:cs="Arial"/>
          <w:lang w:val="en-US"/>
        </w:rPr>
        <w:instrText>ADDIN CSL_CITATION {"citationItems":[{"id":"ITEM-1","itemData":{"DOI":"10.1016/j.jesp.2013.03.013","ISSN":"00221031","abstract":"A survey revealed that researchers still seem to encounter difficulties to cope with outliers. Detecting outliers by determining an interval spanning over the mean plus/minus three standard deviations remains a common practice. However, since both the mean and the standard deviation are particularly sensitive to outliers, this method is problematic. We highlight the disadvantages of this method and present the median absolute deviation, an alternative and more robust measure of dispersion that is easy to implement. We also explain the procedures for calculating this indicator in SPSS and R software. © 2013 Elsevier Inc.","author":[{"dropping-particle":"","family":"Leys","given":"Christophe","non-dropping-particle":"","parse-names":false,"suffix":""},{"dropping-particle":"","family":"Ley","given":"Christophe","non-dropping-particle":"","parse-names":false,"suffix":""},{"dropping-particle":"","family":"Klein","given":"Olivier","non-dropping-particle":"","parse-names":false,"suffix":""},{"dropping-particle":"","family":"Bernard","given":"Philippe","non-dropping-particle":"","parse-names":false,"suffix":""},{"dropping-particle":"","family":"Licata","given":"Laurent","non-dropping-particle":"","parse-names":false,"suffix":""}],"container-title":"Journal of Experimental Social Psychology","id":"ITEM-1","issue":"4","issued":{"date-parts":[["2013","7"]]},"page":"764-766","title":"Detecting outliers: Do not use standard deviation around the mean, use absolute deviation around the median","type":"article-journal","volume":"49"},"uris":["http://www.mendeley.com/documents/?uuid=823042b0-8f41-3771-8490-7795302db863"]}],"mendeley":{"formattedCitation":"[3]","plainTextFormattedCitation":"[3]","previouslyFormattedCitation":"[3]"},"properties":{"noteIndex":0},"schema":"https://github.com/citation-style-language/schema/raw/master/csl-citation.json"}</w:instrText>
      </w:r>
      <w:r w:rsidRPr="00DC69D7">
        <w:rPr>
          <w:rFonts w:ascii="Arial" w:hAnsi="Arial" w:cs="Arial"/>
          <w:lang w:val="en-US"/>
        </w:rPr>
        <w:fldChar w:fldCharType="separate"/>
      </w:r>
      <w:r w:rsidRPr="00DC69D7">
        <w:rPr>
          <w:rFonts w:ascii="Arial" w:hAnsi="Arial" w:cs="Arial"/>
          <w:noProof/>
          <w:lang w:val="en-US"/>
        </w:rPr>
        <w:t>[3]</w:t>
      </w:r>
      <w:r w:rsidRPr="00DC69D7">
        <w:rPr>
          <w:rFonts w:ascii="Arial" w:hAnsi="Arial" w:cs="Arial"/>
          <w:lang w:val="en-US"/>
        </w:rPr>
        <w:fldChar w:fldCharType="end"/>
      </w:r>
      <w:r w:rsidRPr="00DC69D7">
        <w:rPr>
          <w:rFonts w:ascii="Arial" w:hAnsi="Arial" w:cs="Arial"/>
          <w:lang w:val="en-US"/>
        </w:rPr>
        <w:t xml:space="preserve">). This led to an exclusion of 12 observations for </w:t>
      </w:r>
      <w:proofErr w:type="spellStart"/>
      <w:r w:rsidRPr="00DC69D7">
        <w:rPr>
          <w:rFonts w:ascii="Arial" w:hAnsi="Arial" w:cs="Arial"/>
          <w:lang w:val="en-US"/>
        </w:rPr>
        <w:t>NoRfA</w:t>
      </w:r>
      <w:proofErr w:type="spellEnd"/>
      <w:r w:rsidRPr="00DC69D7">
        <w:rPr>
          <w:rFonts w:ascii="Arial" w:hAnsi="Arial" w:cs="Arial"/>
          <w:lang w:val="en-US"/>
        </w:rPr>
        <w:t xml:space="preserve"> (median = 0.25; </w:t>
      </w:r>
      <w:r w:rsidRPr="00DC69D7">
        <w:rPr>
          <w:rFonts w:ascii="Arial" w:hAnsi="Arial" w:cs="Arial"/>
          <w:i/>
          <w:iCs/>
          <w:lang w:val="en-US"/>
        </w:rPr>
        <w:t>MAD</w:t>
      </w:r>
      <w:r w:rsidRPr="00DC69D7">
        <w:rPr>
          <w:rFonts w:ascii="Arial" w:hAnsi="Arial" w:cs="Arial"/>
          <w:lang w:val="en-US"/>
        </w:rPr>
        <w:t xml:space="preserve"> = 0.37), 16 observations for Confidence (median = 2.75; </w:t>
      </w:r>
      <w:r w:rsidRPr="00DC69D7">
        <w:rPr>
          <w:rFonts w:ascii="Arial" w:hAnsi="Arial" w:cs="Arial"/>
          <w:i/>
          <w:iCs/>
          <w:lang w:val="en-US"/>
        </w:rPr>
        <w:t>MAD</w:t>
      </w:r>
      <w:r w:rsidRPr="00DC69D7">
        <w:rPr>
          <w:rFonts w:ascii="Arial" w:hAnsi="Arial" w:cs="Arial"/>
          <w:lang w:val="en-US"/>
        </w:rPr>
        <w:t xml:space="preserve"> = 0.37), and 3 observations for RAAW (median = 0.14; </w:t>
      </w:r>
      <w:r w:rsidRPr="00DC69D7">
        <w:rPr>
          <w:rFonts w:ascii="Arial" w:hAnsi="Arial" w:cs="Arial"/>
          <w:i/>
          <w:iCs/>
          <w:lang w:val="en-US"/>
        </w:rPr>
        <w:t>MAD</w:t>
      </w:r>
      <w:r w:rsidRPr="00DC69D7">
        <w:rPr>
          <w:rFonts w:ascii="Arial" w:hAnsi="Arial" w:cs="Arial"/>
          <w:lang w:val="en-US"/>
        </w:rPr>
        <w:t xml:space="preserve"> = 0.13). However, even after exclusion, effect sizes were still small (</w:t>
      </w:r>
      <w:r w:rsidRPr="00DC69D7">
        <w:rPr>
          <w:rFonts w:ascii="Arial" w:hAnsi="Arial" w:cs="Arial"/>
          <w:i/>
          <w:lang w:val="en-US"/>
        </w:rPr>
        <w:t>d</w:t>
      </w:r>
      <w:r w:rsidRPr="00DC69D7">
        <w:rPr>
          <w:rFonts w:ascii="Arial" w:hAnsi="Arial" w:cs="Arial"/>
          <w:lang w:val="en-US"/>
        </w:rPr>
        <w:t xml:space="preserve"> ≤ 0.21) and results remained non-significant (</w:t>
      </w:r>
      <w:r w:rsidRPr="00DC69D7">
        <w:rPr>
          <w:rFonts w:ascii="Arial" w:hAnsi="Arial" w:cs="Arial"/>
          <w:i/>
          <w:lang w:val="en-US"/>
        </w:rPr>
        <w:t>p</w:t>
      </w:r>
      <w:r w:rsidRPr="00DC69D7">
        <w:rPr>
          <w:rFonts w:ascii="Arial" w:hAnsi="Arial" w:cs="Arial"/>
          <w:lang w:val="en-US"/>
        </w:rPr>
        <w:t xml:space="preserve"> ≥ .432) for the pooled scores. Hence, there is no indication that random outliers caused a beta error (non-significant group differences despite an effect).</w:t>
      </w:r>
    </w:p>
    <w:p w:rsidR="002C7F40" w:rsidRPr="00DC69D7" w:rsidRDefault="00EB263C" w:rsidP="000344B1">
      <w:pPr>
        <w:spacing w:line="480" w:lineRule="auto"/>
        <w:rPr>
          <w:rFonts w:ascii="Arial" w:hAnsi="Arial" w:cs="Arial"/>
          <w:lang w:val="en-US"/>
        </w:rPr>
      </w:pPr>
      <w:r w:rsidRPr="00DC69D7">
        <w:rPr>
          <w:rFonts w:ascii="Arial" w:hAnsi="Arial" w:cs="Arial"/>
          <w:lang w:val="en-US"/>
        </w:rPr>
        <w:t xml:space="preserve">Confidence was measured on a Likert scale. </w:t>
      </w:r>
      <w:r w:rsidR="00E71D1B" w:rsidRPr="00DC69D7">
        <w:rPr>
          <w:rFonts w:ascii="Arial" w:hAnsi="Arial" w:cs="Arial"/>
          <w:lang w:val="en-US"/>
        </w:rPr>
        <w:t>There is a debate on whether metric tests should be used for analyzing Likert scales</w:t>
      </w:r>
      <w:r w:rsidR="009701AE" w:rsidRPr="00DC69D7">
        <w:rPr>
          <w:rFonts w:ascii="Arial" w:hAnsi="Arial" w:cs="Arial"/>
          <w:lang w:val="en-US"/>
        </w:rPr>
        <w:t xml:space="preserve"> </w:t>
      </w:r>
      <w:r w:rsidR="009701AE" w:rsidRPr="00DC69D7">
        <w:rPr>
          <w:rFonts w:ascii="Arial" w:hAnsi="Arial" w:cs="Arial"/>
          <w:lang w:val="en-US"/>
        </w:rPr>
        <w:fldChar w:fldCharType="begin" w:fldLock="1"/>
      </w:r>
      <w:r w:rsidR="009701AE" w:rsidRPr="00DC69D7">
        <w:rPr>
          <w:rFonts w:ascii="Arial" w:hAnsi="Arial" w:cs="Arial"/>
          <w:lang w:val="en-US"/>
        </w:rPr>
        <w:instrText>ADDIN CSL_CITATION {"citationItems":[{"id":"ITEM-1","itemData":{"DOI":"10.3844/jssp.2007.106.116","ISSN":"15493652","abstract":"A recent article by Jamieson in Medical Education outlined some of the (alleged) abuses of “Likert scales” with suggestions about how researchers can overcome some of the (alleged) methodological pitfalls and limitations[1]. However, many of the ideas advanced in the Jamison article, as well as a great many of articles it cited, and similar recent articles in medical, health, psychology, and educational journals and books, are themselves common misunderstandings, misconceptions, conceptual errors, persistent myths and “urban legends” about “Likert scales” and their characteristics and qualities that have been propagated and perpetuated across six decades, for a variety of different reasons. This article identifies, analyses and traces many of these aforementioned problems and presents the arguments, counter arguments and empirical evidence that show these many persistent claims and myths about “Likert scales” to be factually incorrect and untrue. Many studies have shown that Likert Scales (as opposed to single Likert response format items) produce interval data and that the F-test is very robust to violations of the interval data assumption and moderate skewing and may be used to analyze “Likert data” (even if it is ordinal), but not on an item-by-item “shotgun” basis, which is simply a current research and analysis practice that must stop. After sixty years, it is more than time to dispel these particular research myths and urban legends as well as the various damage and problems they cause, and put them to bed and out of their misery once and for all.","author":[{"dropping-particle":"","family":"Carifio","given":"James","non-dropping-particle":"","parse-names":false,"suffix":""},{"dropping-particle":"","family":"Perla","given":"Rocco J.","non-dropping-particle":"","parse-names":false,"suffix":""}],"container-title":"Journal of Social Sciences","id":"ITEM-1","issue":"3","issued":{"date-parts":[["2007"]]},"title":"Ten Common Misunderstandings, Misconceptions, Persistent Myths and Urban Legends about Likert Scales and Likert Response Formats and their Antidotes","type":"article-journal","volume":"3"},"uris":["http://www.mendeley.com/documents/?uuid=b92f276f-7a57-3293-b68d-a78404ef056c"]},{"id":"ITEM-2","itemData":{"DOI":"10.3390/pharmacy5020026","abstract":"A trenchant and passionate dispute over the use of parametric versus non-parametric methods for the analysis of Likert scale ordinal data has raged for the past eight decades. The answer is not a simple \"yes\" or \"no\" but is related to hypotheses, objectives, risks, and paradigms. In this paper, we took a pragmatic approach. We applied both types of methods to the analysis of actual Likert data on responses from different professional subgroups of European pharmacists regarding competencies for practice. Results obtained show that with \"large\" (&gt;15) numbers of responses and similar (but clearly not normal) distributions from different subgroups, parametric and non-parametric analyses give in almost all cases the same significant or non-significant results for inter-subgroup comparisons. Parametric methods were more discriminant in the cases of non-similar conclusions. Considering that the largest differences in opinions occurred in the upper part of the 4-point Likert scale (ranks 3 \"very important\" and 4 \"essential\"), a \"score analysis\" based on this part of the data was undertaken. This transformation of the ordinal Likert data into binary scores produced a graphical representation that was visually easier to understand as differences were accentuated. In conclusion, in this case of Likert ordinal data with high response rates, restraining the analysis to non-parametric methods leads to a loss of information. The addition of parametric methods, graphical analysis, analysis of subsets, and transformation of data leads to more in-depth analyses.","author":[{"dropping-particle":"","family":"Mircioiu","given":"Constantin","non-dropping-particle":"","parse-names":false,"suffix":""},{"dropping-particle":"","family":"Atkinson","given":"Jeffrey","non-dropping-particle":"","parse-names":false,"suffix":""}],"container-title":"Pharmacy","id":"ITEM-2","issue":"4","issued":{"date-parts":[["2017"]]},"title":"A Comparison of Parametric and Non-Parametric Methods Applied to a Likert Scale","type":"article-journal","volume":"5"},"uris":["http://www.mendeley.com/documents/?uuid=5adbb8b1-8b71-36e0-962d-55f23a016ca4"]}],"mendeley":{"formattedCitation":"[4, 5]","plainTextFormattedCitation":"[4, 5]"},"properties":{"noteIndex":0},"schema":"https://github.com/citation-style-language/schema/raw/master/csl-citation.json"}</w:instrText>
      </w:r>
      <w:r w:rsidR="009701AE" w:rsidRPr="00DC69D7">
        <w:rPr>
          <w:rFonts w:ascii="Arial" w:hAnsi="Arial" w:cs="Arial"/>
          <w:lang w:val="en-US"/>
        </w:rPr>
        <w:fldChar w:fldCharType="separate"/>
      </w:r>
      <w:r w:rsidR="009701AE" w:rsidRPr="00DC69D7">
        <w:rPr>
          <w:rFonts w:ascii="Arial" w:hAnsi="Arial" w:cs="Arial"/>
          <w:noProof/>
          <w:lang w:val="en-US"/>
        </w:rPr>
        <w:t>[4, 5]</w:t>
      </w:r>
      <w:r w:rsidR="009701AE" w:rsidRPr="00DC69D7">
        <w:rPr>
          <w:rFonts w:ascii="Arial" w:hAnsi="Arial" w:cs="Arial"/>
          <w:lang w:val="en-US"/>
        </w:rPr>
        <w:fldChar w:fldCharType="end"/>
      </w:r>
      <w:r w:rsidR="009701AE" w:rsidRPr="00DC69D7">
        <w:rPr>
          <w:rFonts w:ascii="Arial" w:hAnsi="Arial" w:cs="Arial"/>
          <w:lang w:val="en-US"/>
        </w:rPr>
        <w:t xml:space="preserve"> as we have predefined our analysis in the pre-registration protocol</w:t>
      </w:r>
      <w:r w:rsidR="00E71D1B" w:rsidRPr="00DC69D7">
        <w:rPr>
          <w:rFonts w:ascii="Arial" w:hAnsi="Arial" w:cs="Arial"/>
          <w:lang w:val="en-US"/>
        </w:rPr>
        <w:t xml:space="preserve">. </w:t>
      </w:r>
      <w:r w:rsidR="009701AE" w:rsidRPr="00DC69D7">
        <w:rPr>
          <w:rFonts w:ascii="Arial" w:hAnsi="Arial" w:cs="Arial"/>
          <w:lang w:val="en-US"/>
        </w:rPr>
        <w:t>Therefore</w:t>
      </w:r>
      <w:r w:rsidR="00E71D1B" w:rsidRPr="00DC69D7">
        <w:rPr>
          <w:rFonts w:ascii="Arial" w:hAnsi="Arial" w:cs="Arial"/>
          <w:lang w:val="en-US"/>
        </w:rPr>
        <w:t xml:space="preserve">, </w:t>
      </w:r>
      <w:r w:rsidR="002C7F40" w:rsidRPr="00DC69D7">
        <w:rPr>
          <w:rFonts w:ascii="Arial" w:hAnsi="Arial" w:cs="Arial"/>
          <w:lang w:val="en-US"/>
        </w:rPr>
        <w:t xml:space="preserve">we additionally </w:t>
      </w:r>
      <w:r w:rsidR="00E71D1B" w:rsidRPr="00DC69D7">
        <w:rPr>
          <w:rFonts w:ascii="Arial" w:hAnsi="Arial" w:cs="Arial"/>
          <w:lang w:val="en-US"/>
        </w:rPr>
        <w:t>provide post-hoc analyses using the non-parametric</w:t>
      </w:r>
      <w:r w:rsidR="009701AE" w:rsidRPr="00DC69D7">
        <w:rPr>
          <w:rFonts w:ascii="Arial" w:hAnsi="Arial" w:cs="Arial"/>
          <w:lang w:val="en-US"/>
        </w:rPr>
        <w:t xml:space="preserve"> Mann-Whitney-Test for the median Confidence scores:</w:t>
      </w:r>
      <w:r w:rsidR="002C7F40" w:rsidRPr="00DC69D7">
        <w:rPr>
          <w:rFonts w:ascii="Arial" w:hAnsi="Arial" w:cs="Arial"/>
          <w:lang w:val="en-US"/>
        </w:rPr>
        <w:t xml:space="preserve"> Patients with BPD had lower median Confidence scores than HC</w:t>
      </w:r>
      <w:r w:rsidR="009701AE" w:rsidRPr="00DC69D7">
        <w:rPr>
          <w:rFonts w:ascii="Arial" w:hAnsi="Arial" w:cs="Arial"/>
          <w:lang w:val="en-US"/>
        </w:rPr>
        <w:t>s</w:t>
      </w:r>
      <w:r w:rsidR="00B46734" w:rsidRPr="00DC69D7">
        <w:rPr>
          <w:rFonts w:ascii="Arial" w:hAnsi="Arial" w:cs="Arial"/>
          <w:lang w:val="en-US"/>
        </w:rPr>
        <w:t xml:space="preserve"> (Pooled score: Median(BPD) = 2.625, Median (HC) = 2.750; Age Task: Median (BPD) = 2.500, Median (HC) = 2.75; Hostility Task: Median (BPD) = 2.750, Median (HC) = 2.750)</w:t>
      </w:r>
      <w:r w:rsidR="002C7F40" w:rsidRPr="00DC69D7">
        <w:rPr>
          <w:rFonts w:ascii="Arial" w:hAnsi="Arial" w:cs="Arial"/>
          <w:lang w:val="en-US"/>
        </w:rPr>
        <w:t>, replicating the comparison of the arithmetic means. The nonparametric Mann-Whitney-Test</w:t>
      </w:r>
      <w:r w:rsidR="009701AE" w:rsidRPr="00DC69D7">
        <w:rPr>
          <w:rFonts w:ascii="Arial" w:hAnsi="Arial" w:cs="Arial"/>
          <w:lang w:val="en-US"/>
        </w:rPr>
        <w:t xml:space="preserve">s </w:t>
      </w:r>
      <w:r w:rsidR="002C7F40" w:rsidRPr="00DC69D7">
        <w:rPr>
          <w:rFonts w:ascii="Arial" w:hAnsi="Arial" w:cs="Arial"/>
          <w:lang w:val="en-US"/>
        </w:rPr>
        <w:t xml:space="preserve">revealed no group differences </w:t>
      </w:r>
      <w:r w:rsidR="00B46734" w:rsidRPr="00DC69D7">
        <w:rPr>
          <w:rFonts w:ascii="Arial" w:hAnsi="Arial" w:cs="Arial"/>
          <w:lang w:val="en-US"/>
        </w:rPr>
        <w:t xml:space="preserve">for any Confidence </w:t>
      </w:r>
      <w:proofErr w:type="spellStart"/>
      <w:r w:rsidR="00B46734" w:rsidRPr="00DC69D7">
        <w:rPr>
          <w:rFonts w:ascii="Arial" w:hAnsi="Arial" w:cs="Arial"/>
          <w:lang w:val="en-US"/>
        </w:rPr>
        <w:t>subscore</w:t>
      </w:r>
      <w:proofErr w:type="spellEnd"/>
      <w:r w:rsidR="00B46734" w:rsidRPr="00DC69D7">
        <w:rPr>
          <w:rFonts w:ascii="Arial" w:hAnsi="Arial" w:cs="Arial"/>
          <w:lang w:val="en-US"/>
        </w:rPr>
        <w:t xml:space="preserve"> (Pooled score: </w:t>
      </w:r>
      <w:r w:rsidR="00B46734" w:rsidRPr="00DC69D7">
        <w:rPr>
          <w:rFonts w:ascii="Arial" w:hAnsi="Arial" w:cs="Arial"/>
          <w:i/>
          <w:lang w:val="en-US"/>
        </w:rPr>
        <w:t>U</w:t>
      </w:r>
      <w:r w:rsidR="00B46734" w:rsidRPr="00DC69D7">
        <w:rPr>
          <w:rFonts w:ascii="Arial" w:hAnsi="Arial" w:cs="Arial"/>
          <w:lang w:val="en-US"/>
        </w:rPr>
        <w:t xml:space="preserve"> = 498.000, </w:t>
      </w:r>
      <w:r w:rsidR="00B46734" w:rsidRPr="00DC69D7">
        <w:rPr>
          <w:rFonts w:ascii="Arial" w:hAnsi="Arial" w:cs="Arial"/>
          <w:i/>
          <w:lang w:val="en-US"/>
        </w:rPr>
        <w:t>z</w:t>
      </w:r>
      <w:r w:rsidR="00B46734" w:rsidRPr="00DC69D7">
        <w:rPr>
          <w:rFonts w:ascii="Arial" w:hAnsi="Arial" w:cs="Arial"/>
          <w:lang w:val="en-US"/>
        </w:rPr>
        <w:t xml:space="preserve"> = 0.895, </w:t>
      </w:r>
      <w:r w:rsidR="00B46734" w:rsidRPr="00DC69D7">
        <w:rPr>
          <w:rFonts w:ascii="Arial" w:hAnsi="Arial" w:cs="Arial"/>
          <w:i/>
          <w:lang w:val="en-US"/>
        </w:rPr>
        <w:t>p</w:t>
      </w:r>
      <w:r w:rsidR="00B46734" w:rsidRPr="00DC69D7">
        <w:rPr>
          <w:rFonts w:ascii="Arial" w:hAnsi="Arial" w:cs="Arial"/>
          <w:lang w:val="en-US"/>
        </w:rPr>
        <w:t xml:space="preserve"> = .371; Age Task: </w:t>
      </w:r>
      <w:r w:rsidR="00B46734" w:rsidRPr="00DC69D7">
        <w:rPr>
          <w:rFonts w:ascii="Arial" w:hAnsi="Arial" w:cs="Arial"/>
          <w:i/>
          <w:lang w:val="en-US"/>
        </w:rPr>
        <w:t>U</w:t>
      </w:r>
      <w:r w:rsidR="00B46734" w:rsidRPr="00DC69D7">
        <w:rPr>
          <w:rFonts w:ascii="Arial" w:hAnsi="Arial" w:cs="Arial"/>
          <w:lang w:val="en-US"/>
        </w:rPr>
        <w:t xml:space="preserve"> = 488.500, </w:t>
      </w:r>
      <w:r w:rsidR="00B46734" w:rsidRPr="00DC69D7">
        <w:rPr>
          <w:rFonts w:ascii="Arial" w:hAnsi="Arial" w:cs="Arial"/>
          <w:i/>
          <w:lang w:val="en-US"/>
        </w:rPr>
        <w:t>z</w:t>
      </w:r>
      <w:r w:rsidR="00B46734" w:rsidRPr="00DC69D7">
        <w:rPr>
          <w:rFonts w:ascii="Arial" w:hAnsi="Arial" w:cs="Arial"/>
          <w:lang w:val="en-US"/>
        </w:rPr>
        <w:t xml:space="preserve"> = 1.029, </w:t>
      </w:r>
      <w:r w:rsidR="00B46734" w:rsidRPr="00DC69D7">
        <w:rPr>
          <w:rFonts w:ascii="Arial" w:hAnsi="Arial" w:cs="Arial"/>
          <w:i/>
          <w:lang w:val="en-US"/>
        </w:rPr>
        <w:t>p</w:t>
      </w:r>
      <w:r w:rsidR="00B46734" w:rsidRPr="00DC69D7">
        <w:rPr>
          <w:rFonts w:ascii="Arial" w:hAnsi="Arial" w:cs="Arial"/>
          <w:lang w:val="en-US"/>
        </w:rPr>
        <w:t xml:space="preserve"> = .303; Hostility Task: </w:t>
      </w:r>
      <w:r w:rsidR="00B46734" w:rsidRPr="00DC69D7">
        <w:rPr>
          <w:rFonts w:ascii="Arial" w:hAnsi="Arial" w:cs="Arial"/>
          <w:i/>
          <w:lang w:val="en-US"/>
        </w:rPr>
        <w:t>U</w:t>
      </w:r>
      <w:r w:rsidR="00B46734" w:rsidRPr="00DC69D7">
        <w:rPr>
          <w:rFonts w:ascii="Arial" w:hAnsi="Arial" w:cs="Arial"/>
          <w:lang w:val="en-US"/>
        </w:rPr>
        <w:t xml:space="preserve"> = 515.500, </w:t>
      </w:r>
      <w:r w:rsidR="00B46734" w:rsidRPr="00DC69D7">
        <w:rPr>
          <w:rFonts w:ascii="Arial" w:hAnsi="Arial" w:cs="Arial"/>
          <w:i/>
          <w:lang w:val="en-US"/>
        </w:rPr>
        <w:t>z</w:t>
      </w:r>
      <w:r w:rsidR="00B46734" w:rsidRPr="00DC69D7">
        <w:rPr>
          <w:rFonts w:ascii="Arial" w:hAnsi="Arial" w:cs="Arial"/>
          <w:lang w:val="en-US"/>
        </w:rPr>
        <w:t xml:space="preserve"> = 0.686, </w:t>
      </w:r>
      <w:r w:rsidR="00B46734" w:rsidRPr="00DC69D7">
        <w:rPr>
          <w:rFonts w:ascii="Arial" w:hAnsi="Arial" w:cs="Arial"/>
          <w:i/>
          <w:lang w:val="en-US"/>
        </w:rPr>
        <w:t>p</w:t>
      </w:r>
      <w:r w:rsidR="00B46734" w:rsidRPr="00DC69D7">
        <w:rPr>
          <w:rFonts w:ascii="Arial" w:hAnsi="Arial" w:cs="Arial"/>
          <w:lang w:val="en-US"/>
        </w:rPr>
        <w:t xml:space="preserve"> = .493).</w:t>
      </w:r>
    </w:p>
    <w:p w:rsidR="002C7F40" w:rsidRPr="00DC69D7" w:rsidRDefault="002C7F40" w:rsidP="000344B1">
      <w:pPr>
        <w:spacing w:line="480" w:lineRule="auto"/>
        <w:rPr>
          <w:rFonts w:ascii="Arial" w:hAnsi="Arial" w:cs="Arial"/>
          <w:lang w:val="en-US"/>
        </w:rPr>
      </w:pPr>
    </w:p>
    <w:p w:rsidR="008B466C" w:rsidRPr="00DC69D7" w:rsidRDefault="00524B29" w:rsidP="000344B1">
      <w:pPr>
        <w:spacing w:line="480" w:lineRule="auto"/>
        <w:rPr>
          <w:rFonts w:ascii="Arial" w:hAnsi="Arial" w:cs="Arial"/>
          <w:b/>
          <w:lang w:val="en-US"/>
        </w:rPr>
      </w:pPr>
      <w:r w:rsidRPr="00DC69D7">
        <w:rPr>
          <w:rFonts w:ascii="Arial" w:hAnsi="Arial" w:cs="Arial"/>
          <w:b/>
          <w:lang w:val="en-US"/>
        </w:rPr>
        <w:t>Preregistered Mediation Analysis</w:t>
      </w:r>
    </w:p>
    <w:p w:rsidR="00524B29" w:rsidRPr="00DC69D7" w:rsidRDefault="00524B29" w:rsidP="000344B1">
      <w:pPr>
        <w:spacing w:line="480" w:lineRule="auto"/>
        <w:rPr>
          <w:rFonts w:ascii="Arial" w:hAnsi="Arial" w:cs="Arial"/>
          <w:lang w:val="en-US"/>
        </w:rPr>
      </w:pPr>
      <w:r w:rsidRPr="00DC69D7">
        <w:rPr>
          <w:rFonts w:ascii="Arial" w:hAnsi="Arial" w:cs="Arial"/>
          <w:lang w:val="en-US"/>
        </w:rPr>
        <w:lastRenderedPageBreak/>
        <w:t xml:space="preserve">While self-esteem (RSES) correlated with RAAW with </w:t>
      </w:r>
      <w:r w:rsidRPr="00DC69D7">
        <w:rPr>
          <w:rFonts w:ascii="Arial" w:hAnsi="Arial" w:cs="Arial"/>
          <w:i/>
          <w:iCs/>
          <w:lang w:val="en-US"/>
        </w:rPr>
        <w:t>r</w:t>
      </w:r>
      <w:r w:rsidRPr="00DC69D7">
        <w:rPr>
          <w:rFonts w:ascii="Arial" w:hAnsi="Arial" w:cs="Arial"/>
          <w:lang w:val="en-US"/>
        </w:rPr>
        <w:t xml:space="preserve"> = −.31, this correlation was not significant (</w:t>
      </w:r>
      <w:r w:rsidRPr="00DC69D7">
        <w:rPr>
          <w:rFonts w:ascii="Arial" w:hAnsi="Arial" w:cs="Arial"/>
          <w:i/>
          <w:iCs/>
          <w:lang w:val="en-US"/>
        </w:rPr>
        <w:t>p</w:t>
      </w:r>
      <w:r w:rsidRPr="00DC69D7">
        <w:rPr>
          <w:rFonts w:ascii="Arial" w:hAnsi="Arial" w:cs="Arial"/>
          <w:lang w:val="en-US"/>
        </w:rPr>
        <w:t xml:space="preserve"> = .057, </w:t>
      </w:r>
      <w:r w:rsidRPr="00DC69D7">
        <w:rPr>
          <w:rFonts w:ascii="Arial" w:hAnsi="Arial" w:cs="Arial"/>
          <w:i/>
          <w:iCs/>
          <w:lang w:val="en-US"/>
        </w:rPr>
        <w:t>n</w:t>
      </w:r>
      <w:r w:rsidRPr="00DC69D7">
        <w:rPr>
          <w:rFonts w:ascii="Arial" w:hAnsi="Arial" w:cs="Arial"/>
          <w:lang w:val="en-US"/>
        </w:rPr>
        <w:t xml:space="preserve"> = 38). RSES did not correlate with </w:t>
      </w:r>
      <w:proofErr w:type="spellStart"/>
      <w:r w:rsidRPr="00DC69D7">
        <w:rPr>
          <w:rFonts w:ascii="Arial" w:hAnsi="Arial" w:cs="Arial"/>
          <w:lang w:val="en-US"/>
        </w:rPr>
        <w:t>NoRfA</w:t>
      </w:r>
      <w:proofErr w:type="spellEnd"/>
      <w:r w:rsidRPr="00DC69D7">
        <w:rPr>
          <w:rFonts w:ascii="Arial" w:hAnsi="Arial" w:cs="Arial"/>
          <w:lang w:val="en-US"/>
        </w:rPr>
        <w:t xml:space="preserve"> (</w:t>
      </w:r>
      <w:r w:rsidRPr="00DC69D7">
        <w:rPr>
          <w:rFonts w:ascii="Arial" w:hAnsi="Arial" w:cs="Arial"/>
          <w:i/>
          <w:iCs/>
          <w:lang w:val="en-US"/>
        </w:rPr>
        <w:t>r</w:t>
      </w:r>
      <w:r w:rsidRPr="00DC69D7">
        <w:rPr>
          <w:rFonts w:ascii="Arial" w:hAnsi="Arial" w:cs="Arial"/>
          <w:lang w:val="en-US"/>
        </w:rPr>
        <w:t xml:space="preserve"> = −.11, </w:t>
      </w:r>
      <w:r w:rsidRPr="00DC69D7">
        <w:rPr>
          <w:rFonts w:ascii="Arial" w:hAnsi="Arial" w:cs="Arial"/>
          <w:i/>
          <w:iCs/>
          <w:lang w:val="en-US"/>
        </w:rPr>
        <w:t>p</w:t>
      </w:r>
      <w:r w:rsidRPr="00DC69D7">
        <w:rPr>
          <w:rFonts w:ascii="Arial" w:hAnsi="Arial" w:cs="Arial"/>
          <w:lang w:val="en-US"/>
        </w:rPr>
        <w:t xml:space="preserve"> = .514, </w:t>
      </w:r>
      <w:r w:rsidRPr="00DC69D7">
        <w:rPr>
          <w:rFonts w:ascii="Arial" w:hAnsi="Arial" w:cs="Arial"/>
          <w:i/>
          <w:iCs/>
          <w:lang w:val="en-US"/>
        </w:rPr>
        <w:t>n</w:t>
      </w:r>
      <w:r w:rsidRPr="00DC69D7">
        <w:rPr>
          <w:rFonts w:ascii="Arial" w:hAnsi="Arial" w:cs="Arial"/>
          <w:lang w:val="en-US"/>
        </w:rPr>
        <w:t xml:space="preserve"> = 38) or Confidence (</w:t>
      </w:r>
      <w:r w:rsidRPr="00DC69D7">
        <w:rPr>
          <w:rFonts w:ascii="Arial" w:hAnsi="Arial" w:cs="Arial"/>
          <w:i/>
          <w:iCs/>
          <w:lang w:val="en-US"/>
        </w:rPr>
        <w:t>r</w:t>
      </w:r>
      <w:r w:rsidRPr="00DC69D7">
        <w:rPr>
          <w:rFonts w:ascii="Arial" w:hAnsi="Arial" w:cs="Arial"/>
          <w:lang w:val="en-US"/>
        </w:rPr>
        <w:t xml:space="preserve"> = −.00, </w:t>
      </w:r>
      <w:r w:rsidRPr="00DC69D7">
        <w:rPr>
          <w:rFonts w:ascii="Arial" w:hAnsi="Arial" w:cs="Arial"/>
          <w:i/>
          <w:iCs/>
          <w:lang w:val="en-US"/>
        </w:rPr>
        <w:t>p</w:t>
      </w:r>
      <w:r w:rsidRPr="00DC69D7">
        <w:rPr>
          <w:rFonts w:ascii="Arial" w:hAnsi="Arial" w:cs="Arial"/>
          <w:lang w:val="en-US"/>
        </w:rPr>
        <w:t xml:space="preserve"> = .989, </w:t>
      </w:r>
      <w:r w:rsidRPr="00DC69D7">
        <w:rPr>
          <w:rFonts w:ascii="Arial" w:hAnsi="Arial" w:cs="Arial"/>
          <w:i/>
          <w:iCs/>
          <w:lang w:val="en-US"/>
        </w:rPr>
        <w:t>n</w:t>
      </w:r>
      <w:r w:rsidRPr="00DC69D7">
        <w:rPr>
          <w:rFonts w:ascii="Arial" w:hAnsi="Arial" w:cs="Arial"/>
          <w:lang w:val="en-US"/>
        </w:rPr>
        <w:t xml:space="preserve"> = 38). And, as described in the main article, symptom severity did not correlate with JAS outcome measures. Consequently, and in line with our preregistered protocol, there was no indication of a mediation by self-esteem on the relationship between symptom severity and JAS outcome measures, additionally indicated by corresponding Sobel tests (RAAW: </w:t>
      </w:r>
      <w:r w:rsidRPr="00DC69D7">
        <w:rPr>
          <w:rFonts w:ascii="Arial" w:hAnsi="Arial" w:cs="Arial"/>
          <w:i/>
          <w:iCs/>
          <w:lang w:val="en-US"/>
        </w:rPr>
        <w:t>p</w:t>
      </w:r>
      <w:r w:rsidRPr="00DC69D7">
        <w:rPr>
          <w:rFonts w:ascii="Arial" w:hAnsi="Arial" w:cs="Arial"/>
          <w:lang w:val="en-US"/>
        </w:rPr>
        <w:t xml:space="preserve"> = .172, </w:t>
      </w:r>
      <w:proofErr w:type="spellStart"/>
      <w:r w:rsidRPr="00DC69D7">
        <w:rPr>
          <w:rFonts w:ascii="Arial" w:hAnsi="Arial" w:cs="Arial"/>
          <w:lang w:val="en-US"/>
        </w:rPr>
        <w:t>NoRfA</w:t>
      </w:r>
      <w:proofErr w:type="spellEnd"/>
      <w:r w:rsidRPr="00DC69D7">
        <w:rPr>
          <w:rFonts w:ascii="Arial" w:hAnsi="Arial" w:cs="Arial"/>
          <w:lang w:val="en-US"/>
        </w:rPr>
        <w:t xml:space="preserve">: </w:t>
      </w:r>
      <w:r w:rsidRPr="00DC69D7">
        <w:rPr>
          <w:rFonts w:ascii="Arial" w:hAnsi="Arial" w:cs="Arial"/>
          <w:i/>
          <w:iCs/>
          <w:lang w:val="en-US"/>
        </w:rPr>
        <w:t>p</w:t>
      </w:r>
      <w:r w:rsidRPr="00DC69D7">
        <w:rPr>
          <w:rFonts w:ascii="Arial" w:hAnsi="Arial" w:cs="Arial"/>
          <w:lang w:val="en-US"/>
        </w:rPr>
        <w:t xml:space="preserve"> = .441, Confidence: </w:t>
      </w:r>
      <w:r w:rsidRPr="00DC69D7">
        <w:rPr>
          <w:rFonts w:ascii="Arial" w:hAnsi="Arial" w:cs="Arial"/>
          <w:i/>
          <w:iCs/>
          <w:lang w:val="en-US"/>
        </w:rPr>
        <w:t>p</w:t>
      </w:r>
      <w:r w:rsidRPr="00DC69D7">
        <w:rPr>
          <w:rFonts w:ascii="Arial" w:hAnsi="Arial" w:cs="Arial"/>
          <w:lang w:val="en-US"/>
        </w:rPr>
        <w:t xml:space="preserve"> = .929; all </w:t>
      </w:r>
      <w:r w:rsidRPr="00DC69D7">
        <w:rPr>
          <w:rFonts w:ascii="Arial" w:hAnsi="Arial" w:cs="Arial"/>
          <w:i/>
          <w:iCs/>
          <w:lang w:val="en-US"/>
        </w:rPr>
        <w:t>n</w:t>
      </w:r>
      <w:r w:rsidRPr="00DC69D7">
        <w:rPr>
          <w:rFonts w:ascii="Arial" w:hAnsi="Arial" w:cs="Arial"/>
          <w:lang w:val="en-US"/>
        </w:rPr>
        <w:t xml:space="preserve"> = 38).  </w:t>
      </w:r>
    </w:p>
    <w:p w:rsidR="008B466C" w:rsidRPr="00DC69D7" w:rsidRDefault="008B466C" w:rsidP="008B466C">
      <w:pPr>
        <w:spacing w:line="480" w:lineRule="auto"/>
        <w:rPr>
          <w:rFonts w:ascii="Arial" w:hAnsi="Arial" w:cs="Arial"/>
          <w:b/>
          <w:bCs/>
          <w:lang w:val="en-US"/>
        </w:rPr>
      </w:pPr>
      <w:r w:rsidRPr="00DC69D7">
        <w:rPr>
          <w:rFonts w:ascii="Arial" w:hAnsi="Arial" w:cs="Arial"/>
          <w:b/>
          <w:bCs/>
          <w:lang w:val="en-US"/>
        </w:rPr>
        <w:t>Correlations Between Outcomes</w:t>
      </w:r>
    </w:p>
    <w:p w:rsidR="008B466C" w:rsidRPr="00DC69D7" w:rsidRDefault="008B466C" w:rsidP="008B466C">
      <w:pPr>
        <w:spacing w:line="480" w:lineRule="auto"/>
        <w:rPr>
          <w:rFonts w:ascii="Arial" w:hAnsi="Arial" w:cs="Arial"/>
          <w:lang w:val="en-US"/>
        </w:rPr>
      </w:pPr>
      <w:r w:rsidRPr="00DC69D7">
        <w:rPr>
          <w:rFonts w:ascii="Arial" w:hAnsi="Arial" w:cs="Arial"/>
          <w:lang w:val="en-US"/>
        </w:rPr>
        <w:t>In the entire sample (</w:t>
      </w:r>
      <w:r w:rsidRPr="00DC69D7">
        <w:rPr>
          <w:rFonts w:ascii="Arial" w:hAnsi="Arial" w:cs="Arial"/>
          <w:i/>
          <w:iCs/>
          <w:lang w:val="en-US"/>
        </w:rPr>
        <w:t>n</w:t>
      </w:r>
      <w:r w:rsidRPr="00DC69D7">
        <w:rPr>
          <w:rFonts w:ascii="Arial" w:hAnsi="Arial" w:cs="Arial"/>
          <w:lang w:val="en-US"/>
        </w:rPr>
        <w:t xml:space="preserve"> = 68), there was a positive correlation between higher </w:t>
      </w:r>
      <w:proofErr w:type="spellStart"/>
      <w:r w:rsidRPr="00DC69D7">
        <w:rPr>
          <w:rFonts w:ascii="Arial" w:hAnsi="Arial" w:cs="Arial"/>
          <w:lang w:val="en-US"/>
        </w:rPr>
        <w:t>NoRfA</w:t>
      </w:r>
      <w:proofErr w:type="spellEnd"/>
      <w:r w:rsidRPr="00DC69D7">
        <w:rPr>
          <w:rFonts w:ascii="Arial" w:hAnsi="Arial" w:cs="Arial"/>
          <w:lang w:val="en-US"/>
        </w:rPr>
        <w:t xml:space="preserve"> and increased RAAW scores (</w:t>
      </w:r>
      <w:r w:rsidRPr="00DC69D7">
        <w:rPr>
          <w:rFonts w:ascii="Arial" w:hAnsi="Arial" w:cs="Arial"/>
          <w:i/>
          <w:iCs/>
          <w:lang w:val="en-US"/>
        </w:rPr>
        <w:t>r</w:t>
      </w:r>
      <w:r w:rsidRPr="00DC69D7">
        <w:rPr>
          <w:rFonts w:ascii="Arial" w:hAnsi="Arial" w:cs="Arial"/>
          <w:lang w:val="en-US"/>
        </w:rPr>
        <w:t xml:space="preserve"> = .46, p &lt; .001). </w:t>
      </w:r>
      <w:proofErr w:type="spellStart"/>
      <w:r w:rsidRPr="00DC69D7">
        <w:rPr>
          <w:rFonts w:ascii="Arial" w:hAnsi="Arial" w:cs="Arial"/>
          <w:lang w:val="en-US"/>
        </w:rPr>
        <w:t>NoRfA</w:t>
      </w:r>
      <w:proofErr w:type="spellEnd"/>
      <w:r w:rsidRPr="00DC69D7">
        <w:rPr>
          <w:rFonts w:ascii="Arial" w:hAnsi="Arial" w:cs="Arial"/>
          <w:lang w:val="en-US"/>
        </w:rPr>
        <w:t xml:space="preserve"> did not correlate with Confidence (</w:t>
      </w:r>
      <w:r w:rsidRPr="00DC69D7">
        <w:rPr>
          <w:rFonts w:ascii="Arial" w:hAnsi="Arial" w:cs="Arial"/>
          <w:i/>
          <w:iCs/>
          <w:lang w:val="en-US"/>
        </w:rPr>
        <w:t>r</w:t>
      </w:r>
      <w:r w:rsidRPr="00DC69D7">
        <w:rPr>
          <w:rFonts w:ascii="Arial" w:hAnsi="Arial" w:cs="Arial"/>
          <w:lang w:val="en-US"/>
        </w:rPr>
        <w:t xml:space="preserve"> = -.11, </w:t>
      </w:r>
      <w:r w:rsidRPr="00DC69D7">
        <w:rPr>
          <w:rFonts w:ascii="Arial" w:hAnsi="Arial" w:cs="Arial"/>
          <w:i/>
          <w:iCs/>
          <w:lang w:val="en-US"/>
        </w:rPr>
        <w:t>p</w:t>
      </w:r>
      <w:r w:rsidRPr="00DC69D7">
        <w:rPr>
          <w:rFonts w:ascii="Arial" w:hAnsi="Arial" w:cs="Arial"/>
          <w:lang w:val="en-US"/>
        </w:rPr>
        <w:t xml:space="preserve"> = .369); Confidence did not correlate with RAAW (</w:t>
      </w:r>
      <w:r w:rsidRPr="00DC69D7">
        <w:rPr>
          <w:rFonts w:ascii="Arial" w:hAnsi="Arial" w:cs="Arial"/>
          <w:i/>
          <w:iCs/>
          <w:lang w:val="en-US"/>
        </w:rPr>
        <w:t>r</w:t>
      </w:r>
      <w:r w:rsidRPr="00DC69D7">
        <w:rPr>
          <w:rFonts w:ascii="Arial" w:hAnsi="Arial" w:cs="Arial"/>
          <w:lang w:val="en-US"/>
        </w:rPr>
        <w:t xml:space="preserve"> = −.07, </w:t>
      </w:r>
      <w:r w:rsidRPr="00DC69D7">
        <w:rPr>
          <w:rFonts w:ascii="Arial" w:hAnsi="Arial" w:cs="Arial"/>
          <w:i/>
          <w:iCs/>
          <w:lang w:val="en-US"/>
        </w:rPr>
        <w:t>p</w:t>
      </w:r>
      <w:r w:rsidRPr="00DC69D7">
        <w:rPr>
          <w:rFonts w:ascii="Arial" w:hAnsi="Arial" w:cs="Arial"/>
          <w:lang w:val="en-US"/>
        </w:rPr>
        <w:t xml:space="preserve"> = .594).</w:t>
      </w:r>
    </w:p>
    <w:p w:rsidR="008B466C" w:rsidRPr="00DC69D7" w:rsidRDefault="008B466C" w:rsidP="000344B1">
      <w:pPr>
        <w:spacing w:line="480" w:lineRule="auto"/>
        <w:rPr>
          <w:rFonts w:ascii="Arial" w:hAnsi="Arial" w:cs="Arial"/>
          <w:lang w:val="en-US"/>
        </w:rPr>
      </w:pPr>
    </w:p>
    <w:p w:rsidR="000344B1" w:rsidRPr="00DC69D7" w:rsidRDefault="000344B1" w:rsidP="000344B1">
      <w:pPr>
        <w:spacing w:line="480" w:lineRule="auto"/>
        <w:jc w:val="center"/>
        <w:rPr>
          <w:rFonts w:ascii="Arial" w:hAnsi="Arial" w:cs="Arial"/>
          <w:b/>
          <w:lang w:val="en-US"/>
        </w:rPr>
      </w:pPr>
      <w:r w:rsidRPr="00DC69D7">
        <w:rPr>
          <w:rFonts w:ascii="Arial" w:hAnsi="Arial" w:cs="Arial"/>
          <w:b/>
          <w:lang w:val="en-US"/>
        </w:rPr>
        <w:t>References</w:t>
      </w:r>
    </w:p>
    <w:p w:rsidR="009701AE" w:rsidRPr="00DC69D7" w:rsidRDefault="000344B1" w:rsidP="009701AE">
      <w:pPr>
        <w:widowControl w:val="0"/>
        <w:autoSpaceDE w:val="0"/>
        <w:autoSpaceDN w:val="0"/>
        <w:adjustRightInd w:val="0"/>
        <w:spacing w:line="240" w:lineRule="auto"/>
        <w:ind w:left="640" w:hanging="640"/>
        <w:rPr>
          <w:rFonts w:ascii="Calibri" w:hAnsi="Calibri" w:cs="Calibri"/>
          <w:noProof/>
          <w:szCs w:val="24"/>
          <w:lang w:val="en-US"/>
        </w:rPr>
      </w:pPr>
      <w:r w:rsidRPr="00DC69D7">
        <w:rPr>
          <w:lang w:val="en-US"/>
        </w:rPr>
        <w:fldChar w:fldCharType="begin" w:fldLock="1"/>
      </w:r>
      <w:r w:rsidRPr="00DC69D7">
        <w:rPr>
          <w:lang w:val="en-US"/>
        </w:rPr>
        <w:instrText xml:space="preserve">ADDIN Mendeley Bibliography CSL_BIBLIOGRAPHY </w:instrText>
      </w:r>
      <w:r w:rsidRPr="00DC69D7">
        <w:rPr>
          <w:lang w:val="en-US"/>
        </w:rPr>
        <w:fldChar w:fldCharType="separate"/>
      </w:r>
      <w:r w:rsidR="009701AE" w:rsidRPr="00DC69D7">
        <w:rPr>
          <w:rFonts w:ascii="Calibri" w:hAnsi="Calibri" w:cs="Calibri"/>
          <w:noProof/>
          <w:szCs w:val="24"/>
          <w:lang w:val="en-US"/>
        </w:rPr>
        <w:t xml:space="preserve">1. </w:t>
      </w:r>
      <w:r w:rsidR="009701AE" w:rsidRPr="00DC69D7">
        <w:rPr>
          <w:rFonts w:ascii="Calibri" w:hAnsi="Calibri" w:cs="Calibri"/>
          <w:noProof/>
          <w:szCs w:val="24"/>
          <w:lang w:val="en-US"/>
        </w:rPr>
        <w:tab/>
        <w:t>Schultze T, Rakotoarisoa A-F, Schulz-Hardt S (2015) Effects of distance between initial estimates and advice on advice utilization. Judgm Decis Mak 10:</w:t>
      </w:r>
    </w:p>
    <w:p w:rsidR="009701AE" w:rsidRPr="00DC69D7" w:rsidRDefault="009701AE" w:rsidP="009701AE">
      <w:pPr>
        <w:widowControl w:val="0"/>
        <w:autoSpaceDE w:val="0"/>
        <w:autoSpaceDN w:val="0"/>
        <w:adjustRightInd w:val="0"/>
        <w:spacing w:line="240" w:lineRule="auto"/>
        <w:ind w:left="640" w:hanging="640"/>
        <w:rPr>
          <w:rFonts w:ascii="Calibri" w:hAnsi="Calibri" w:cs="Calibri"/>
          <w:noProof/>
          <w:szCs w:val="24"/>
          <w:lang w:val="en-US"/>
        </w:rPr>
      </w:pPr>
      <w:r w:rsidRPr="00DC69D7">
        <w:rPr>
          <w:rFonts w:ascii="Calibri" w:hAnsi="Calibri" w:cs="Calibri"/>
          <w:noProof/>
          <w:szCs w:val="24"/>
          <w:lang w:val="en-US"/>
        </w:rPr>
        <w:t xml:space="preserve">2. </w:t>
      </w:r>
      <w:r w:rsidRPr="00DC69D7">
        <w:rPr>
          <w:rFonts w:ascii="Calibri" w:hAnsi="Calibri" w:cs="Calibri"/>
          <w:noProof/>
          <w:szCs w:val="24"/>
          <w:lang w:val="en-US"/>
        </w:rPr>
        <w:tab/>
        <w:t>Leys C, Delacre M, Mora YL, Lakens D, Ley C (2019) How to classify, detect, and manage univariate and multivariate outliers, with emphasis on pre-registration. Int Rev Soc Psychol 32:. https://doi.org/10.5334/irsp.289</w:t>
      </w:r>
    </w:p>
    <w:p w:rsidR="009701AE" w:rsidRPr="00DC69D7" w:rsidRDefault="009701AE" w:rsidP="009701AE">
      <w:pPr>
        <w:widowControl w:val="0"/>
        <w:autoSpaceDE w:val="0"/>
        <w:autoSpaceDN w:val="0"/>
        <w:adjustRightInd w:val="0"/>
        <w:spacing w:line="240" w:lineRule="auto"/>
        <w:ind w:left="640" w:hanging="640"/>
        <w:rPr>
          <w:rFonts w:ascii="Calibri" w:hAnsi="Calibri" w:cs="Calibri"/>
          <w:noProof/>
          <w:szCs w:val="24"/>
          <w:lang w:val="en-US"/>
        </w:rPr>
      </w:pPr>
      <w:r w:rsidRPr="00DC69D7">
        <w:rPr>
          <w:rFonts w:ascii="Calibri" w:hAnsi="Calibri" w:cs="Calibri"/>
          <w:noProof/>
          <w:szCs w:val="24"/>
          <w:lang w:val="en-US"/>
        </w:rPr>
        <w:t xml:space="preserve">3. </w:t>
      </w:r>
      <w:r w:rsidRPr="00DC69D7">
        <w:rPr>
          <w:rFonts w:ascii="Calibri" w:hAnsi="Calibri" w:cs="Calibri"/>
          <w:noProof/>
          <w:szCs w:val="24"/>
          <w:lang w:val="en-US"/>
        </w:rPr>
        <w:tab/>
        <w:t>Leys C, Ley C, Klein O, Bernard P, Licata L (2013) Detecting outliers: Do not use standard deviation around the mean, use absolute deviation around the median. J Exp Soc Psychol 49:764–766. https://doi.org/10.1016/j.jesp.2013.03.013</w:t>
      </w:r>
    </w:p>
    <w:p w:rsidR="009701AE" w:rsidRPr="00DC69D7" w:rsidRDefault="009701AE" w:rsidP="009701AE">
      <w:pPr>
        <w:widowControl w:val="0"/>
        <w:autoSpaceDE w:val="0"/>
        <w:autoSpaceDN w:val="0"/>
        <w:adjustRightInd w:val="0"/>
        <w:spacing w:line="240" w:lineRule="auto"/>
        <w:ind w:left="640" w:hanging="640"/>
        <w:rPr>
          <w:rFonts w:ascii="Calibri" w:hAnsi="Calibri" w:cs="Calibri"/>
          <w:noProof/>
          <w:szCs w:val="24"/>
          <w:lang w:val="en-US"/>
        </w:rPr>
      </w:pPr>
      <w:r w:rsidRPr="00DC69D7">
        <w:rPr>
          <w:rFonts w:ascii="Calibri" w:hAnsi="Calibri" w:cs="Calibri"/>
          <w:noProof/>
          <w:szCs w:val="24"/>
          <w:lang w:val="en-US"/>
        </w:rPr>
        <w:t xml:space="preserve">4. </w:t>
      </w:r>
      <w:r w:rsidRPr="00DC69D7">
        <w:rPr>
          <w:rFonts w:ascii="Calibri" w:hAnsi="Calibri" w:cs="Calibri"/>
          <w:noProof/>
          <w:szCs w:val="24"/>
          <w:lang w:val="en-US"/>
        </w:rPr>
        <w:tab/>
        <w:t>Carifio J, Perla RJ (2007) Ten Common Misunderstandings, Misconceptions, Persistent Myths and Urban Legends about Likert Scales and Likert Response Formats and their Antidotes. J Soc Sci 3:. https://doi.org/10.3844/jssp.2007.106.116</w:t>
      </w:r>
    </w:p>
    <w:p w:rsidR="009701AE" w:rsidRPr="00DC69D7" w:rsidRDefault="009701AE" w:rsidP="009701AE">
      <w:pPr>
        <w:widowControl w:val="0"/>
        <w:autoSpaceDE w:val="0"/>
        <w:autoSpaceDN w:val="0"/>
        <w:adjustRightInd w:val="0"/>
        <w:spacing w:line="240" w:lineRule="auto"/>
        <w:ind w:left="640" w:hanging="640"/>
        <w:rPr>
          <w:rFonts w:ascii="Calibri" w:hAnsi="Calibri" w:cs="Calibri"/>
          <w:noProof/>
        </w:rPr>
      </w:pPr>
      <w:r w:rsidRPr="00DC69D7">
        <w:rPr>
          <w:rFonts w:ascii="Calibri" w:hAnsi="Calibri" w:cs="Calibri"/>
          <w:noProof/>
          <w:szCs w:val="24"/>
          <w:lang w:val="en-US"/>
        </w:rPr>
        <w:t xml:space="preserve">5. </w:t>
      </w:r>
      <w:r w:rsidRPr="00DC69D7">
        <w:rPr>
          <w:rFonts w:ascii="Calibri" w:hAnsi="Calibri" w:cs="Calibri"/>
          <w:noProof/>
          <w:szCs w:val="24"/>
          <w:lang w:val="en-US"/>
        </w:rPr>
        <w:tab/>
        <w:t xml:space="preserve">Mircioiu C, Atkinson J (2017) A Comparison of Parametric and Non-Parametric Methods Applied to a Likert Scale. </w:t>
      </w:r>
      <w:r w:rsidRPr="00DC69D7">
        <w:rPr>
          <w:rFonts w:ascii="Calibri" w:hAnsi="Calibri" w:cs="Calibri"/>
          <w:noProof/>
          <w:szCs w:val="24"/>
        </w:rPr>
        <w:t>Pharmacy 5:. https://doi.org/10.3390/pharmacy5020026</w:t>
      </w:r>
    </w:p>
    <w:p w:rsidR="00375009" w:rsidRPr="000344B1" w:rsidRDefault="000344B1">
      <w:pPr>
        <w:rPr>
          <w:lang w:val="en-US"/>
        </w:rPr>
      </w:pPr>
      <w:r w:rsidRPr="00DC69D7">
        <w:rPr>
          <w:lang w:val="en-US"/>
        </w:rPr>
        <w:fldChar w:fldCharType="end"/>
      </w:r>
      <w:bookmarkStart w:id="0" w:name="_GoBack"/>
      <w:bookmarkEnd w:id="0"/>
    </w:p>
    <w:sectPr w:rsidR="00375009" w:rsidRPr="000344B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4B1"/>
    <w:rsid w:val="000344B1"/>
    <w:rsid w:val="002C7F40"/>
    <w:rsid w:val="00375009"/>
    <w:rsid w:val="004202F0"/>
    <w:rsid w:val="00524B29"/>
    <w:rsid w:val="005F0FCE"/>
    <w:rsid w:val="008B466C"/>
    <w:rsid w:val="009701AE"/>
    <w:rsid w:val="00B46734"/>
    <w:rsid w:val="00C676C5"/>
    <w:rsid w:val="00DC69D7"/>
    <w:rsid w:val="00E71D1B"/>
    <w:rsid w:val="00E76D13"/>
    <w:rsid w:val="00EB26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C5FD0D-49AA-4D52-B9E4-416314DC5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344B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676C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76C5"/>
    <w:rPr>
      <w:rFonts w:ascii="Segoe UI" w:hAnsi="Segoe UI" w:cs="Segoe UI"/>
      <w:sz w:val="18"/>
      <w:szCs w:val="18"/>
    </w:rPr>
  </w:style>
  <w:style w:type="character" w:styleId="Kommentarzeichen">
    <w:name w:val="annotation reference"/>
    <w:basedOn w:val="Absatz-Standardschriftart"/>
    <w:uiPriority w:val="99"/>
    <w:semiHidden/>
    <w:unhideWhenUsed/>
    <w:rsid w:val="00B46734"/>
    <w:rPr>
      <w:sz w:val="16"/>
      <w:szCs w:val="16"/>
    </w:rPr>
  </w:style>
  <w:style w:type="paragraph" w:styleId="Kommentartext">
    <w:name w:val="annotation text"/>
    <w:basedOn w:val="Standard"/>
    <w:link w:val="KommentartextZchn"/>
    <w:uiPriority w:val="99"/>
    <w:semiHidden/>
    <w:unhideWhenUsed/>
    <w:rsid w:val="00B4673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46734"/>
    <w:rPr>
      <w:sz w:val="20"/>
      <w:szCs w:val="20"/>
    </w:rPr>
  </w:style>
  <w:style w:type="paragraph" w:styleId="Kommentarthema">
    <w:name w:val="annotation subject"/>
    <w:basedOn w:val="Kommentartext"/>
    <w:next w:val="Kommentartext"/>
    <w:link w:val="KommentarthemaZchn"/>
    <w:uiPriority w:val="99"/>
    <w:semiHidden/>
    <w:unhideWhenUsed/>
    <w:rsid w:val="00B46734"/>
    <w:rPr>
      <w:b/>
      <w:bCs/>
    </w:rPr>
  </w:style>
  <w:style w:type="character" w:customStyle="1" w:styleId="KommentarthemaZchn">
    <w:name w:val="Kommentarthema Zchn"/>
    <w:basedOn w:val="KommentartextZchn"/>
    <w:link w:val="Kommentarthema"/>
    <w:uiPriority w:val="99"/>
    <w:semiHidden/>
    <w:rsid w:val="00B467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493826">
      <w:bodyDiv w:val="1"/>
      <w:marLeft w:val="0"/>
      <w:marRight w:val="0"/>
      <w:marTop w:val="0"/>
      <w:marBottom w:val="0"/>
      <w:divBdr>
        <w:top w:val="none" w:sz="0" w:space="0" w:color="auto"/>
        <w:left w:val="none" w:sz="0" w:space="0" w:color="auto"/>
        <w:bottom w:val="none" w:sz="0" w:space="0" w:color="auto"/>
        <w:right w:val="none" w:sz="0" w:space="0" w:color="auto"/>
      </w:divBdr>
      <w:divsChild>
        <w:div w:id="1411804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F88ABFEB-CC99-4DBE-B110-0613F2132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1985</Words>
  <Characters>12509</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dc:creator>
  <cp:keywords/>
  <dc:description/>
  <cp:lastModifiedBy>Jakob</cp:lastModifiedBy>
  <cp:revision>2</cp:revision>
  <dcterms:created xsi:type="dcterms:W3CDTF">2023-01-03T15:06:00Z</dcterms:created>
  <dcterms:modified xsi:type="dcterms:W3CDTF">2023-01-03T15:06:00Z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http://www.zotero.org/styles/springer-basic-brackets-no-et-al</vt:lpwstr>
  </property>
  <property fmtid="{D5CDD505-2E9C-101B-9397-08002B2CF9AE}" pid="21" name="Mendeley Recent Style Name 9_1">
    <vt:lpwstr>Springer - Basic (numeric, brackets, no "et al.")</vt:lpwstr>
  </property>
  <property fmtid="{D5CDD505-2E9C-101B-9397-08002B2CF9AE}" pid="22" name="Mendeley Citation Style_1">
    <vt:lpwstr>http://www.zotero.org/styles/springer-basic-brackets-no-et-al</vt:lpwstr>
  </property>
  <property fmtid="{D5CDD505-2E9C-101B-9397-08002B2CF9AE}" pid="23" name="Mendeley Document_1">
    <vt:lpwstr>True</vt:lpwstr>
  </property>
  <property fmtid="{D5CDD505-2E9C-101B-9397-08002B2CF9AE}" pid="24" name="Mendeley Unique User Id_1">
    <vt:lpwstr>d3c15d4c-374c-3578-8410-3dc2b77a032d</vt:lpwstr>
  </property>
</Properties>
</file>