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6F9A5" w14:textId="7E3E028A" w:rsidR="00745A17" w:rsidRPr="007A0E3E" w:rsidRDefault="002E4FA3" w:rsidP="005271FD">
      <w:pPr>
        <w:pStyle w:val="NoSpacing"/>
        <w:spacing w:line="480" w:lineRule="auto"/>
        <w:jc w:val="center"/>
        <w:rPr>
          <w:rFonts w:ascii="Times New Roman" w:hAnsi="Times New Roman" w:cs="Times New Roman"/>
          <w:b/>
          <w:bCs/>
          <w:sz w:val="20"/>
          <w:szCs w:val="20"/>
        </w:rPr>
      </w:pPr>
      <w:r w:rsidRPr="007A0E3E">
        <w:rPr>
          <w:rFonts w:ascii="Times New Roman" w:hAnsi="Times New Roman" w:cs="Times New Roman"/>
          <w:b/>
          <w:bCs/>
          <w:sz w:val="20"/>
          <w:szCs w:val="20"/>
        </w:rPr>
        <w:t>SUPPLEMENTARY INFORMATION</w:t>
      </w:r>
    </w:p>
    <w:p w14:paraId="2BF46C9C" w14:textId="77777777" w:rsidR="002E4FA3" w:rsidRPr="007A0E3E" w:rsidRDefault="002E4FA3" w:rsidP="005271FD">
      <w:pPr>
        <w:pStyle w:val="NoSpacing"/>
        <w:spacing w:line="480" w:lineRule="auto"/>
        <w:jc w:val="center"/>
        <w:rPr>
          <w:rFonts w:ascii="Times New Roman" w:hAnsi="Times New Roman" w:cs="Times New Roman"/>
          <w:b/>
          <w:bCs/>
          <w:sz w:val="20"/>
          <w:szCs w:val="20"/>
        </w:rPr>
      </w:pPr>
    </w:p>
    <w:p w14:paraId="7E272858" w14:textId="77777777" w:rsidR="00F2017E" w:rsidRPr="007A0E3E" w:rsidRDefault="00F2017E" w:rsidP="005271FD">
      <w:pPr>
        <w:pStyle w:val="NoSpacing"/>
        <w:spacing w:line="480" w:lineRule="auto"/>
        <w:jc w:val="both"/>
        <w:rPr>
          <w:rFonts w:ascii="Times New Roman" w:hAnsi="Times New Roman" w:cs="Times New Roman"/>
          <w:b/>
          <w:bCs/>
          <w:sz w:val="20"/>
          <w:szCs w:val="20"/>
        </w:rPr>
      </w:pPr>
      <w:r w:rsidRPr="007A0E3E">
        <w:rPr>
          <w:rFonts w:ascii="Times New Roman" w:hAnsi="Times New Roman" w:cs="Times New Roman"/>
          <w:b/>
          <w:bCs/>
          <w:sz w:val="20"/>
          <w:szCs w:val="20"/>
        </w:rPr>
        <w:t>METHODS</w:t>
      </w:r>
    </w:p>
    <w:p w14:paraId="1B2AA651" w14:textId="06EAF0DE" w:rsidR="00BE4527" w:rsidRPr="007A0E3E" w:rsidRDefault="00BE4527" w:rsidP="005271FD">
      <w:pPr>
        <w:pStyle w:val="NoSpacing"/>
        <w:spacing w:line="480" w:lineRule="auto"/>
        <w:jc w:val="both"/>
        <w:rPr>
          <w:rFonts w:ascii="Times New Roman" w:hAnsi="Times New Roman" w:cs="Times New Roman"/>
          <w:b/>
          <w:bCs/>
          <w:sz w:val="20"/>
          <w:szCs w:val="20"/>
        </w:rPr>
      </w:pPr>
      <w:r w:rsidRPr="007A0E3E">
        <w:rPr>
          <w:rFonts w:ascii="Times New Roman" w:hAnsi="Times New Roman" w:cs="Times New Roman"/>
          <w:b/>
          <w:bCs/>
          <w:sz w:val="20"/>
          <w:szCs w:val="20"/>
        </w:rPr>
        <w:t>Data and participants</w:t>
      </w:r>
    </w:p>
    <w:p w14:paraId="301FBA25" w14:textId="18977A15" w:rsidR="00BE4527" w:rsidRPr="007A0E3E" w:rsidRDefault="00BE4527" w:rsidP="005271FD">
      <w:pPr>
        <w:pStyle w:val="NoSpacing"/>
        <w:spacing w:line="480" w:lineRule="auto"/>
        <w:jc w:val="both"/>
        <w:rPr>
          <w:rFonts w:ascii="Times New Roman" w:hAnsi="Times New Roman" w:cs="Times New Roman"/>
          <w:sz w:val="20"/>
          <w:szCs w:val="20"/>
        </w:rPr>
      </w:pPr>
      <w:r w:rsidRPr="007A0E3E">
        <w:rPr>
          <w:rFonts w:ascii="Times New Roman" w:hAnsi="Times New Roman" w:cs="Times New Roman"/>
          <w:sz w:val="20"/>
          <w:szCs w:val="20"/>
        </w:rPr>
        <w:t xml:space="preserve">The data used in this study is a part of the </w:t>
      </w:r>
      <w:proofErr w:type="spellStart"/>
      <w:r w:rsidRPr="007A0E3E">
        <w:rPr>
          <w:rFonts w:ascii="Times New Roman" w:hAnsi="Times New Roman" w:cs="Times New Roman"/>
          <w:sz w:val="20"/>
          <w:szCs w:val="20"/>
        </w:rPr>
        <w:t>NeuroIMAGE</w:t>
      </w:r>
      <w:proofErr w:type="spellEnd"/>
      <w:r w:rsidRPr="007A0E3E">
        <w:rPr>
          <w:rFonts w:ascii="Times New Roman" w:hAnsi="Times New Roman" w:cs="Times New Roman"/>
          <w:sz w:val="20"/>
          <w:szCs w:val="20"/>
        </w:rPr>
        <w:t xml:space="preserve"> project, which is a Dutch follow-up of the International Multicenter ADHD Genetics (IMAGE) project. </w:t>
      </w:r>
      <w:proofErr w:type="spellStart"/>
      <w:r w:rsidRPr="007A0E3E">
        <w:rPr>
          <w:rFonts w:ascii="Times New Roman" w:hAnsi="Times New Roman" w:cs="Times New Roman"/>
          <w:sz w:val="20"/>
          <w:szCs w:val="20"/>
        </w:rPr>
        <w:t>NeuroIMAGE</w:t>
      </w:r>
      <w:proofErr w:type="spellEnd"/>
      <w:r w:rsidRPr="007A0E3E">
        <w:rPr>
          <w:rFonts w:ascii="Times New Roman" w:hAnsi="Times New Roman" w:cs="Times New Roman"/>
          <w:sz w:val="20"/>
          <w:szCs w:val="20"/>
        </w:rPr>
        <w:t xml:space="preserve"> includes neurocognitive, neuroimaging, and genetic data as well as environmental factors of individuals with ADHD, their unaffected siblings, and healthy controls</w:t>
      </w:r>
      <w:r w:rsidR="00F30899" w:rsidRPr="007A0E3E">
        <w:rPr>
          <w:rFonts w:ascii="Times New Roman" w:hAnsi="Times New Roman" w:cs="Times New Roman"/>
          <w:sz w:val="20"/>
          <w:szCs w:val="20"/>
        </w:rPr>
        <w:t xml:space="preserve"> </w:t>
      </w:r>
      <w:r w:rsidR="00F30899" w:rsidRPr="007A0E3E">
        <w:rPr>
          <w:rFonts w:ascii="Times New Roman" w:hAnsi="Times New Roman" w:cs="Times New Roman"/>
          <w:sz w:val="20"/>
          <w:szCs w:val="20"/>
        </w:rPr>
        <w:fldChar w:fldCharType="begin" w:fldLock="1"/>
      </w:r>
      <w:r w:rsidR="00B157F6" w:rsidRPr="007A0E3E">
        <w:rPr>
          <w:rFonts w:ascii="Times New Roman" w:hAnsi="Times New Roman" w:cs="Times New Roman"/>
          <w:sz w:val="20"/>
          <w:szCs w:val="20"/>
        </w:rPr>
        <w:instrText>ADDIN CSL_CITATION {"citationItems":[{"id":"ITEM-1","itemData":{"DOI":"10.1007/s00787-014-0573-4","ISSN":"1435165X","abstract":"Attention-deficit/hyperactivity disorder (ADHD) is a persistent neuropsychiatric disorder which is associated with impairments on a variety of cognitive measures and abnormalities in structural and functional brain measures. Genetic factors are thought to play an important role in the etiology of ADHD. The NeuroIMAGE study is a follow-up of the Dutch part of the International Multicenter ADHD Genetics (IMAGE) project. It is a multi-site prospective cohort study designed to investigate the course of ADHD, its genetic and environmental determinants, its cognitive and neurobiological underpinnings, and its consequences in adolescence and adulthood. From the original 365 ADHD families and 148 control (CON) IMAGE families, consisting of 506 participants with an ADHD diagnosis, 350 unaffected siblings, and 283 healthy controls, 79 % participated in the NeuroIMAGE follow-up study. Combined with newly recruited participants the NeuroIMAGE study comprehends an assessment of 1,069 children (751 from ADHD families; 318 from CON families) and 848 parents (582 from ADHD families; 266 from CON families). For most families, data for more than one child (82 %) and both parents (82 %) were available. Collected data include a diagnostic interview, behavioural questionnaires, cognitive measures, structural and functional neuroimaging, and genome-wide genetic information. The NeuroIMAGE dataset allows examining the course of ADHD over adolescence into young adulthood, identifying phenotypic, cognitive, and neural mechanisms associated with the persistence versus remission of ADHD, and studying their genetic and environmental underpinnings. The inclusion of siblings of ADHD probands and controls allows modelling of shared familial influences on the ADHD phenotype.","author":[{"dropping-particle":"","family":"Rhein","given":"Daniel","non-dropping-particle":"von","parse-names":false,"suffix":""},{"dropping-particle":"","family":"Mennes","given":"Maarten","non-dropping-particle":"","parse-names":false,"suffix":""},{"dropping-particle":"","family":"Ewijk","given":"Hanneke","non-dropping-particle":"van","parse-names":false,"suffix":""},{"dropping-particle":"","family":"Groenman","given":"Annabeth P.","non-dropping-particle":"","parse-names":false,"suffix":""},{"dropping-particle":"","family":"Zwiers","given":"Marcel P.","non-dropping-particle":"","parse-names":false,"suffix":""},{"dropping-particle":"","family":"Oosterlaan","given":"Jaap","non-dropping-particle":"","parse-names":false,"suffix":""},{"dropping-particle":"","family":"Heslenfeld","given":"Dirk","non-dropping-particle":"","parse-names":false,"suffix":""},{"dropping-particle":"","family":"Franke","given":"Barbara","non-dropping-particle":"","parse-names":false,"suffix":""},{"dropping-particle":"","family":"Hoekstra","given":"Pieter J.","non-dropping-particle":"","parse-names":false,"suffix":""},{"dropping-particle":"V.","family":"Faraone","given":"Stephen","non-dropping-particle":"","parse-names":false,"suffix":""},{"dropping-particle":"","family":"Hartman","given":"Catharina","non-dropping-particle":"","parse-names":false,"suffix":""},{"dropping-particle":"","family":"Buitelaar","given":"Jan","non-dropping-particle":"","parse-names":false,"suffix":""}],"container-title":"European Child and Adolescent Psychiatry","id":"ITEM-1","issue":"3","issued":{"date-parts":[["2015"]]},"title":"The NeuroIMAGE study: a prospective phenotypic, cognitive, genetic and MRI study in children with attention-deficit/hyperactivity disorder. Design and descriptives","type":"article-journal","volume":"24"},"uris":["http://www.mendeley.com/documents/?uuid=c19a88e4-2802-3a6d-9633-7da51f15f538"]}],"mendeley":{"formattedCitation":"[1]","plainTextFormattedCitation":"[1]","previouslyFormattedCitation":"[1]"},"properties":{"noteIndex":0},"schema":"https://github.com/citation-style-language/schema/raw/master/csl-citation.json"}</w:instrText>
      </w:r>
      <w:r w:rsidR="00F30899" w:rsidRPr="007A0E3E">
        <w:rPr>
          <w:rFonts w:ascii="Times New Roman" w:hAnsi="Times New Roman" w:cs="Times New Roman"/>
          <w:sz w:val="20"/>
          <w:szCs w:val="20"/>
        </w:rPr>
        <w:fldChar w:fldCharType="separate"/>
      </w:r>
      <w:r w:rsidR="00F30899" w:rsidRPr="007A0E3E">
        <w:rPr>
          <w:rFonts w:ascii="Times New Roman" w:hAnsi="Times New Roman" w:cs="Times New Roman"/>
          <w:noProof/>
          <w:sz w:val="20"/>
          <w:szCs w:val="20"/>
        </w:rPr>
        <w:t>[1]</w:t>
      </w:r>
      <w:r w:rsidR="00F30899" w:rsidRPr="007A0E3E">
        <w:rPr>
          <w:rFonts w:ascii="Times New Roman" w:hAnsi="Times New Roman" w:cs="Times New Roman"/>
          <w:sz w:val="20"/>
          <w:szCs w:val="20"/>
        </w:rPr>
        <w:fldChar w:fldCharType="end"/>
      </w:r>
      <w:r w:rsidR="00F30899" w:rsidRPr="007A0E3E">
        <w:rPr>
          <w:rFonts w:ascii="Times New Roman" w:hAnsi="Times New Roman" w:cs="Times New Roman"/>
          <w:sz w:val="20"/>
          <w:szCs w:val="20"/>
        </w:rPr>
        <w:t>.</w:t>
      </w:r>
      <w:r w:rsidRPr="007A0E3E">
        <w:rPr>
          <w:rFonts w:ascii="Times New Roman" w:hAnsi="Times New Roman" w:cs="Times New Roman"/>
          <w:sz w:val="20"/>
          <w:szCs w:val="20"/>
        </w:rPr>
        <w:t xml:space="preserve"> The genetic and imaging data used in this study were collected at two centers: Vrije Universiteit Amsterdam (Amsterdam, the Netherlands) and Radboud University Medical Center (Nijmegen, the Netherlands).</w:t>
      </w:r>
    </w:p>
    <w:p w14:paraId="50EEE1F7" w14:textId="793323C7" w:rsidR="00BE4527" w:rsidRPr="007A0E3E" w:rsidRDefault="00BE4527" w:rsidP="005271FD">
      <w:pPr>
        <w:pStyle w:val="NoSpacing"/>
        <w:spacing w:line="480" w:lineRule="auto"/>
        <w:ind w:firstLine="708"/>
        <w:jc w:val="both"/>
        <w:rPr>
          <w:rFonts w:ascii="Times New Roman" w:hAnsi="Times New Roman" w:cs="Times New Roman"/>
          <w:sz w:val="20"/>
          <w:szCs w:val="20"/>
        </w:rPr>
      </w:pPr>
      <w:r w:rsidRPr="007A0E3E">
        <w:rPr>
          <w:rFonts w:ascii="Times New Roman" w:hAnsi="Times New Roman" w:cs="Times New Roman"/>
          <w:sz w:val="20"/>
          <w:szCs w:val="20"/>
        </w:rPr>
        <w:t>General exclusion criteria for all participants were not being of European Caucasian descent, an IQ &lt; 70, contraindications for fMRI, a diagnosis of autism spectrum disorder, epilepsy, general learning difficulties, brain disorders, or any known genetic disorder.</w:t>
      </w:r>
    </w:p>
    <w:p w14:paraId="4F04A539" w14:textId="0043491D" w:rsidR="001B32D7" w:rsidRPr="007A0E3E" w:rsidRDefault="001B32D7" w:rsidP="001B32D7">
      <w:pPr>
        <w:pStyle w:val="NoSpacing"/>
        <w:spacing w:line="480" w:lineRule="auto"/>
        <w:jc w:val="both"/>
        <w:rPr>
          <w:rFonts w:ascii="Times New Roman" w:hAnsi="Times New Roman" w:cs="Times New Roman"/>
          <w:sz w:val="20"/>
          <w:szCs w:val="20"/>
        </w:rPr>
      </w:pPr>
    </w:p>
    <w:p w14:paraId="30588300" w14:textId="62B25227" w:rsidR="001B32D7" w:rsidRPr="007A0E3E" w:rsidRDefault="001B32D7" w:rsidP="001B32D7">
      <w:pPr>
        <w:pStyle w:val="NoSpacing"/>
        <w:spacing w:line="480" w:lineRule="auto"/>
        <w:jc w:val="both"/>
        <w:rPr>
          <w:rFonts w:ascii="Times New Roman" w:hAnsi="Times New Roman" w:cs="Times New Roman"/>
          <w:b/>
          <w:bCs/>
          <w:sz w:val="20"/>
          <w:szCs w:val="20"/>
        </w:rPr>
      </w:pPr>
      <w:r w:rsidRPr="007A0E3E">
        <w:rPr>
          <w:rFonts w:ascii="Times New Roman" w:hAnsi="Times New Roman" w:cs="Times New Roman"/>
          <w:b/>
          <w:bCs/>
          <w:sz w:val="20"/>
          <w:szCs w:val="20"/>
        </w:rPr>
        <w:t>Genotyping and data preprocessing</w:t>
      </w:r>
    </w:p>
    <w:p w14:paraId="6E069C86" w14:textId="5287268F" w:rsidR="001B32D7" w:rsidRPr="007A0E3E" w:rsidRDefault="001B32D7" w:rsidP="001B32D7">
      <w:pPr>
        <w:pStyle w:val="NoSpacing"/>
        <w:spacing w:line="480" w:lineRule="auto"/>
        <w:jc w:val="both"/>
        <w:rPr>
          <w:rFonts w:ascii="Times New Roman" w:hAnsi="Times New Roman" w:cs="Times New Roman"/>
          <w:sz w:val="20"/>
          <w:szCs w:val="20"/>
        </w:rPr>
      </w:pPr>
      <w:r w:rsidRPr="007A0E3E">
        <w:rPr>
          <w:rFonts w:ascii="Times New Roman" w:hAnsi="Times New Roman" w:cs="Times New Roman"/>
          <w:sz w:val="20"/>
          <w:szCs w:val="20"/>
        </w:rPr>
        <w:t xml:space="preserve">DNA was extracted from whole-blood or saliva and all participants were genotyped using the Illumina </w:t>
      </w:r>
      <w:proofErr w:type="spellStart"/>
      <w:r w:rsidRPr="007A0E3E">
        <w:rPr>
          <w:rFonts w:ascii="Times New Roman" w:hAnsi="Times New Roman" w:cs="Times New Roman"/>
          <w:sz w:val="20"/>
          <w:szCs w:val="20"/>
        </w:rPr>
        <w:t>PsychChip</w:t>
      </w:r>
      <w:proofErr w:type="spellEnd"/>
      <w:r w:rsidRPr="007A0E3E">
        <w:rPr>
          <w:rFonts w:ascii="Times New Roman" w:hAnsi="Times New Roman" w:cs="Times New Roman"/>
          <w:sz w:val="20"/>
          <w:szCs w:val="20"/>
        </w:rPr>
        <w:t>, in two batches (N=192 and N=798). Batches were merged in Plink 1.9 (</w:t>
      </w:r>
      <w:r w:rsidR="00B157F6" w:rsidRPr="007A0E3E">
        <w:rPr>
          <w:rFonts w:ascii="Times New Roman" w:hAnsi="Times New Roman" w:cs="Times New Roman"/>
          <w:sz w:val="20"/>
          <w:szCs w:val="20"/>
        </w:rPr>
        <w:t>https://www.cog-genomics.org/plink/1.9/</w:t>
      </w:r>
      <w:r w:rsidR="00B22598" w:rsidRPr="007A0E3E">
        <w:rPr>
          <w:rFonts w:ascii="Times New Roman" w:hAnsi="Times New Roman" w:cs="Times New Roman"/>
          <w:sz w:val="20"/>
          <w:szCs w:val="20"/>
        </w:rPr>
        <w:t>)</w:t>
      </w:r>
      <w:r w:rsidR="00B157F6" w:rsidRPr="007A0E3E">
        <w:rPr>
          <w:rFonts w:ascii="Times New Roman" w:hAnsi="Times New Roman" w:cs="Times New Roman"/>
          <w:sz w:val="20"/>
          <w:szCs w:val="20"/>
        </w:rPr>
        <w:t xml:space="preserve"> </w:t>
      </w:r>
      <w:r w:rsidR="00B157F6" w:rsidRPr="007A0E3E">
        <w:rPr>
          <w:rFonts w:ascii="Times New Roman" w:hAnsi="Times New Roman" w:cs="Times New Roman"/>
          <w:sz w:val="20"/>
          <w:szCs w:val="20"/>
        </w:rPr>
        <w:fldChar w:fldCharType="begin" w:fldLock="1"/>
      </w:r>
      <w:r w:rsidR="00835491" w:rsidRPr="007A0E3E">
        <w:rPr>
          <w:rFonts w:ascii="Times New Roman" w:hAnsi="Times New Roman" w:cs="Times New Roman"/>
          <w:sz w:val="20"/>
          <w:szCs w:val="20"/>
        </w:rPr>
        <w:instrText>ADDIN CSL_CITATION {"citationItems":[{"id":"ITEM-1","itemData":{"DOI":"10.1086/519795","ISSN":"00029297","abstract":"Whole-genome association studies (WGAS) bring new computational, as well as analytic, challenges to researchers. Many existing genetic-analysis tools are not designed to handle such large data sets in a convenient manner and do not necessarily exploit the new opportunities that whole-genome data bring. To address these issues, we developed PLINK, an open-source C/C++ WGAS tool set. With PLINK, large data sets comprising hundreds of thousands of markers genotyped for thousands of individuals can be rapidly manipulated and analyzed in their entirety. As well as providing tools to make the basic analytic steps computationally efficient, PLINK also supports some novel approaches to whole-genome data that take advantage of whole-genome coverage. We introduce PLINK and describe the five main domains of function: data management, summary statistics, population stratification, association analysis, and identity-by-descent estimation. In particular, we focus on the estimation and use of identity-by-state and identity-by-descent information in the context of population-based whole-genome studies. This information can be used to detect and correct for population stratification and to identify extended chromosomal segments that are shared identical by descent between very distantly related individuals. Analysis of the patterns of segmental sharing has the potential to map disease loci that contain multiple rare variants in a population-based linkage analysis. © 2007 by The American Society of Human Genetics. All rights reserved.","author":[{"dropping-particle":"","family":"Purcell","given":"Shaun","non-dropping-particle":"","parse-names":false,"suffix":""},{"dropping-particle":"","family":"Neale","given":"Benjamin","non-dropping-particle":"","parse-names":false,"suffix":""},{"dropping-particle":"","family":"Todd-Brown","given":"Kathe","non-dropping-particle":"","parse-names":false,"suffix":""},{"dropping-particle":"","family":"Thomas","given":"Lori","non-dropping-particle":"","parse-names":false,"suffix":""},{"dropping-particle":"","family":"Ferreira","given":"Manuel A.R.","non-dropping-particle":"","parse-names":false,"suffix":""},{"dropping-particle":"","family":"Bender","given":"David","non-dropping-particle":"","parse-names":false,"suffix":""},{"dropping-particle":"","family":"Maller","given":"Julian","non-dropping-particle":"","parse-names":false,"suffix":""},{"dropping-particle":"","family":"Sklar","given":"Pamela","non-dropping-particle":"","parse-names":false,"suffix":""},{"dropping-particle":"","family":"Bakker","given":"Paul I.W.","non-dropping-particle":"De","parse-names":false,"suffix":""},{"dropping-particle":"","family":"Daly","given":"Mark J.","non-dropping-particle":"","parse-names":false,"suffix":""},{"dropping-particle":"","family":"Sham","given":"Pak C.","non-dropping-particle":"","parse-names":false,"suffix":""}],"container-title":"American Journal of Human Genetics","id":"ITEM-1","issue":"3","issued":{"date-parts":[["2007"]]},"title":"PLINK: A tool set for whole-genome association and population-based linkage analyses","type":"article-journal","volume":"81"},"uris":["http://www.mendeley.com/documents/?uuid=f344ebcf-7a9b-33f3-8e55-e3bd5f83b2bc"]},{"id":"ITEM-2","itemData":{"DOI":"10.1186/s13742-015-0047-8","ISSN":"2047217X","abstract":"Background: PLINK 1 is a widely used open-source C/C++ toolset for genome-wide association studies (GWAS) and research in population genetics. However, the steady accumulation of data from imputation and whole-genome sequencing studies has exposed a strong need for faster and scalable implementations of key functions, such as logistic regression, linkage disequilibrium estimation, and genomic distance evaluation. In addition, GWAS and population-genetic data now frequently contain genotype likelihoods, phase information, and/or multiallelic variants, none of which can be represented by PLINK 1's primary data format. Findings: To address these issues, we are developing a second-generation codebase for PLINK. The first major release from this codebase, PLINK 1.9, introduces extensive use of bit-level parallelism, O(√n)-time/constant-space Hardy-Weinberg equilibrium and Fisher's exact tests, and many other algorithmic improvements. In combination, these changes accelerate most operations by 1-4 orders of magnitude, and allow the program to handle datasets too large to fit in RAM. We have also developed an extension to the data format which adds low-overhead support for genotype likelihoods, phase, multiallelic variants, and reference vs. alternate alleles, which is the basis of our planned second release (PLINK 2.0). Conclusions: The second-generation versions of PLINK will offer dramatic improvements in performance and compatibility. For the first time, users without access to high-end computing resources can perform several essential analyses of the feature-rich and very large genetic datasets coming into use.","author":[{"dropping-particle":"","family":"Chang","given":"Christopher C.","non-dropping-particle":"","parse-names":false,"suffix":""},{"dropping-particle":"","family":"Chow","given":"Carson C.","non-dropping-particle":"","parse-names":false,"suffix":""},{"dropping-particle":"","family":"Tellier","given":"Laurent C.A.M.","non-dropping-particle":"","parse-names":false,"suffix":""},{"dropping-particle":"","family":"Vattikuti","given":"Shashaank","non-dropping-particle":"","parse-names":false,"suffix":""},{"dropping-particle":"","family":"Purcell","given":"Shaun M.","non-dropping-particle":"","parse-names":false,"suffix":""},{"dropping-particle":"","family":"Lee","given":"James J.","non-dropping-particle":"","parse-names":false,"suffix":""}],"container-title":"GigaScience","id":"ITEM-2","issue":"1","issued":{"date-parts":[["2015"]]},"title":"Second-generation PLINK: Rising to the challenge of larger and richer datasets","type":"article-journal","volume":"4"},"uris":["http://www.mendeley.com/documents/?uuid=1764f160-ebe6-37c1-898a-f8f14dcfbae7"]}],"mendeley":{"formattedCitation":"[2, 3]","plainTextFormattedCitation":"[2, 3]","previouslyFormattedCitation":"[2, 3]"},"properties":{"noteIndex":0},"schema":"https://github.com/citation-style-language/schema/raw/master/csl-citation.json"}</w:instrText>
      </w:r>
      <w:r w:rsidR="00B157F6" w:rsidRPr="007A0E3E">
        <w:rPr>
          <w:rFonts w:ascii="Times New Roman" w:hAnsi="Times New Roman" w:cs="Times New Roman"/>
          <w:sz w:val="20"/>
          <w:szCs w:val="20"/>
        </w:rPr>
        <w:fldChar w:fldCharType="separate"/>
      </w:r>
      <w:r w:rsidR="00B157F6" w:rsidRPr="007A0E3E">
        <w:rPr>
          <w:rFonts w:ascii="Times New Roman" w:hAnsi="Times New Roman" w:cs="Times New Roman"/>
          <w:noProof/>
          <w:sz w:val="20"/>
          <w:szCs w:val="20"/>
        </w:rPr>
        <w:t>[2, 3]</w:t>
      </w:r>
      <w:r w:rsidR="00B157F6" w:rsidRPr="007A0E3E">
        <w:rPr>
          <w:rFonts w:ascii="Times New Roman" w:hAnsi="Times New Roman" w:cs="Times New Roman"/>
          <w:sz w:val="20"/>
          <w:szCs w:val="20"/>
        </w:rPr>
        <w:fldChar w:fldCharType="end"/>
      </w:r>
      <w:r w:rsidR="00B157F6" w:rsidRPr="007A0E3E">
        <w:rPr>
          <w:rFonts w:ascii="Times New Roman" w:hAnsi="Times New Roman" w:cs="Times New Roman"/>
          <w:sz w:val="20"/>
          <w:szCs w:val="20"/>
        </w:rPr>
        <w:t>.</w:t>
      </w:r>
      <w:r w:rsidR="00B22598" w:rsidRPr="007A0E3E">
        <w:rPr>
          <w:rFonts w:ascii="Times New Roman" w:hAnsi="Times New Roman" w:cs="Times New Roman"/>
          <w:sz w:val="20"/>
          <w:szCs w:val="20"/>
        </w:rPr>
        <w:t xml:space="preserve"> </w:t>
      </w:r>
      <w:r w:rsidRPr="007A0E3E">
        <w:rPr>
          <w:rFonts w:ascii="Times New Roman" w:hAnsi="Times New Roman" w:cs="Times New Roman"/>
          <w:sz w:val="20"/>
          <w:szCs w:val="20"/>
        </w:rPr>
        <w:t xml:space="preserve">Sex chromosomes, insertions, deletions, other non-SNP variation; and duplicate, ambiguous and mismatching SNPs between batches were excluded. Genome-wide data was further processed using </w:t>
      </w:r>
      <w:r w:rsidR="00B22598" w:rsidRPr="007A0E3E">
        <w:rPr>
          <w:rFonts w:ascii="Times New Roman" w:hAnsi="Times New Roman" w:cs="Times New Roman"/>
          <w:sz w:val="20"/>
          <w:szCs w:val="20"/>
        </w:rPr>
        <w:t>R</w:t>
      </w:r>
      <w:r w:rsidR="00835491" w:rsidRPr="007A0E3E">
        <w:rPr>
          <w:rFonts w:ascii="Times New Roman" w:hAnsi="Times New Roman" w:cs="Times New Roman"/>
          <w:sz w:val="20"/>
          <w:szCs w:val="20"/>
        </w:rPr>
        <w:t>ICOPILI</w:t>
      </w:r>
      <w:r w:rsidR="00B22598" w:rsidRPr="007A0E3E">
        <w:rPr>
          <w:rFonts w:ascii="Times New Roman" w:hAnsi="Times New Roman" w:cs="Times New Roman"/>
          <w:sz w:val="20"/>
          <w:szCs w:val="20"/>
        </w:rPr>
        <w:t xml:space="preserve"> (Rapid Imputation for </w:t>
      </w:r>
      <w:proofErr w:type="spellStart"/>
      <w:r w:rsidR="00B22598" w:rsidRPr="007A0E3E">
        <w:rPr>
          <w:rFonts w:ascii="Times New Roman" w:hAnsi="Times New Roman" w:cs="Times New Roman"/>
          <w:sz w:val="20"/>
          <w:szCs w:val="20"/>
        </w:rPr>
        <w:t>COnsortias</w:t>
      </w:r>
      <w:proofErr w:type="spellEnd"/>
      <w:r w:rsidR="00B22598" w:rsidRPr="007A0E3E">
        <w:rPr>
          <w:rFonts w:ascii="Times New Roman" w:hAnsi="Times New Roman" w:cs="Times New Roman"/>
          <w:sz w:val="20"/>
          <w:szCs w:val="20"/>
        </w:rPr>
        <w:t xml:space="preserve"> </w:t>
      </w:r>
      <w:proofErr w:type="spellStart"/>
      <w:r w:rsidR="00B22598" w:rsidRPr="007A0E3E">
        <w:rPr>
          <w:rFonts w:ascii="Times New Roman" w:hAnsi="Times New Roman" w:cs="Times New Roman"/>
          <w:sz w:val="20"/>
          <w:szCs w:val="20"/>
        </w:rPr>
        <w:t>PIpeLIne</w:t>
      </w:r>
      <w:proofErr w:type="spellEnd"/>
      <w:r w:rsidR="00B22598" w:rsidRPr="007A0E3E">
        <w:rPr>
          <w:rFonts w:ascii="Times New Roman" w:hAnsi="Times New Roman" w:cs="Times New Roman"/>
          <w:sz w:val="20"/>
          <w:szCs w:val="20"/>
        </w:rPr>
        <w:t xml:space="preserve"> for GWAS)</w:t>
      </w:r>
      <w:r w:rsidRPr="007A0E3E">
        <w:rPr>
          <w:rFonts w:ascii="Times New Roman" w:hAnsi="Times New Roman" w:cs="Times New Roman"/>
          <w:sz w:val="20"/>
          <w:szCs w:val="20"/>
        </w:rPr>
        <w:t xml:space="preserve"> pipeline</w:t>
      </w:r>
      <w:r w:rsidR="00835491" w:rsidRPr="007A0E3E">
        <w:rPr>
          <w:rFonts w:ascii="Times New Roman" w:hAnsi="Times New Roman" w:cs="Times New Roman"/>
          <w:sz w:val="20"/>
          <w:szCs w:val="20"/>
        </w:rPr>
        <w:t xml:space="preserve"> </w:t>
      </w:r>
      <w:r w:rsidR="00835491" w:rsidRPr="007A0E3E">
        <w:rPr>
          <w:rFonts w:ascii="Times New Roman" w:hAnsi="Times New Roman" w:cs="Times New Roman"/>
          <w:sz w:val="20"/>
          <w:szCs w:val="20"/>
        </w:rPr>
        <w:fldChar w:fldCharType="begin" w:fldLock="1"/>
      </w:r>
      <w:r w:rsidR="00835491" w:rsidRPr="007A0E3E">
        <w:rPr>
          <w:rFonts w:ascii="Times New Roman" w:hAnsi="Times New Roman" w:cs="Times New Roman"/>
          <w:sz w:val="20"/>
          <w:szCs w:val="20"/>
        </w:rPr>
        <w:instrText>ADDIN CSL_CITATION {"citationItems":[{"id":"ITEM-1","itemData":{"DOI":"10.1093/bioinformatics/btz633","ISSN":"14602059","abstract":"Genome-wide association study (GWAS) analyses, at sufficient sample sizes and power, have successfully revealed biological insights for several complex traits. RICOPILI, an open-sourced Perl-based pipeline was developed to address the challenges of rapidly processing large-scale multi-cohort GWAS studies including quality control (QC), imputation and downstream analyses. The pipeline is computationally efficient with portability to a wide range of high-performance computing environments. RICOPILI was created as the Psychiatric Genomics Consortium pipeline for GWAS and adopted by other users. The pipeline features (i) technical and genomic QC in case-control and trio cohorts, (ii) genome-wide phasing and imputation, (iv) association analysis, (v) meta-analysis, (vi) polygenic risk scoring and (vii) replication analysis. Notably, a major differentiator from other GWAS pipelines, RICOPILI leverages on automated parallelization and cluster job management approaches for rapid production of imputed genome-wide data. A comprehensive meta-analysis of simulated GWAS data has been incorporated demonstrating each step of the pipeline. This includes all the associated visualization plots, to allow ease of data interpretation and manuscript preparation. Simulated GWAS datasets are also packaged with the pipeline for user training tutorials and developer work.","author":[{"dropping-particle":"","family":"Lam","given":"Max","non-dropping-particle":"","parse-names":false,"suffix":""},{"dropping-particle":"","family":"Awasthi","given":"Swapnil","non-dropping-particle":"","parse-names":false,"suffix":""},{"dropping-particle":"","family":"Watson","given":"Hunna J.","non-dropping-particle":"","parse-names":false,"suffix":""},{"dropping-particle":"","family":"Goldstein","given":"Jackie","non-dropping-particle":"","parse-names":false,"suffix":""},{"dropping-particle":"","family":"Panagiotaropoulou","given":"Georgia","non-dropping-particle":"","parse-names":false,"suffix":""},{"dropping-particle":"","family":"Trubetskoy","given":"Vassily","non-dropping-particle":"","parse-names":false,"suffix":""},{"dropping-particle":"","family":"Karlsson","given":"Robert","non-dropping-particle":"","parse-names":false,"suffix":""},{"dropping-particle":"","family":"Frei","given":"Oleksander","non-dropping-particle":"","parse-names":false,"suffix":""},{"dropping-particle":"","family":"Fan","given":"Chun Chieh","non-dropping-particle":"","parse-names":false,"suffix":""},{"dropping-particle":"","family":"Witte","given":"Ward","non-dropping-particle":"De","parse-names":false,"suffix":""},{"dropping-particle":"","family":"Mota","given":"Nina R.","non-dropping-particle":"","parse-names":false,"suffix":""},{"dropping-particle":"","family":"Mullins","given":"Niamh","non-dropping-particle":"","parse-names":false,"suffix":""},{"dropping-particle":"","family":"Brügger","given":"Kim","non-dropping-particle":"","parse-names":false,"suffix":""},{"dropping-particle":"","family":"Hong Lee","given":"S.","non-dropping-particle":"","parse-names":false,"suffix":""},{"dropping-particle":"","family":"Wray","given":"Naomi R.","non-dropping-particle":"","parse-names":false,"suffix":""},{"dropping-particle":"","family":"Skarabis","given":"Nora","non-dropping-particle":"","parse-names":false,"suffix":""},{"dropping-particle":"","family":"Huang","given":"Hailiang","non-dropping-particle":"","parse-names":false,"suffix":""},{"dropping-particle":"","family":"Neale","given":"Benjamin","non-dropping-particle":"","parse-names":false,"suffix":""},{"dropping-particle":"","family":"Daly","given":"Mark J.","non-dropping-particle":"","parse-names":false,"suffix":""},{"dropping-particle":"","family":"Mattheisen","given":"Manuel","non-dropping-particle":"","parse-names":false,"suffix":""},{"dropping-particle":"","family":"Walters","given":"Raymond","non-dropping-particle":"","parse-names":false,"suffix":""},{"dropping-particle":"","family":"Ripke","given":"Stephan","non-dropping-particle":"","parse-names":false,"suffix":""}],"container-title":"Bioinformatics","id":"ITEM-1","issue":"3","issued":{"date-parts":[["2020"]]},"title":"RICOPILI: Rapid Imputation for COnsortias PIpeLIne","type":"article-journal","volume":"36"},"uris":["http://www.mendeley.com/documents/?uuid=7d5a2558-e7ce-3c74-b4e7-9fc793a6347e"]}],"mendeley":{"formattedCitation":"[4]","plainTextFormattedCitation":"[4]","previouslyFormattedCitation":"[4]"},"properties":{"noteIndex":0},"schema":"https://github.com/citation-style-language/schema/raw/master/csl-citation.json"}</w:instrText>
      </w:r>
      <w:r w:rsidR="00835491" w:rsidRPr="007A0E3E">
        <w:rPr>
          <w:rFonts w:ascii="Times New Roman" w:hAnsi="Times New Roman" w:cs="Times New Roman"/>
          <w:sz w:val="20"/>
          <w:szCs w:val="20"/>
        </w:rPr>
        <w:fldChar w:fldCharType="separate"/>
      </w:r>
      <w:r w:rsidR="00835491" w:rsidRPr="007A0E3E">
        <w:rPr>
          <w:rFonts w:ascii="Times New Roman" w:hAnsi="Times New Roman" w:cs="Times New Roman"/>
          <w:noProof/>
          <w:sz w:val="20"/>
          <w:szCs w:val="20"/>
        </w:rPr>
        <w:t>[4]</w:t>
      </w:r>
      <w:r w:rsidR="00835491" w:rsidRPr="007A0E3E">
        <w:rPr>
          <w:rFonts w:ascii="Times New Roman" w:hAnsi="Times New Roman" w:cs="Times New Roman"/>
          <w:sz w:val="20"/>
          <w:szCs w:val="20"/>
        </w:rPr>
        <w:fldChar w:fldCharType="end"/>
      </w:r>
      <w:r w:rsidR="00835491" w:rsidRPr="007A0E3E">
        <w:rPr>
          <w:rFonts w:ascii="Times New Roman" w:hAnsi="Times New Roman" w:cs="Times New Roman"/>
          <w:sz w:val="20"/>
          <w:szCs w:val="20"/>
        </w:rPr>
        <w:t>.</w:t>
      </w:r>
      <w:r w:rsidR="00B22598" w:rsidRPr="007A0E3E">
        <w:rPr>
          <w:rFonts w:ascii="Times New Roman" w:hAnsi="Times New Roman" w:cs="Times New Roman"/>
          <w:sz w:val="20"/>
          <w:szCs w:val="20"/>
        </w:rPr>
        <w:t xml:space="preserve"> </w:t>
      </w:r>
      <w:r w:rsidRPr="007A0E3E">
        <w:rPr>
          <w:rFonts w:ascii="Times New Roman" w:hAnsi="Times New Roman" w:cs="Times New Roman"/>
          <w:sz w:val="20"/>
          <w:szCs w:val="20"/>
        </w:rPr>
        <w:t>Exclusion criteria for SNPs were call rate &lt;0.05, deviation from Hardy-Weinberg equilibrium P&lt;10</w:t>
      </w:r>
      <w:r w:rsidRPr="007A0E3E">
        <w:rPr>
          <w:rFonts w:ascii="Times New Roman" w:hAnsi="Times New Roman" w:cs="Times New Roman"/>
          <w:sz w:val="20"/>
          <w:szCs w:val="20"/>
          <w:vertAlign w:val="superscript"/>
        </w:rPr>
        <w:t>-6</w:t>
      </w:r>
      <w:r w:rsidRPr="007A0E3E">
        <w:rPr>
          <w:rFonts w:ascii="Times New Roman" w:hAnsi="Times New Roman" w:cs="Times New Roman"/>
          <w:sz w:val="20"/>
          <w:szCs w:val="20"/>
        </w:rPr>
        <w:t xml:space="preserve">, minor allele frequency &lt;0.01. SNPs were also excluded if the missing-rate difference between batches was &gt;0.01. Exclusion criteria for individuals were: call rate &lt;0.05, inconsistent sex between self-report and GWAS data, identity by descent with another participant (quasi-random exclusion for each pair, with priority to more complete phenotyping data). After principal component analysis (PCA) in </w:t>
      </w:r>
      <w:r w:rsidR="00835491" w:rsidRPr="007A0E3E">
        <w:rPr>
          <w:rFonts w:ascii="Times New Roman" w:hAnsi="Times New Roman" w:cs="Times New Roman"/>
          <w:sz w:val="20"/>
          <w:szCs w:val="20"/>
        </w:rPr>
        <w:t>RICOPILI</w:t>
      </w:r>
      <w:r w:rsidRPr="007A0E3E">
        <w:rPr>
          <w:rFonts w:ascii="Times New Roman" w:hAnsi="Times New Roman" w:cs="Times New Roman"/>
          <w:sz w:val="20"/>
          <w:szCs w:val="20"/>
        </w:rPr>
        <w:t xml:space="preserve">, 18 individuals were excluded for deviating from the main cluster of the sample defined by any of the first 4 principal components (&gt;3 standard deviations). None of the principal components (PCs) were associated with genotyping batch. 48 SNPs were excluded for a batch-effect of P&lt;0.0008 (this threshold was determined by deviation from the diagonal in the QQ-plot of genome-wide batch-effects). After all quality control steps, 283,843 SNPs and 952 individuals were retained, and the PCA step was re-run on this sample to obtain new PCs for subsequent analyses. Imputation was run in </w:t>
      </w:r>
      <w:r w:rsidR="00835491" w:rsidRPr="007A0E3E">
        <w:rPr>
          <w:rFonts w:ascii="Times New Roman" w:hAnsi="Times New Roman" w:cs="Times New Roman"/>
          <w:sz w:val="20"/>
          <w:szCs w:val="20"/>
        </w:rPr>
        <w:t>RICOPILI</w:t>
      </w:r>
      <w:r w:rsidRPr="007A0E3E">
        <w:rPr>
          <w:rFonts w:ascii="Times New Roman" w:hAnsi="Times New Roman" w:cs="Times New Roman"/>
          <w:sz w:val="20"/>
          <w:szCs w:val="20"/>
        </w:rPr>
        <w:t xml:space="preserve"> using minimac3 and </w:t>
      </w:r>
      <w:r w:rsidRPr="007A0E3E">
        <w:rPr>
          <w:rFonts w:ascii="Times New Roman" w:hAnsi="Times New Roman" w:cs="Times New Roman"/>
          <w:sz w:val="20"/>
          <w:szCs w:val="20"/>
        </w:rPr>
        <w:lastRenderedPageBreak/>
        <w:t xml:space="preserve">Phase3 of the European 1000 genomes as reference. The strict best-guess output from </w:t>
      </w:r>
      <w:r w:rsidR="00835491" w:rsidRPr="007A0E3E">
        <w:rPr>
          <w:rFonts w:ascii="Times New Roman" w:hAnsi="Times New Roman" w:cs="Times New Roman"/>
          <w:sz w:val="20"/>
          <w:szCs w:val="20"/>
        </w:rPr>
        <w:t>RICOPILI</w:t>
      </w:r>
      <w:r w:rsidRPr="007A0E3E">
        <w:rPr>
          <w:rFonts w:ascii="Times New Roman" w:hAnsi="Times New Roman" w:cs="Times New Roman"/>
          <w:sz w:val="20"/>
          <w:szCs w:val="20"/>
        </w:rPr>
        <w:t xml:space="preserve"> (genotype call P&gt;0.8, SNP missing rate &lt; 0.01, MAF&gt;0.05, 2,840,886 SNPs), was used for the PRS analysis.  </w:t>
      </w:r>
    </w:p>
    <w:p w14:paraId="5D998A2A" w14:textId="77777777" w:rsidR="002E4FA3" w:rsidRPr="007A0E3E" w:rsidRDefault="002E4FA3" w:rsidP="005271FD">
      <w:pPr>
        <w:pStyle w:val="NoSpacing"/>
        <w:spacing w:line="480" w:lineRule="auto"/>
        <w:jc w:val="both"/>
        <w:rPr>
          <w:rFonts w:ascii="Times New Roman" w:hAnsi="Times New Roman" w:cs="Times New Roman"/>
          <w:b/>
          <w:bCs/>
          <w:sz w:val="20"/>
          <w:szCs w:val="20"/>
        </w:rPr>
      </w:pPr>
    </w:p>
    <w:p w14:paraId="59F03226" w14:textId="77777777" w:rsidR="002E4FA3" w:rsidRPr="007A0E3E" w:rsidRDefault="008E76C6" w:rsidP="005271FD">
      <w:pPr>
        <w:pStyle w:val="NoSpacing"/>
        <w:spacing w:line="480" w:lineRule="auto"/>
        <w:jc w:val="both"/>
        <w:rPr>
          <w:rFonts w:ascii="Times New Roman" w:hAnsi="Times New Roman" w:cs="Times New Roman"/>
          <w:b/>
          <w:bCs/>
          <w:sz w:val="20"/>
          <w:szCs w:val="20"/>
        </w:rPr>
      </w:pPr>
      <w:r w:rsidRPr="007A0E3E">
        <w:rPr>
          <w:rFonts w:ascii="Times New Roman" w:hAnsi="Times New Roman" w:cs="Times New Roman"/>
          <w:b/>
          <w:bCs/>
          <w:sz w:val="20"/>
          <w:szCs w:val="20"/>
        </w:rPr>
        <w:t>fMRI paradigm: stop-signal task</w:t>
      </w:r>
    </w:p>
    <w:p w14:paraId="1AAC18F6" w14:textId="3CBD4783" w:rsidR="008E76C6" w:rsidRPr="007A0E3E" w:rsidRDefault="005533DF" w:rsidP="005271FD">
      <w:pPr>
        <w:pStyle w:val="NoSpacing"/>
        <w:spacing w:line="480" w:lineRule="auto"/>
        <w:jc w:val="both"/>
        <w:rPr>
          <w:rFonts w:ascii="Times New Roman" w:hAnsi="Times New Roman" w:cs="Times New Roman"/>
          <w:b/>
          <w:bCs/>
          <w:sz w:val="20"/>
          <w:szCs w:val="20"/>
        </w:rPr>
      </w:pPr>
      <w:r w:rsidRPr="007A0E3E">
        <w:rPr>
          <w:rFonts w:ascii="Times New Roman" w:hAnsi="Times New Roman" w:cs="Times New Roman"/>
          <w:sz w:val="20"/>
          <w:szCs w:val="20"/>
        </w:rPr>
        <w:t>A visual version of the stop-signal task was used to probe the behavioral and neural mechanisms of response inhibition</w:t>
      </w:r>
      <w:r w:rsidR="00835491" w:rsidRPr="007A0E3E">
        <w:rPr>
          <w:rFonts w:ascii="Times New Roman" w:hAnsi="Times New Roman" w:cs="Times New Roman"/>
          <w:sz w:val="20"/>
          <w:szCs w:val="20"/>
        </w:rPr>
        <w:t xml:space="preserve"> </w:t>
      </w:r>
      <w:r w:rsidR="00835491" w:rsidRPr="007A0E3E">
        <w:rPr>
          <w:rFonts w:ascii="Times New Roman" w:hAnsi="Times New Roman" w:cs="Times New Roman"/>
          <w:sz w:val="20"/>
          <w:szCs w:val="20"/>
        </w:rPr>
        <w:fldChar w:fldCharType="begin" w:fldLock="1"/>
      </w:r>
      <w:r w:rsidR="00835491" w:rsidRPr="007A0E3E">
        <w:rPr>
          <w:rFonts w:ascii="Times New Roman" w:hAnsi="Times New Roman" w:cs="Times New Roman"/>
          <w:sz w:val="20"/>
          <w:szCs w:val="20"/>
        </w:rPr>
        <w:instrText>ADDIN CSL_CITATION {"citationItems":[{"id":"ITEM-1","itemData":{"DOI":"10.1037/0096-1523.10.2.276","ISSN":"00961523","abstract":"Presented letters visually with an occasional stop signal (tone), which told Ss not to respond on that trial, in 4 studies with 56 undergraduates, high school students, and laboratory assistants. The studies were conducted in 2 halves, with 12 Ss performing the tasks in a single session in one half and 2 Ss performing the task for 6 sessions in the other half. Dependent variables in Exps IV were (1) probability of inhibiting a response when the signal occurred, (2) mean and standard deviation of RT on no-signal trials, (3) mean RT on trials on which the signal occurred but Ss failed to inhibit, and (4) estimated RT to stop signal, respectively. Results, formulated in terms of a proposed model to estimate RT to the stop signal and to account for the relations among the variables, show that transformations of stop-signal delay were successful in group and individual conditions, regardless of how delays were selected. (19 ref) (PsycINFO Database Record (c) 2006 APA, all rights reserved). © 1984 American Psychological Association.","author":[{"dropping-particle":"","family":"Logan","given":"Gordon D.","non-dropping-particle":"","parse-names":false,"suffix":""},{"dropping-particle":"","family":"Cowan","given":"William B.","non-dropping-particle":"","parse-names":false,"suffix":""},{"dropping-particle":"","family":"Davis","given":"Kenneth A.","non-dropping-particle":"","parse-names":false,"suffix":""}],"container-title":"Journal of Experimental Psychology: Human Perception and Performance","id":"ITEM-1","issue":"2","issued":{"date-parts":[["1984"]]},"title":"On the ability to inhibit simple and choice reaction time responses: A model and a method","type":"article-journal","volume":"10"},"uris":["http://www.mendeley.com/documents/?uuid=0256547f-b62d-3eb5-883d-42b47d23e536"]}],"mendeley":{"formattedCitation":"[5]","plainTextFormattedCitation":"[5]","previouslyFormattedCitation":"[5]"},"properties":{"noteIndex":0},"schema":"https://github.com/citation-style-language/schema/raw/master/csl-citation.json"}</w:instrText>
      </w:r>
      <w:r w:rsidR="00835491" w:rsidRPr="007A0E3E">
        <w:rPr>
          <w:rFonts w:ascii="Times New Roman" w:hAnsi="Times New Roman" w:cs="Times New Roman"/>
          <w:sz w:val="20"/>
          <w:szCs w:val="20"/>
        </w:rPr>
        <w:fldChar w:fldCharType="separate"/>
      </w:r>
      <w:r w:rsidR="00835491" w:rsidRPr="007A0E3E">
        <w:rPr>
          <w:rFonts w:ascii="Times New Roman" w:hAnsi="Times New Roman" w:cs="Times New Roman"/>
          <w:noProof/>
          <w:sz w:val="20"/>
          <w:szCs w:val="20"/>
        </w:rPr>
        <w:t>[5]</w:t>
      </w:r>
      <w:r w:rsidR="00835491" w:rsidRPr="007A0E3E">
        <w:rPr>
          <w:rFonts w:ascii="Times New Roman" w:hAnsi="Times New Roman" w:cs="Times New Roman"/>
          <w:sz w:val="20"/>
          <w:szCs w:val="20"/>
        </w:rPr>
        <w:fldChar w:fldCharType="end"/>
      </w:r>
      <w:r w:rsidR="00835491" w:rsidRPr="007A0E3E">
        <w:rPr>
          <w:rFonts w:ascii="Times New Roman" w:hAnsi="Times New Roman" w:cs="Times New Roman"/>
          <w:sz w:val="20"/>
          <w:szCs w:val="20"/>
        </w:rPr>
        <w:t>.</w:t>
      </w:r>
      <w:r w:rsidRPr="007A0E3E">
        <w:rPr>
          <w:rFonts w:ascii="Times New Roman" w:hAnsi="Times New Roman" w:cs="Times New Roman"/>
          <w:sz w:val="20"/>
          <w:szCs w:val="20"/>
        </w:rPr>
        <w:t xml:space="preserve"> P</w:t>
      </w:r>
      <w:r w:rsidR="008E76C6" w:rsidRPr="007A0E3E">
        <w:rPr>
          <w:rFonts w:ascii="Times New Roman" w:hAnsi="Times New Roman" w:cs="Times New Roman"/>
          <w:sz w:val="20"/>
          <w:szCs w:val="20"/>
        </w:rPr>
        <w:t xml:space="preserve">articipants performed a two-choice reaction task in which they were required to respond as quickly as possible to a horizontal left or right pointing arrow (go-signal) by pressing left or right button, respectively, unless it was a stop trial in which the go-signal was followed by an arrow pointing upwards (stop-signal). In 25% of trials (stop trials), the stop-signal was presented after a variable delay after the appearance of the go-signal, the so-called “stop-signal delay”, indicating that participants were required to interrupt the already initiated reaction and to suppress their responses. We used a performance-adjusted stop-signal task in which the initial 250-ms stop-signal delay was continuously adapted to the individual response time of the participant by decreasing or increasing it 50 </w:t>
      </w:r>
      <w:proofErr w:type="spellStart"/>
      <w:r w:rsidR="008E76C6" w:rsidRPr="007A0E3E">
        <w:rPr>
          <w:rFonts w:ascii="Times New Roman" w:hAnsi="Times New Roman" w:cs="Times New Roman"/>
          <w:sz w:val="20"/>
          <w:szCs w:val="20"/>
        </w:rPr>
        <w:t>ms</w:t>
      </w:r>
      <w:proofErr w:type="spellEnd"/>
      <w:r w:rsidR="008E76C6" w:rsidRPr="007A0E3E">
        <w:rPr>
          <w:rFonts w:ascii="Times New Roman" w:hAnsi="Times New Roman" w:cs="Times New Roman"/>
          <w:sz w:val="20"/>
          <w:szCs w:val="20"/>
        </w:rPr>
        <w:t xml:space="preserve"> after a successful or unsuccessful stop trial, respectively, so that an approximately 50% success rate on the stop trials for all participants was achieved. The task included two practice and four experimental blocks consisting of 60 trials (48 go- and 12 stop-trials).</w:t>
      </w:r>
    </w:p>
    <w:p w14:paraId="4CC8ACD2" w14:textId="77777777" w:rsidR="002E4FA3" w:rsidRPr="007A0E3E" w:rsidRDefault="002E4FA3" w:rsidP="005271FD">
      <w:pPr>
        <w:autoSpaceDE w:val="0"/>
        <w:autoSpaceDN w:val="0"/>
        <w:adjustRightInd w:val="0"/>
        <w:spacing w:after="0" w:line="480" w:lineRule="auto"/>
        <w:rPr>
          <w:rFonts w:ascii="Times New Roman" w:hAnsi="Times New Roman" w:cs="Times New Roman"/>
          <w:b/>
          <w:bCs/>
          <w:sz w:val="20"/>
          <w:szCs w:val="20"/>
        </w:rPr>
      </w:pPr>
    </w:p>
    <w:p w14:paraId="5C3EC962" w14:textId="6FC0A6B7" w:rsidR="002E4FA3" w:rsidRPr="007A0E3E" w:rsidRDefault="001C0FA8" w:rsidP="005271FD">
      <w:pPr>
        <w:autoSpaceDE w:val="0"/>
        <w:autoSpaceDN w:val="0"/>
        <w:adjustRightInd w:val="0"/>
        <w:spacing w:after="0" w:line="480" w:lineRule="auto"/>
        <w:rPr>
          <w:rFonts w:ascii="Times New Roman" w:hAnsi="Times New Roman" w:cs="Times New Roman"/>
          <w:b/>
          <w:bCs/>
          <w:sz w:val="20"/>
          <w:szCs w:val="20"/>
        </w:rPr>
      </w:pPr>
      <w:r w:rsidRPr="007A0E3E">
        <w:rPr>
          <w:rFonts w:ascii="Times New Roman" w:hAnsi="Times New Roman" w:cs="Times New Roman"/>
          <w:b/>
          <w:bCs/>
          <w:sz w:val="20"/>
          <w:szCs w:val="20"/>
        </w:rPr>
        <w:t>fMRI acquisition</w:t>
      </w:r>
    </w:p>
    <w:p w14:paraId="7BB0D491" w14:textId="7186D24D" w:rsidR="003725DD" w:rsidRPr="007A0E3E" w:rsidRDefault="001C0FA8" w:rsidP="005271FD">
      <w:pPr>
        <w:autoSpaceDE w:val="0"/>
        <w:autoSpaceDN w:val="0"/>
        <w:adjustRightInd w:val="0"/>
        <w:spacing w:after="0" w:line="480" w:lineRule="auto"/>
        <w:rPr>
          <w:rFonts w:ascii="Times New Roman" w:hAnsi="Times New Roman" w:cs="Times New Roman"/>
          <w:b/>
          <w:bCs/>
          <w:sz w:val="20"/>
          <w:szCs w:val="20"/>
        </w:rPr>
      </w:pPr>
      <w:r w:rsidRPr="007A0E3E">
        <w:rPr>
          <w:rFonts w:ascii="Times New Roman" w:hAnsi="Times New Roman" w:cs="Times New Roman"/>
          <w:sz w:val="20"/>
          <w:szCs w:val="20"/>
        </w:rPr>
        <w:t xml:space="preserve">Data were acquired at two scanning locations on similar 1.5 Tesla Siemens scanners using identical protocols (Siemens Sonata at Vrije Universiteit Amsterdam in Amsterdam, the Netherlands, and Siemens </w:t>
      </w:r>
      <w:proofErr w:type="spellStart"/>
      <w:r w:rsidRPr="007A0E3E">
        <w:rPr>
          <w:rFonts w:ascii="Times New Roman" w:hAnsi="Times New Roman" w:cs="Times New Roman"/>
          <w:sz w:val="20"/>
          <w:szCs w:val="20"/>
        </w:rPr>
        <w:t>Avanto</w:t>
      </w:r>
      <w:proofErr w:type="spellEnd"/>
      <w:r w:rsidRPr="007A0E3E">
        <w:rPr>
          <w:rFonts w:ascii="Times New Roman" w:hAnsi="Times New Roman" w:cs="Times New Roman"/>
          <w:sz w:val="20"/>
          <w:szCs w:val="20"/>
        </w:rPr>
        <w:t xml:space="preserve"> at Radboud University Medical Center in Nijmegen, the Netherlands). The stop-signal paradigm was embedded in a longer scanning session that included other fMRI and structural scans. The stop-signal fMRI data were collected in four subsequent fMRI runs separated by 1-minute breaks using a T2*weighted echo planar imaging sequence (TR=2400 </w:t>
      </w:r>
      <w:proofErr w:type="spellStart"/>
      <w:r w:rsidRPr="007A0E3E">
        <w:rPr>
          <w:rFonts w:ascii="Times New Roman" w:hAnsi="Times New Roman" w:cs="Times New Roman"/>
          <w:sz w:val="20"/>
          <w:szCs w:val="20"/>
        </w:rPr>
        <w:t>ms</w:t>
      </w:r>
      <w:proofErr w:type="spellEnd"/>
      <w:r w:rsidRPr="007A0E3E">
        <w:rPr>
          <w:rFonts w:ascii="Times New Roman" w:hAnsi="Times New Roman" w:cs="Times New Roman"/>
          <w:sz w:val="20"/>
          <w:szCs w:val="20"/>
        </w:rPr>
        <w:t xml:space="preserve">, TE=40 </w:t>
      </w:r>
      <w:proofErr w:type="spellStart"/>
      <w:r w:rsidRPr="007A0E3E">
        <w:rPr>
          <w:rFonts w:ascii="Times New Roman" w:hAnsi="Times New Roman" w:cs="Times New Roman"/>
          <w:sz w:val="20"/>
          <w:szCs w:val="20"/>
        </w:rPr>
        <w:t>ms</w:t>
      </w:r>
      <w:proofErr w:type="spellEnd"/>
      <w:r w:rsidRPr="007A0E3E">
        <w:rPr>
          <w:rFonts w:ascii="Times New Roman" w:hAnsi="Times New Roman" w:cs="Times New Roman"/>
          <w:sz w:val="20"/>
          <w:szCs w:val="20"/>
        </w:rPr>
        <w:t>, FOV=224 mm, voxel size=3x3x3.5 mm, 94 Volumes per block). For spatial localization and normalization, we included each participant’s high resolution MPRAGE T1 scan (TR=2730ms, TE=2.95ms, voxel size=1x1x1mm, FOV=256mm, 76 slices).</w:t>
      </w:r>
    </w:p>
    <w:p w14:paraId="48B0406E" w14:textId="77777777" w:rsidR="002E4FA3" w:rsidRPr="007A0E3E" w:rsidRDefault="002E4FA3" w:rsidP="005271FD">
      <w:pPr>
        <w:pStyle w:val="NoSpacing"/>
        <w:spacing w:line="480" w:lineRule="auto"/>
        <w:jc w:val="both"/>
        <w:rPr>
          <w:rFonts w:ascii="Times New Roman" w:hAnsi="Times New Roman" w:cs="Times New Roman"/>
          <w:b/>
          <w:bCs/>
          <w:sz w:val="20"/>
          <w:szCs w:val="20"/>
        </w:rPr>
      </w:pPr>
    </w:p>
    <w:p w14:paraId="231F8F71" w14:textId="21A16BC6" w:rsidR="001C0FA8" w:rsidRPr="007A0E3E" w:rsidRDefault="001C0FA8" w:rsidP="005271FD">
      <w:pPr>
        <w:pStyle w:val="NoSpacing"/>
        <w:spacing w:line="480" w:lineRule="auto"/>
        <w:jc w:val="both"/>
        <w:rPr>
          <w:rFonts w:ascii="Times New Roman" w:hAnsi="Times New Roman" w:cs="Times New Roman"/>
          <w:b/>
          <w:bCs/>
          <w:sz w:val="20"/>
          <w:szCs w:val="20"/>
        </w:rPr>
      </w:pPr>
      <w:r w:rsidRPr="007A0E3E">
        <w:rPr>
          <w:rFonts w:ascii="Times New Roman" w:hAnsi="Times New Roman" w:cs="Times New Roman"/>
          <w:b/>
          <w:bCs/>
          <w:sz w:val="20"/>
          <w:szCs w:val="20"/>
        </w:rPr>
        <w:t>fMRI preprocessing</w:t>
      </w:r>
    </w:p>
    <w:p w14:paraId="7EAFB605" w14:textId="687E775C" w:rsidR="001C0FA8" w:rsidRPr="007A0E3E" w:rsidRDefault="001C0FA8" w:rsidP="005271FD">
      <w:pPr>
        <w:autoSpaceDE w:val="0"/>
        <w:autoSpaceDN w:val="0"/>
        <w:adjustRightInd w:val="0"/>
        <w:spacing w:after="0" w:line="480" w:lineRule="auto"/>
        <w:jc w:val="both"/>
        <w:rPr>
          <w:rFonts w:ascii="Times New Roman" w:hAnsi="Times New Roman" w:cs="Times New Roman"/>
          <w:sz w:val="20"/>
          <w:szCs w:val="20"/>
        </w:rPr>
      </w:pPr>
      <w:r w:rsidRPr="007A0E3E">
        <w:rPr>
          <w:rFonts w:ascii="Times New Roman" w:hAnsi="Times New Roman" w:cs="Times New Roman"/>
          <w:sz w:val="20"/>
          <w:szCs w:val="20"/>
        </w:rPr>
        <w:t xml:space="preserve">The fMRI data were preprocessed using </w:t>
      </w:r>
      <w:r w:rsidR="00192B20" w:rsidRPr="007A0E3E">
        <w:rPr>
          <w:rFonts w:ascii="Times New Roman" w:hAnsi="Times New Roman" w:cs="Times New Roman"/>
          <w:sz w:val="20"/>
          <w:szCs w:val="20"/>
        </w:rPr>
        <w:t>FSL tools</w:t>
      </w:r>
      <w:r w:rsidRPr="007A0E3E">
        <w:rPr>
          <w:rFonts w:ascii="Times New Roman" w:hAnsi="Times New Roman" w:cs="Times New Roman"/>
          <w:sz w:val="20"/>
          <w:szCs w:val="20"/>
        </w:rPr>
        <w:t xml:space="preserve"> (FMRIB's Software Library, www.fmrib.ox.ac.uk/fsl; fMRI Expert Analysis Tool, version 6.0)</w:t>
      </w:r>
      <w:r w:rsidR="00835491" w:rsidRPr="007A0E3E">
        <w:rPr>
          <w:rFonts w:ascii="Times New Roman" w:hAnsi="Times New Roman" w:cs="Times New Roman"/>
          <w:sz w:val="20"/>
          <w:szCs w:val="20"/>
        </w:rPr>
        <w:t xml:space="preserve"> </w:t>
      </w:r>
      <w:r w:rsidR="00835491" w:rsidRPr="007A0E3E">
        <w:rPr>
          <w:rFonts w:ascii="Times New Roman" w:hAnsi="Times New Roman" w:cs="Times New Roman"/>
          <w:sz w:val="20"/>
          <w:szCs w:val="20"/>
        </w:rPr>
        <w:fldChar w:fldCharType="begin" w:fldLock="1"/>
      </w:r>
      <w:r w:rsidR="00835491" w:rsidRPr="007A0E3E">
        <w:rPr>
          <w:rFonts w:ascii="Times New Roman" w:hAnsi="Times New Roman" w:cs="Times New Roman"/>
          <w:sz w:val="20"/>
          <w:szCs w:val="20"/>
        </w:rPr>
        <w:instrText>ADDIN CSL_CITATION {"citationItems":[{"id":"ITEM-1","itemData":{"DOI":"https://doi.org/10.1016/j.neuroimage.2011.09.015","ISSN":"1053-8119","abstract":"FSL (the FMRIB Software Library) is a comprehensive library of analysis tools for functional, structural and diffusion MRI brain imaging data, written mainly by members of the Analysis Group, FMRIB, Oxford. For this NeuroImage special issue on “20 years of fMRI” we have been asked to write about the history, developments and current status of FSL. We also include some descriptions of parts of FSL that are not well covered in the existing literature. We hope that some of this content might be of interest to users of FSL, and also maybe to new research groups considering creating, releasing and supporting new software packages for brain image analysis.","author":[{"dropping-particle":"","family":"Jenkinson","given":"Mark","non-dropping-particle":"","parse-names":false,"suffix":""},{"dropping-particle":"","family":"Beckmann","given":"Christian F","non-dropping-particle":"","parse-names":false,"suffix":""},{"dropping-particle":"","family":"Behrens","given":"Timothy E J","non-dropping-particle":"","parse-names":false,"suffix":""},{"dropping-particle":"","family":"Woolrich","given":"Mark W","non-dropping-particle":"","parse-names":false,"suffix":""},{"dropping-particle":"","family":"Smith","given":"Stephen M","non-dropping-particle":"","parse-names":false,"suffix":""}],"container-title":"NeuroImage","id":"ITEM-1","issue":"2","issued":{"date-parts":[["2012"]]},"page":"782-790","title":"FSL","type":"article-journal","volume":"62"},"uris":["http://www.mendeley.com/documents/?uuid=4d01ed87-6cb9-33df-aa15-8cd5dc100daa"]}],"mendeley":{"formattedCitation":"[6]","plainTextFormattedCitation":"[6]","previouslyFormattedCitation":"[6]"},"properties":{"noteIndex":0},"schema":"https://github.com/citation-style-language/schema/raw/master/csl-citation.json"}</w:instrText>
      </w:r>
      <w:r w:rsidR="00835491" w:rsidRPr="007A0E3E">
        <w:rPr>
          <w:rFonts w:ascii="Times New Roman" w:hAnsi="Times New Roman" w:cs="Times New Roman"/>
          <w:sz w:val="20"/>
          <w:szCs w:val="20"/>
        </w:rPr>
        <w:fldChar w:fldCharType="separate"/>
      </w:r>
      <w:r w:rsidR="00835491" w:rsidRPr="007A0E3E">
        <w:rPr>
          <w:rFonts w:ascii="Times New Roman" w:hAnsi="Times New Roman" w:cs="Times New Roman"/>
          <w:noProof/>
          <w:sz w:val="20"/>
          <w:szCs w:val="20"/>
        </w:rPr>
        <w:t>[6]</w:t>
      </w:r>
      <w:r w:rsidR="00835491" w:rsidRPr="007A0E3E">
        <w:rPr>
          <w:rFonts w:ascii="Times New Roman" w:hAnsi="Times New Roman" w:cs="Times New Roman"/>
          <w:sz w:val="20"/>
          <w:szCs w:val="20"/>
        </w:rPr>
        <w:fldChar w:fldCharType="end"/>
      </w:r>
      <w:r w:rsidRPr="007A0E3E">
        <w:rPr>
          <w:rFonts w:ascii="Times New Roman" w:hAnsi="Times New Roman" w:cs="Times New Roman"/>
          <w:sz w:val="20"/>
          <w:szCs w:val="20"/>
        </w:rPr>
        <w:t xml:space="preserve">. Preprocessing included removal of the first </w:t>
      </w:r>
      <w:r w:rsidR="0004706C" w:rsidRPr="007A0E3E">
        <w:rPr>
          <w:rFonts w:ascii="Times New Roman" w:hAnsi="Times New Roman" w:cs="Times New Roman"/>
          <w:sz w:val="20"/>
          <w:szCs w:val="20"/>
        </w:rPr>
        <w:t>four</w:t>
      </w:r>
      <w:r w:rsidR="007A40CB" w:rsidRPr="007A0E3E">
        <w:rPr>
          <w:rFonts w:ascii="Times New Roman" w:hAnsi="Times New Roman" w:cs="Times New Roman"/>
          <w:sz w:val="20"/>
          <w:szCs w:val="20"/>
        </w:rPr>
        <w:t xml:space="preserve"> </w:t>
      </w:r>
      <w:r w:rsidRPr="007A0E3E">
        <w:rPr>
          <w:rFonts w:ascii="Times New Roman" w:hAnsi="Times New Roman" w:cs="Times New Roman"/>
          <w:sz w:val="20"/>
          <w:szCs w:val="20"/>
        </w:rPr>
        <w:t xml:space="preserve">volumes of each </w:t>
      </w:r>
      <w:r w:rsidR="0004706C" w:rsidRPr="007A0E3E">
        <w:rPr>
          <w:rFonts w:ascii="Times New Roman" w:hAnsi="Times New Roman" w:cs="Times New Roman"/>
          <w:sz w:val="20"/>
          <w:szCs w:val="20"/>
        </w:rPr>
        <w:t>run to allow magnetization equilibration</w:t>
      </w:r>
      <w:r w:rsidRPr="007A0E3E">
        <w:rPr>
          <w:rFonts w:ascii="Times New Roman" w:hAnsi="Times New Roman" w:cs="Times New Roman"/>
          <w:sz w:val="20"/>
          <w:szCs w:val="20"/>
        </w:rPr>
        <w:t xml:space="preserve">, </w:t>
      </w:r>
      <w:r w:rsidR="0004706C" w:rsidRPr="007A0E3E">
        <w:rPr>
          <w:rFonts w:ascii="Times New Roman" w:hAnsi="Times New Roman" w:cs="Times New Roman"/>
          <w:sz w:val="20"/>
          <w:szCs w:val="20"/>
        </w:rPr>
        <w:t xml:space="preserve">head </w:t>
      </w:r>
      <w:r w:rsidRPr="007A0E3E">
        <w:rPr>
          <w:rFonts w:ascii="Times New Roman" w:hAnsi="Times New Roman" w:cs="Times New Roman"/>
          <w:sz w:val="20"/>
          <w:szCs w:val="20"/>
        </w:rPr>
        <w:t xml:space="preserve">motion correction </w:t>
      </w:r>
      <w:r w:rsidR="0004706C" w:rsidRPr="007A0E3E">
        <w:rPr>
          <w:rFonts w:ascii="Times New Roman" w:hAnsi="Times New Roman" w:cs="Times New Roman"/>
          <w:sz w:val="20"/>
          <w:szCs w:val="20"/>
        </w:rPr>
        <w:t xml:space="preserve">by volume-realignment </w:t>
      </w:r>
      <w:r w:rsidRPr="007A0E3E">
        <w:rPr>
          <w:rFonts w:ascii="Times New Roman" w:hAnsi="Times New Roman" w:cs="Times New Roman"/>
          <w:sz w:val="20"/>
          <w:szCs w:val="20"/>
        </w:rPr>
        <w:t>to the middle volume</w:t>
      </w:r>
      <w:r w:rsidR="0004706C" w:rsidRPr="007A0E3E">
        <w:rPr>
          <w:rFonts w:ascii="Times New Roman" w:hAnsi="Times New Roman" w:cs="Times New Roman"/>
          <w:sz w:val="20"/>
          <w:szCs w:val="20"/>
        </w:rPr>
        <w:t xml:space="preserve"> using </w:t>
      </w:r>
      <w:r w:rsidR="0004706C" w:rsidRPr="007A0E3E">
        <w:rPr>
          <w:rFonts w:ascii="Times New Roman" w:hAnsi="Times New Roman" w:cs="Times New Roman"/>
          <w:sz w:val="20"/>
          <w:szCs w:val="20"/>
        </w:rPr>
        <w:lastRenderedPageBreak/>
        <w:t>MCFLIR</w:t>
      </w:r>
      <w:r w:rsidR="005533DF" w:rsidRPr="007A0E3E">
        <w:rPr>
          <w:rFonts w:ascii="Times New Roman" w:hAnsi="Times New Roman" w:cs="Times New Roman"/>
          <w:sz w:val="20"/>
          <w:szCs w:val="20"/>
        </w:rPr>
        <w:t>T</w:t>
      </w:r>
      <w:r w:rsidR="00835491" w:rsidRPr="007A0E3E">
        <w:rPr>
          <w:rFonts w:ascii="Times New Roman" w:hAnsi="Times New Roman" w:cs="Times New Roman"/>
          <w:sz w:val="20"/>
          <w:szCs w:val="20"/>
        </w:rPr>
        <w:t xml:space="preserve"> </w:t>
      </w:r>
      <w:r w:rsidR="00835491" w:rsidRPr="007A0E3E">
        <w:rPr>
          <w:rFonts w:ascii="Times New Roman" w:hAnsi="Times New Roman" w:cs="Times New Roman"/>
          <w:sz w:val="20"/>
          <w:szCs w:val="20"/>
        </w:rPr>
        <w:fldChar w:fldCharType="begin" w:fldLock="1"/>
      </w:r>
      <w:r w:rsidR="00835491" w:rsidRPr="007A0E3E">
        <w:rPr>
          <w:rFonts w:ascii="Times New Roman" w:hAnsi="Times New Roman" w:cs="Times New Roman"/>
          <w:sz w:val="20"/>
          <w:szCs w:val="20"/>
        </w:rPr>
        <w:instrText>ADDIN CSL_CITATION {"citationItems":[{"id":"ITEM-1","itemData":{"DOI":"10.1016/S1053-8119(02)91132-8","ISSN":"10538119","abstract":"Linear registration and motion correction are important components of structural and functional brain image analysis. Most modern methods optimize some intensity-based cost function to determine the best registration. To date, little attention has been focused on the optimization method itself, even though the success of most registration methods hinges on the quality of this optimization. This paper examines the optimization process in detail and demonstrates that the commonly used multiresolution local optimization methods can, and do, get trapped in local minima. To address this problem, two approaches are taken: (1) to apodize the cost function and (2) to employ a novel hybrid global-local optimization method. This new optimization method is specifically designed for registering whole brain images. It substantially reduces the likelihood of producing misregistrations due to being trapped by local minima. The increased robustness of the method, compared to other commonly used methods, is demonstrated by a consistency test. In addition, the accuracy of the registration is demonstrated by a series of experiments with motion correction. These motion correction experiments also investigate how the results are affected by different cost functions and interpolation methods. © 2002 Elsevier Science (USA).","author":[{"dropping-particle":"","family":"Jenkinson","given":"Mark","non-dropping-particle":"","parse-names":false,"suffix":""},{"dropping-particle":"","family":"Bannister","given":"Peter","non-dropping-particle":"","parse-names":false,"suffix":""},{"dropping-particle":"","family":"Brady","given":"Michael","non-dropping-particle":"","parse-names":false,"suffix":""},{"dropping-particle":"","family":"Smith","given":"Stephen","non-dropping-particle":"","parse-names":false,"suffix":""}],"container-title":"NeuroImage","id":"ITEM-1","issue":"2","issued":{"date-parts":[["2002"]]},"title":"Improved optimization for the robust and accurate linear registration and motion correction of brain images","type":"article-journal","volume":"17"},"uris":["http://www.mendeley.com/documents/?uuid=7cbbe729-a4bb-3abe-8136-c29329b600ec"]}],"mendeley":{"formattedCitation":"[7]","plainTextFormattedCitation":"[7]","previouslyFormattedCitation":"[7]"},"properties":{"noteIndex":0},"schema":"https://github.com/citation-style-language/schema/raw/master/csl-citation.json"}</w:instrText>
      </w:r>
      <w:r w:rsidR="00835491" w:rsidRPr="007A0E3E">
        <w:rPr>
          <w:rFonts w:ascii="Times New Roman" w:hAnsi="Times New Roman" w:cs="Times New Roman"/>
          <w:sz w:val="20"/>
          <w:szCs w:val="20"/>
        </w:rPr>
        <w:fldChar w:fldCharType="separate"/>
      </w:r>
      <w:r w:rsidR="00835491" w:rsidRPr="007A0E3E">
        <w:rPr>
          <w:rFonts w:ascii="Times New Roman" w:hAnsi="Times New Roman" w:cs="Times New Roman"/>
          <w:noProof/>
          <w:sz w:val="20"/>
          <w:szCs w:val="20"/>
        </w:rPr>
        <w:t>[7]</w:t>
      </w:r>
      <w:r w:rsidR="00835491" w:rsidRPr="007A0E3E">
        <w:rPr>
          <w:rFonts w:ascii="Times New Roman" w:hAnsi="Times New Roman" w:cs="Times New Roman"/>
          <w:sz w:val="20"/>
          <w:szCs w:val="20"/>
        </w:rPr>
        <w:fldChar w:fldCharType="end"/>
      </w:r>
      <w:r w:rsidRPr="007A0E3E">
        <w:rPr>
          <w:rFonts w:ascii="Times New Roman" w:hAnsi="Times New Roman" w:cs="Times New Roman"/>
          <w:sz w:val="20"/>
          <w:szCs w:val="20"/>
        </w:rPr>
        <w:t>, slice-timing correction,</w:t>
      </w:r>
      <w:r w:rsidR="0004706C" w:rsidRPr="007A0E3E">
        <w:rPr>
          <w:rFonts w:ascii="Times New Roman" w:hAnsi="Times New Roman" w:cs="Times New Roman"/>
          <w:sz w:val="20"/>
          <w:szCs w:val="20"/>
        </w:rPr>
        <w:t xml:space="preserve"> global 4D mean intensity</w:t>
      </w:r>
      <w:r w:rsidR="007A40CB" w:rsidRPr="007A0E3E">
        <w:rPr>
          <w:rFonts w:ascii="Times New Roman" w:hAnsi="Times New Roman" w:cs="Times New Roman"/>
          <w:sz w:val="20"/>
          <w:szCs w:val="20"/>
        </w:rPr>
        <w:t xml:space="preserve"> </w:t>
      </w:r>
      <w:r w:rsidR="0004706C" w:rsidRPr="007A0E3E">
        <w:rPr>
          <w:rFonts w:ascii="Times New Roman" w:hAnsi="Times New Roman" w:cs="Times New Roman"/>
          <w:sz w:val="20"/>
          <w:szCs w:val="20"/>
        </w:rPr>
        <w:t xml:space="preserve">normalization, </w:t>
      </w:r>
      <w:r w:rsidRPr="007A0E3E">
        <w:rPr>
          <w:rFonts w:ascii="Times New Roman" w:hAnsi="Times New Roman" w:cs="Times New Roman"/>
          <w:sz w:val="20"/>
          <w:szCs w:val="20"/>
        </w:rPr>
        <w:t xml:space="preserve">and spatial smoothing using a 6-mm </w:t>
      </w:r>
      <w:r w:rsidR="0004706C" w:rsidRPr="007A0E3E">
        <w:rPr>
          <w:rFonts w:ascii="Times New Roman" w:hAnsi="Times New Roman" w:cs="Times New Roman"/>
          <w:sz w:val="20"/>
          <w:szCs w:val="20"/>
        </w:rPr>
        <w:t xml:space="preserve">FWHM </w:t>
      </w:r>
      <w:r w:rsidRPr="007A0E3E">
        <w:rPr>
          <w:rFonts w:ascii="Times New Roman" w:hAnsi="Times New Roman" w:cs="Times New Roman"/>
          <w:sz w:val="20"/>
          <w:szCs w:val="20"/>
        </w:rPr>
        <w:t xml:space="preserve">Gaussian kernel. </w:t>
      </w:r>
      <w:r w:rsidR="007A40CB" w:rsidRPr="007A0E3E">
        <w:rPr>
          <w:rFonts w:ascii="Times New Roman" w:hAnsi="Times New Roman" w:cs="Times New Roman"/>
          <w:sz w:val="20"/>
          <w:szCs w:val="20"/>
        </w:rPr>
        <w:t>A</w:t>
      </w:r>
      <w:r w:rsidRPr="007A0E3E">
        <w:rPr>
          <w:rFonts w:ascii="Times New Roman" w:hAnsi="Times New Roman" w:cs="Times New Roman"/>
          <w:sz w:val="20"/>
          <w:szCs w:val="20"/>
        </w:rPr>
        <w:t>dditional motion</w:t>
      </w:r>
      <w:r w:rsidR="0004706C" w:rsidRPr="007A0E3E">
        <w:rPr>
          <w:rFonts w:ascii="Times New Roman" w:hAnsi="Times New Roman" w:cs="Times New Roman"/>
          <w:sz w:val="20"/>
          <w:szCs w:val="20"/>
        </w:rPr>
        <w:t xml:space="preserve">-related </w:t>
      </w:r>
      <w:r w:rsidRPr="007A0E3E">
        <w:rPr>
          <w:rFonts w:ascii="Times New Roman" w:hAnsi="Times New Roman" w:cs="Times New Roman"/>
          <w:sz w:val="20"/>
          <w:szCs w:val="20"/>
        </w:rPr>
        <w:t xml:space="preserve">artifacts were </w:t>
      </w:r>
      <w:r w:rsidR="0004706C" w:rsidRPr="007A0E3E">
        <w:rPr>
          <w:rFonts w:ascii="Times New Roman" w:hAnsi="Times New Roman" w:cs="Times New Roman"/>
          <w:sz w:val="20"/>
          <w:szCs w:val="20"/>
        </w:rPr>
        <w:t xml:space="preserve">detected in single-subject data </w:t>
      </w:r>
      <w:r w:rsidRPr="007A0E3E">
        <w:rPr>
          <w:rFonts w:ascii="Times New Roman" w:hAnsi="Times New Roman" w:cs="Times New Roman"/>
          <w:sz w:val="20"/>
          <w:szCs w:val="20"/>
        </w:rPr>
        <w:t>applying the ICA-AROMA protocol</w:t>
      </w:r>
      <w:r w:rsidR="00835491" w:rsidRPr="007A0E3E">
        <w:rPr>
          <w:rFonts w:ascii="Times New Roman" w:hAnsi="Times New Roman" w:cs="Times New Roman"/>
          <w:sz w:val="20"/>
          <w:szCs w:val="20"/>
        </w:rPr>
        <w:t xml:space="preserve"> </w:t>
      </w:r>
      <w:r w:rsidR="00835491" w:rsidRPr="007A0E3E">
        <w:rPr>
          <w:rFonts w:ascii="Times New Roman" w:hAnsi="Times New Roman" w:cs="Times New Roman"/>
          <w:sz w:val="20"/>
          <w:szCs w:val="20"/>
        </w:rPr>
        <w:fldChar w:fldCharType="begin" w:fldLock="1"/>
      </w:r>
      <w:r w:rsidR="00835491" w:rsidRPr="007A0E3E">
        <w:rPr>
          <w:rFonts w:ascii="Times New Roman" w:hAnsi="Times New Roman" w:cs="Times New Roman"/>
          <w:sz w:val="20"/>
          <w:szCs w:val="20"/>
        </w:rPr>
        <w:instrText>ADDIN CSL_CITATION {"citationItems":[{"id":"ITEM-1","itemData":{"DOI":"10.1016/j.neuroimage.2015.02.064","ISSN":"10959572","abstract":"Head motion during functional MRI (fMRI) scanning can induce spurious findings and/or harm detection of true effects. Solutions have been proposed, including deleting ('scrubbing') or regressing out ('spike regression') motion volumes from fMRI time-series. These strategies remove motion-induced signal variations at the cost of destroying the autocorrelation structure of the fMRI time-series and reducing temporal degrees of freedom. ICA-based fMRI denoising strategies overcome these drawbacks but typically require re-training of a classifier, needing manual labeling of derived components (e.g. ICA-FIX; Salimi-Khorshidi et al. (2014)). Here, we propose an ICA-based strategy for Automatic Removal of Motion Artifacts (ICA-AROMA) that uses a small (n = 4), but robust set of theoretically motivated temporal and spatial features. Our strategy does not require classifier re-training, retains the data's autocorrelation structure and largely preserves temporal degrees of freedom. We describe ICA-AROMA, its implementation, and initial validation. ICA-AROMA identified motion components with high accuracy and robustness as illustrated by leave-N-out cross-validation. We additionally validated ICA-AROMA in resting-state (100 participants) and task-based fMRI data (118 participants). Our approach removed (motion-related) spurious noise from both rfMRI and task-based fMRI data to larger extent than regression using 24 motion parameters or spike regression. Furthermore, ICA-AROMA increased sensitivity to group-level activation. Our results show that ICA-AROMA effectively reduces motion-induced signal variations in fMRI data, is applicable across datasets without requiring classifier re-training, and preserves the temporal characteristics of the fMRI data.","author":[{"dropping-particle":"","family":"Pruim","given":"Raimon H.R.","non-dropping-particle":"","parse-names":false,"suffix":""},{"dropping-particle":"","family":"Mennes","given":"Maarten","non-dropping-particle":"","parse-names":false,"suffix":""},{"dropping-particle":"","family":"Rooij","given":"Daan","non-dropping-particle":"van","parse-names":false,"suffix":""},{"dropping-particle":"","family":"Llera","given":"Alberto","non-dropping-particle":"","parse-names":false,"suffix":""},{"dropping-particle":"","family":"Buitelaar","given":"Jan K.","non-dropping-particle":"","parse-names":false,"suffix":""},{"dropping-particle":"","family":"Beckmann","given":"Christian F.","non-dropping-particle":"","parse-names":false,"suffix":""}],"container-title":"NeuroImage","id":"ITEM-1","issued":{"date-parts":[["2015"]]},"title":"ICA-AROMA: A robust ICA-based strategy for removing motion artifacts from fMRI data","type":"article-journal","volume":"112"},"uris":["http://www.mendeley.com/documents/?uuid=9fb39ba2-c309-330c-92f9-b0a320b06d7c"]}],"mendeley":{"formattedCitation":"[8]","plainTextFormattedCitation":"[8]","previouslyFormattedCitation":"[8]"},"properties":{"noteIndex":0},"schema":"https://github.com/citation-style-language/schema/raw/master/csl-citation.json"}</w:instrText>
      </w:r>
      <w:r w:rsidR="00835491" w:rsidRPr="007A0E3E">
        <w:rPr>
          <w:rFonts w:ascii="Times New Roman" w:hAnsi="Times New Roman" w:cs="Times New Roman"/>
          <w:sz w:val="20"/>
          <w:szCs w:val="20"/>
        </w:rPr>
        <w:fldChar w:fldCharType="separate"/>
      </w:r>
      <w:r w:rsidR="00835491" w:rsidRPr="007A0E3E">
        <w:rPr>
          <w:rFonts w:ascii="Times New Roman" w:hAnsi="Times New Roman" w:cs="Times New Roman"/>
          <w:noProof/>
          <w:sz w:val="20"/>
          <w:szCs w:val="20"/>
        </w:rPr>
        <w:t>[8]</w:t>
      </w:r>
      <w:r w:rsidR="00835491" w:rsidRPr="007A0E3E">
        <w:rPr>
          <w:rFonts w:ascii="Times New Roman" w:hAnsi="Times New Roman" w:cs="Times New Roman"/>
          <w:sz w:val="20"/>
          <w:szCs w:val="20"/>
        </w:rPr>
        <w:fldChar w:fldCharType="end"/>
      </w:r>
      <w:r w:rsidRPr="007A0E3E">
        <w:rPr>
          <w:rFonts w:ascii="Times New Roman" w:hAnsi="Times New Roman" w:cs="Times New Roman"/>
          <w:sz w:val="20"/>
          <w:szCs w:val="20"/>
        </w:rPr>
        <w:t>, which is freely available</w:t>
      </w:r>
      <w:r w:rsidR="0004706C" w:rsidRPr="007A0E3E">
        <w:rPr>
          <w:rFonts w:ascii="Times New Roman" w:hAnsi="Times New Roman" w:cs="Times New Roman"/>
          <w:sz w:val="20"/>
          <w:szCs w:val="20"/>
        </w:rPr>
        <w:t xml:space="preserve"> </w:t>
      </w:r>
      <w:r w:rsidRPr="007A0E3E">
        <w:rPr>
          <w:rFonts w:ascii="Times New Roman" w:hAnsi="Times New Roman" w:cs="Times New Roman"/>
          <w:sz w:val="20"/>
          <w:szCs w:val="20"/>
        </w:rPr>
        <w:t>through GitHub (</w:t>
      </w:r>
      <w:r w:rsidR="0004706C" w:rsidRPr="007A0E3E">
        <w:rPr>
          <w:rFonts w:ascii="Times New Roman" w:hAnsi="Times New Roman" w:cs="Times New Roman"/>
          <w:sz w:val="20"/>
          <w:szCs w:val="20"/>
        </w:rPr>
        <w:t>https://github.com/maartenmennes/ICA-AROMA</w:t>
      </w:r>
      <w:r w:rsidRPr="007A0E3E">
        <w:rPr>
          <w:rFonts w:ascii="Times New Roman" w:hAnsi="Times New Roman" w:cs="Times New Roman"/>
          <w:sz w:val="20"/>
          <w:szCs w:val="20"/>
        </w:rPr>
        <w:t>)</w:t>
      </w:r>
      <w:r w:rsidR="0004706C" w:rsidRPr="007A0E3E">
        <w:rPr>
          <w:rFonts w:ascii="Times New Roman" w:hAnsi="Times New Roman" w:cs="Times New Roman"/>
          <w:sz w:val="20"/>
          <w:szCs w:val="20"/>
        </w:rPr>
        <w:t xml:space="preserve">. </w:t>
      </w:r>
      <w:r w:rsidR="0060406E" w:rsidRPr="007A0E3E">
        <w:rPr>
          <w:rFonts w:ascii="Times New Roman" w:hAnsi="Times New Roman" w:cs="Times New Roman"/>
          <w:sz w:val="20"/>
          <w:szCs w:val="20"/>
        </w:rPr>
        <w:t>Subsequently, mean signals from CSF and white matter were regressed out using subject-level masks obtained by multiplying subject-level CSF and white matter segmentations with the MNI152-based CSF and white matter masks provided as part of FSL. Finally, we applied a 0.01 Hz temporal high-pass filter (Gaussian-weighted least square straight line fit to the data). For each participant, all acquisitions were registered to its high-resolution T1 image using Boundary-Based Registration available in FSL FLIRT</w:t>
      </w:r>
      <w:r w:rsidR="00B22598" w:rsidRPr="007A0E3E">
        <w:rPr>
          <w:rFonts w:ascii="Times New Roman" w:hAnsi="Times New Roman" w:cs="Times New Roman"/>
          <w:sz w:val="20"/>
          <w:szCs w:val="20"/>
          <w:vertAlign w:val="superscript"/>
        </w:rPr>
        <w:t>9</w:t>
      </w:r>
      <w:r w:rsidR="005533DF" w:rsidRPr="007A0E3E">
        <w:rPr>
          <w:rFonts w:ascii="Times New Roman" w:hAnsi="Times New Roman" w:cs="Times New Roman"/>
          <w:sz w:val="20"/>
          <w:szCs w:val="20"/>
        </w:rPr>
        <w:t xml:space="preserve">. </w:t>
      </w:r>
      <w:r w:rsidR="0060406E" w:rsidRPr="007A0E3E">
        <w:rPr>
          <w:rFonts w:ascii="Times New Roman" w:hAnsi="Times New Roman" w:cs="Times New Roman"/>
          <w:sz w:val="20"/>
          <w:szCs w:val="20"/>
        </w:rPr>
        <w:t>All high-resolution T1 images were registered to MNI152 space using 12-dof linear registration available in FLIRT</w:t>
      </w:r>
      <w:r w:rsidR="00835491" w:rsidRPr="007A0E3E">
        <w:rPr>
          <w:rFonts w:ascii="Times New Roman" w:hAnsi="Times New Roman" w:cs="Times New Roman"/>
          <w:sz w:val="20"/>
          <w:szCs w:val="20"/>
        </w:rPr>
        <w:t xml:space="preserve"> </w:t>
      </w:r>
      <w:r w:rsidR="00835491" w:rsidRPr="007A0E3E">
        <w:rPr>
          <w:rFonts w:ascii="Times New Roman" w:hAnsi="Times New Roman" w:cs="Times New Roman"/>
          <w:sz w:val="20"/>
          <w:szCs w:val="20"/>
        </w:rPr>
        <w:fldChar w:fldCharType="begin" w:fldLock="1"/>
      </w:r>
      <w:r w:rsidR="00835491" w:rsidRPr="007A0E3E">
        <w:rPr>
          <w:rFonts w:ascii="Times New Roman" w:hAnsi="Times New Roman" w:cs="Times New Roman"/>
          <w:sz w:val="20"/>
          <w:szCs w:val="20"/>
        </w:rPr>
        <w:instrText>ADDIN CSL_CITATION {"citationItems":[{"id":"ITEM-1","itemData":{"DOI":"10.1016/S1053-8119(02)91132-8","ISSN":"10538119","abstract":"Linear registration and motion correction are important components of structural and functional brain image analysis. Most modern methods optimize some intensity-based cost function to determine the best registration. To date, little attention has been focused on the optimization method itself, even though the success of most registration methods hinges on the quality of this optimization. This paper examines the optimization process in detail and demonstrates that the commonly used multiresolution local optimization methods can, and do, get trapped in local minima. To address this problem, two approaches are taken: (1) to apodize the cost function and (2) to employ a novel hybrid global-local optimization method. This new optimization method is specifically designed for registering whole brain images. It substantially reduces the likelihood of producing misregistrations due to being trapped by local minima. The increased robustness of the method, compared to other commonly used methods, is demonstrated by a consistency test. In addition, the accuracy of the registration is demonstrated by a series of experiments with motion correction. These motion correction experiments also investigate how the results are affected by different cost functions and interpolation methods. © 2002 Elsevier Science (USA).","author":[{"dropping-particle":"","family":"Jenkinson","given":"Mark","non-dropping-particle":"","parse-names":false,"suffix":""},{"dropping-particle":"","family":"Bannister","given":"Peter","non-dropping-particle":"","parse-names":false,"suffix":""},{"dropping-particle":"","family":"Brady","given":"Michael","non-dropping-particle":"","parse-names":false,"suffix":""},{"dropping-particle":"","family":"Smith","given":"Stephen","non-dropping-particle":"","parse-names":false,"suffix":""}],"container-title":"NeuroImage","id":"ITEM-1","issue":"2","issued":{"date-parts":[["2002"]]},"title":"Improved optimization for the robust and accurate linear registration and motion correction of brain images","type":"article-journal","volume":"17"},"uris":["http://www.mendeley.com/documents/?uuid=7cbbe729-a4bb-3abe-8136-c29329b600ec"]},{"id":"ITEM-2","itemData":{"DOI":"10.1016/j.neuroimage.2009.06.060","ISSN":"10538119","abstract":"The fine spatial scales of the structures in the human brain represent an enormous challenge to the successful integration of information from different images for both within- and between-subject analysis. While many algorithms to register image pairs from the same subject exist, visual inspection shows that their accuracy and robustness to be suspect, particularly when there are strong intensity gradients and/or only part of the brain is imaged. This paper introduces a new algorithm called Boundary-Based Registration, or BBR. The novelty of BBR is that it treats the two images very differently. The reference image must be of sufficient resolution and quality to extract surfaces that separate tissue types. The input image is then aligned to the reference by maximizing the intensity gradient across tissue boundaries. Several lower quality images can be aligned through their alignment with the reference. Visual inspection and fMRI results show that BBR is more accurate than correlation ratio or normalized mutual information and is considerably more robust to even strong intensity inhomogeneities. BBR also excels at aligning partial-brain images to whole-brain images, a domain in which existing registration algorithms frequently fail. Even in the limit of registering a single slice, we show the BBR results to be robust and accurate. © 2009 Elsevier Inc. All rights reserved.","author":[{"dropping-particle":"","family":"Greve","given":"Douglas N.","non-dropping-particle":"","parse-names":false,"suffix":""},{"dropping-particle":"","family":"Fischl","given":"Bruce","non-dropping-particle":"","parse-names":false,"suffix":""}],"container-title":"NeuroImage","id":"ITEM-2","issue":"1","issued":{"date-parts":[["2009"]]},"title":"Accurate and robust brain image alignment using boundary-based registration","type":"article-journal","volume":"48"},"uris":["http://www.mendeley.com/documents/?uuid=ddc60b2a-4554-3956-8c16-09f0c139969e"]},{"id":"ITEM-3","itemData":{"DOI":"10.1016/S1361-8415(01)00036-6","ISSN":"13618415","abstract":"Registration is an important component of medical image analysis and for analysing large amounts of data it is desirable to have fully automatic registration methods. Many different automatic registration methods have been proposed to date, and almost all share a common mathematical framework - one of optimising a cost function. To date little attention has been focused on the optimisation method itself, even though the success of most registration methods hinges on the quality of this optimisation. This paper examines the assumptions underlying the problem of registration for brain images using inter-modal voxel similarity measures. It is demonstrated that the use of local optimisation methods together with the standard multi-resolution approach is not sufficient to reliably find the global minimum. To address this problem, a global optimisation method is proposed that is specifically tailored to this form of registration. A full discussion of all the necessary implementation details is included as this is an important part of any practical method. Furthermore, results are presented for inter-modal, inter-subject registration experiments that show that the proposed method is more reliable at finding the global minimum than several of the currently available registration packages in common usage. © 2001 Elsevier Science B.V. All rights reserved.","author":[{"dropping-particle":"","family":"Jenkinson","given":"Mark","non-dropping-particle":"","parse-names":false,"suffix":""},{"dropping-particle":"","family":"Smith","given":"Stephen","non-dropping-particle":"","parse-names":false,"suffix":""}],"container-title":"Medical Image Analysis","id":"ITEM-3","issue":"2","issued":{"date-parts":[["2001"]]},"title":"A global optimisation method for robust affine registration of brain images","type":"article-journal","volume":"5"},"uris":["http://www.mendeley.com/documents/?uuid=f0f9df67-dcd8-3024-8edc-3c6a41bd4a4e"]}],"mendeley":{"formattedCitation":"[7, 9, 10]","plainTextFormattedCitation":"[7, 9, 10]","previouslyFormattedCitation":"[7, 9, 10]"},"properties":{"noteIndex":0},"schema":"https://github.com/citation-style-language/schema/raw/master/csl-citation.json"}</w:instrText>
      </w:r>
      <w:r w:rsidR="00835491" w:rsidRPr="007A0E3E">
        <w:rPr>
          <w:rFonts w:ascii="Times New Roman" w:hAnsi="Times New Roman" w:cs="Times New Roman"/>
          <w:sz w:val="20"/>
          <w:szCs w:val="20"/>
        </w:rPr>
        <w:fldChar w:fldCharType="separate"/>
      </w:r>
      <w:r w:rsidR="00835491" w:rsidRPr="007A0E3E">
        <w:rPr>
          <w:rFonts w:ascii="Times New Roman" w:hAnsi="Times New Roman" w:cs="Times New Roman"/>
          <w:noProof/>
          <w:sz w:val="20"/>
          <w:szCs w:val="20"/>
        </w:rPr>
        <w:t>[7, 9, 10]</w:t>
      </w:r>
      <w:r w:rsidR="00835491" w:rsidRPr="007A0E3E">
        <w:rPr>
          <w:rFonts w:ascii="Times New Roman" w:hAnsi="Times New Roman" w:cs="Times New Roman"/>
          <w:sz w:val="20"/>
          <w:szCs w:val="20"/>
        </w:rPr>
        <w:fldChar w:fldCharType="end"/>
      </w:r>
      <w:r w:rsidR="00192B20" w:rsidRPr="007A0E3E">
        <w:rPr>
          <w:rFonts w:ascii="Times New Roman" w:hAnsi="Times New Roman" w:cs="Times New Roman"/>
          <w:sz w:val="20"/>
          <w:szCs w:val="20"/>
        </w:rPr>
        <w:t>,</w:t>
      </w:r>
      <w:r w:rsidR="0060406E" w:rsidRPr="007A0E3E">
        <w:rPr>
          <w:rFonts w:ascii="Times New Roman" w:hAnsi="Times New Roman" w:cs="Times New Roman"/>
          <w:sz w:val="20"/>
          <w:szCs w:val="20"/>
        </w:rPr>
        <w:t xml:space="preserve"> and further refined using non-linear registration available in FSL FNIRT</w:t>
      </w:r>
      <w:r w:rsidR="00835491" w:rsidRPr="007A0E3E">
        <w:rPr>
          <w:rFonts w:ascii="Times New Roman" w:hAnsi="Times New Roman" w:cs="Times New Roman"/>
          <w:sz w:val="20"/>
          <w:szCs w:val="20"/>
        </w:rPr>
        <w:t xml:space="preserve"> </w:t>
      </w:r>
      <w:r w:rsidR="00835491" w:rsidRPr="007A0E3E">
        <w:rPr>
          <w:rFonts w:ascii="Times New Roman" w:hAnsi="Times New Roman" w:cs="Times New Roman"/>
          <w:sz w:val="20"/>
          <w:szCs w:val="20"/>
        </w:rPr>
        <w:fldChar w:fldCharType="begin" w:fldLock="1"/>
      </w:r>
      <w:r w:rsidR="00835491" w:rsidRPr="007A0E3E">
        <w:rPr>
          <w:rFonts w:ascii="Times New Roman" w:hAnsi="Times New Roman" w:cs="Times New Roman"/>
          <w:sz w:val="20"/>
          <w:szCs w:val="20"/>
        </w:rPr>
        <w:instrText>ADDIN CSL_CITATION {"citationItems":[{"id":"ITEM-1","itemData":{"author":[{"dropping-particle":"","family":"Anderson","given":"JLR","non-dropping-particle":"","parse-names":false,"suffix":""},{"dropping-particle":"","family":"Jenkinson","given":"M","non-dropping-particle":"","parse-names":false,"suffix":""},{"dropping-particle":"","family":"Smith","given":"S","non-dropping-particle":"","parse-names":false,"suffix":""}],"id":"ITEM-1","issued":{"date-parts":[["2007"]]},"title":"Non-linear registration aka Spatial normalisation. FMRIB Technical Report TR07JA2","type":"report"},"uris":["http://www.mendeley.com/documents/?uuid=50c00a7a-3c2d-3d75-89a3-3bf41b5086bf"]}],"mendeley":{"formattedCitation":"[11]","plainTextFormattedCitation":"[11]","previouslyFormattedCitation":"[11]"},"properties":{"noteIndex":0},"schema":"https://github.com/citation-style-language/schema/raw/master/csl-citation.json"}</w:instrText>
      </w:r>
      <w:r w:rsidR="00835491" w:rsidRPr="007A0E3E">
        <w:rPr>
          <w:rFonts w:ascii="Times New Roman" w:hAnsi="Times New Roman" w:cs="Times New Roman"/>
          <w:sz w:val="20"/>
          <w:szCs w:val="20"/>
        </w:rPr>
        <w:fldChar w:fldCharType="separate"/>
      </w:r>
      <w:r w:rsidR="00835491" w:rsidRPr="007A0E3E">
        <w:rPr>
          <w:rFonts w:ascii="Times New Roman" w:hAnsi="Times New Roman" w:cs="Times New Roman"/>
          <w:noProof/>
          <w:sz w:val="20"/>
          <w:szCs w:val="20"/>
        </w:rPr>
        <w:t>[11]</w:t>
      </w:r>
      <w:r w:rsidR="00835491" w:rsidRPr="007A0E3E">
        <w:rPr>
          <w:rFonts w:ascii="Times New Roman" w:hAnsi="Times New Roman" w:cs="Times New Roman"/>
          <w:sz w:val="20"/>
          <w:szCs w:val="20"/>
        </w:rPr>
        <w:fldChar w:fldCharType="end"/>
      </w:r>
      <w:r w:rsidR="005271FD" w:rsidRPr="007A0E3E">
        <w:rPr>
          <w:rFonts w:ascii="Times New Roman" w:hAnsi="Times New Roman" w:cs="Times New Roman"/>
          <w:sz w:val="20"/>
          <w:szCs w:val="20"/>
        </w:rPr>
        <w:t>.</w:t>
      </w:r>
    </w:p>
    <w:p w14:paraId="3F4D7F94" w14:textId="77777777" w:rsidR="002E4FA3" w:rsidRPr="007A0E3E" w:rsidRDefault="002E4FA3" w:rsidP="005271FD">
      <w:pPr>
        <w:autoSpaceDE w:val="0"/>
        <w:autoSpaceDN w:val="0"/>
        <w:adjustRightInd w:val="0"/>
        <w:spacing w:after="0" w:line="480" w:lineRule="auto"/>
        <w:jc w:val="both"/>
        <w:rPr>
          <w:rFonts w:ascii="Times New Roman" w:hAnsi="Times New Roman" w:cs="Times New Roman"/>
          <w:b/>
          <w:bCs/>
          <w:sz w:val="20"/>
          <w:szCs w:val="20"/>
        </w:rPr>
      </w:pPr>
    </w:p>
    <w:p w14:paraId="7B39A588" w14:textId="2CA489F6" w:rsidR="008E76C6" w:rsidRPr="007A0E3E" w:rsidRDefault="00A13971" w:rsidP="005271FD">
      <w:pPr>
        <w:autoSpaceDE w:val="0"/>
        <w:autoSpaceDN w:val="0"/>
        <w:adjustRightInd w:val="0"/>
        <w:spacing w:after="0" w:line="480" w:lineRule="auto"/>
        <w:jc w:val="both"/>
        <w:rPr>
          <w:rFonts w:ascii="Times New Roman" w:hAnsi="Times New Roman" w:cs="Times New Roman"/>
          <w:b/>
          <w:bCs/>
          <w:sz w:val="20"/>
          <w:szCs w:val="20"/>
        </w:rPr>
      </w:pPr>
      <w:r w:rsidRPr="007A0E3E">
        <w:rPr>
          <w:rFonts w:ascii="Times New Roman" w:hAnsi="Times New Roman" w:cs="Times New Roman"/>
          <w:b/>
          <w:bCs/>
          <w:sz w:val="20"/>
          <w:szCs w:val="20"/>
        </w:rPr>
        <w:t>Multiple testing correction using false discovery rate</w:t>
      </w:r>
    </w:p>
    <w:p w14:paraId="5F6E3112" w14:textId="65C80604" w:rsidR="00A13971" w:rsidRPr="007A0E3E" w:rsidRDefault="00A13971" w:rsidP="005271FD">
      <w:pPr>
        <w:autoSpaceDE w:val="0"/>
        <w:autoSpaceDN w:val="0"/>
        <w:adjustRightInd w:val="0"/>
        <w:spacing w:after="0" w:line="480" w:lineRule="auto"/>
        <w:jc w:val="both"/>
        <w:rPr>
          <w:rFonts w:ascii="Times New Roman" w:hAnsi="Times New Roman" w:cs="Times New Roman"/>
          <w:sz w:val="20"/>
          <w:szCs w:val="20"/>
        </w:rPr>
      </w:pPr>
      <w:r w:rsidRPr="007A0E3E">
        <w:rPr>
          <w:rFonts w:ascii="Times New Roman" w:hAnsi="Times New Roman" w:cs="Times New Roman"/>
          <w:sz w:val="20"/>
          <w:szCs w:val="20"/>
        </w:rPr>
        <w:t>A false discovery rate (FDR)</w:t>
      </w:r>
      <w:r w:rsidR="00835491" w:rsidRPr="007A0E3E">
        <w:rPr>
          <w:rFonts w:ascii="Times New Roman" w:hAnsi="Times New Roman" w:cs="Times New Roman"/>
          <w:sz w:val="20"/>
          <w:szCs w:val="20"/>
        </w:rPr>
        <w:t xml:space="preserve"> </w:t>
      </w:r>
      <w:r w:rsidR="00835491" w:rsidRPr="007A0E3E">
        <w:rPr>
          <w:rFonts w:ascii="Times New Roman" w:hAnsi="Times New Roman" w:cs="Times New Roman"/>
          <w:sz w:val="20"/>
          <w:szCs w:val="20"/>
        </w:rPr>
        <w:fldChar w:fldCharType="begin" w:fldLock="1"/>
      </w:r>
      <w:r w:rsidR="00835491" w:rsidRPr="007A0E3E">
        <w:rPr>
          <w:rFonts w:ascii="Times New Roman" w:hAnsi="Times New Roman" w:cs="Times New Roman"/>
          <w:sz w:val="20"/>
          <w:szCs w:val="20"/>
        </w:rPr>
        <w:instrText>ADDIN CSL_CITATION {"citationItems":[{"id":"ITEM-1","itemData":{"DOI":"https://doi.org/10.1111/j.2517-6161.1995.tb02031.x","ISSN":"0035-9246","abstract":"SUMMARY The common approach to the multiplicity problem calls for controlling the familywise error rate (FWER). This approach, though, has faults, and we point out a few. A different approach to problems of multiple significance testing is presented. It calls for controlling the expected proportion of falsely rejected hypotheses ? the false discovery rate. This error rate is equivalent to the FWER when all hypotheses are true but is smaller otherwise. Therefore, in problems where the control of the false discovery rate rather than that of the FWER is desired, there is potential for a gain in power. A simple sequential Bonferronitype procedure is proved to control the false discovery rate for independent test statistics, and a simulation study shows that the gain in power is substantial. The use of the new procedure and the appropriateness of the criterion are illustrated with examples.","author":[{"dropping-particle":"","family":"Benjamini","given":"Yoav","non-dropping-particle":"","parse-names":false,"suffix":""},{"dropping-particle":"","family":"Hochberg","given":"Yosef","non-dropping-particle":"","parse-names":false,"suffix":""}],"container-title":"Journal of the Royal Statistical Society: Series B (Methodological)","id":"ITEM-1","issue":"1","issued":{"date-parts":[["1995","1","1"]]},"note":"https://doi.org/10.1111/j.2517-6161.1995.tb02031.x","page":"289-300","publisher":"John Wiley &amp; Sons, Ltd","title":"Controlling the False Discovery Rate: A Practical and Powerful Approach to Multiple Testing","type":"article-journal","volume":"57"},"uris":["http://www.mendeley.com/documents/?uuid=d5ab1420-8a3f-3edb-8937-425662dc9718"]}],"mendeley":{"formattedCitation":"[12]","plainTextFormattedCitation":"[12]","previouslyFormattedCitation":"[12]"},"properties":{"noteIndex":0},"schema":"https://github.com/citation-style-language/schema/raw/master/csl-citation.json"}</w:instrText>
      </w:r>
      <w:r w:rsidR="00835491" w:rsidRPr="007A0E3E">
        <w:rPr>
          <w:rFonts w:ascii="Times New Roman" w:hAnsi="Times New Roman" w:cs="Times New Roman"/>
          <w:sz w:val="20"/>
          <w:szCs w:val="20"/>
        </w:rPr>
        <w:fldChar w:fldCharType="separate"/>
      </w:r>
      <w:r w:rsidR="00835491" w:rsidRPr="007A0E3E">
        <w:rPr>
          <w:rFonts w:ascii="Times New Roman" w:hAnsi="Times New Roman" w:cs="Times New Roman"/>
          <w:noProof/>
          <w:sz w:val="20"/>
          <w:szCs w:val="20"/>
        </w:rPr>
        <w:t>[12]</w:t>
      </w:r>
      <w:r w:rsidR="00835491" w:rsidRPr="007A0E3E">
        <w:rPr>
          <w:rFonts w:ascii="Times New Roman" w:hAnsi="Times New Roman" w:cs="Times New Roman"/>
          <w:sz w:val="20"/>
          <w:szCs w:val="20"/>
        </w:rPr>
        <w:fldChar w:fldCharType="end"/>
      </w:r>
      <w:r w:rsidR="005271FD" w:rsidRPr="007A0E3E">
        <w:rPr>
          <w:rFonts w:ascii="Times New Roman" w:hAnsi="Times New Roman" w:cs="Times New Roman"/>
          <w:sz w:val="20"/>
          <w:szCs w:val="20"/>
        </w:rPr>
        <w:t xml:space="preserve"> </w:t>
      </w:r>
      <w:r w:rsidRPr="007A0E3E">
        <w:rPr>
          <w:rFonts w:ascii="Times New Roman" w:hAnsi="Times New Roman" w:cs="Times New Roman"/>
          <w:sz w:val="20"/>
          <w:szCs w:val="20"/>
        </w:rPr>
        <w:t>was applied to correct for multiple testing.</w:t>
      </w:r>
    </w:p>
    <w:p w14:paraId="6B35B95E" w14:textId="7C77B4D5" w:rsidR="00A13971" w:rsidRPr="007A0E3E" w:rsidRDefault="002E4FA3" w:rsidP="005271FD">
      <w:pPr>
        <w:spacing w:after="0" w:line="480" w:lineRule="auto"/>
        <w:ind w:left="360"/>
        <w:rPr>
          <w:rFonts w:ascii="Times New Roman" w:hAnsi="Times New Roman" w:cs="Times New Roman"/>
          <w:sz w:val="20"/>
          <w:szCs w:val="20"/>
        </w:rPr>
      </w:pPr>
      <w:r w:rsidRPr="007A0E3E">
        <w:rPr>
          <w:rFonts w:ascii="Times New Roman" w:hAnsi="Times New Roman" w:cs="Times New Roman"/>
          <w:sz w:val="20"/>
          <w:szCs w:val="20"/>
        </w:rPr>
        <w:t xml:space="preserve">1) </w:t>
      </w:r>
      <w:r w:rsidR="00A13971" w:rsidRPr="007A0E3E">
        <w:rPr>
          <w:rFonts w:ascii="Times New Roman" w:hAnsi="Times New Roman" w:cs="Times New Roman"/>
          <w:sz w:val="20"/>
          <w:szCs w:val="20"/>
        </w:rPr>
        <w:t>The associations between PRS-ADHD and ADHD symptom</w:t>
      </w:r>
      <w:r w:rsidRPr="007A0E3E">
        <w:rPr>
          <w:rFonts w:ascii="Times New Roman" w:hAnsi="Times New Roman" w:cs="Times New Roman"/>
          <w:sz w:val="20"/>
          <w:szCs w:val="20"/>
        </w:rPr>
        <w:t xml:space="preserve">s: </w:t>
      </w:r>
      <w:r w:rsidR="00A13971" w:rsidRPr="007A0E3E">
        <w:rPr>
          <w:rFonts w:ascii="Times New Roman" w:hAnsi="Times New Roman" w:cs="Times New Roman"/>
          <w:sz w:val="20"/>
          <w:szCs w:val="20"/>
        </w:rPr>
        <w:t>The FDR was applied</w:t>
      </w:r>
      <w:r w:rsidRPr="007A0E3E">
        <w:rPr>
          <w:rFonts w:ascii="Times New Roman" w:hAnsi="Times New Roman" w:cs="Times New Roman"/>
          <w:sz w:val="20"/>
          <w:szCs w:val="20"/>
        </w:rPr>
        <w:t xml:space="preserve"> </w:t>
      </w:r>
      <w:r w:rsidR="00A13971" w:rsidRPr="007A0E3E">
        <w:rPr>
          <w:rFonts w:ascii="Times New Roman" w:hAnsi="Times New Roman" w:cs="Times New Roman"/>
          <w:sz w:val="20"/>
          <w:szCs w:val="20"/>
        </w:rPr>
        <w:t xml:space="preserve">to correct for multiple testing (N=30) for PRS-ADHD at all </w:t>
      </w:r>
      <w:r w:rsidR="00A13971" w:rsidRPr="007A0E3E">
        <w:rPr>
          <w:rFonts w:ascii="Times New Roman" w:hAnsi="Times New Roman" w:cs="Times New Roman"/>
          <w:i/>
          <w:iCs/>
          <w:sz w:val="20"/>
          <w:szCs w:val="20"/>
        </w:rPr>
        <w:t>p-value</w:t>
      </w:r>
      <w:r w:rsidR="00A13971" w:rsidRPr="007A0E3E">
        <w:rPr>
          <w:rFonts w:ascii="Times New Roman" w:hAnsi="Times New Roman" w:cs="Times New Roman"/>
          <w:sz w:val="20"/>
          <w:szCs w:val="20"/>
        </w:rPr>
        <w:t xml:space="preserve"> thresholds across all three symptom scales (10 PRS-ADHD </w:t>
      </w:r>
      <w:r w:rsidR="00A13971" w:rsidRPr="007A0E3E">
        <w:rPr>
          <w:rFonts w:ascii="Times New Roman" w:hAnsi="Times New Roman" w:cs="Times New Roman"/>
          <w:i/>
          <w:iCs/>
          <w:sz w:val="20"/>
          <w:szCs w:val="20"/>
        </w:rPr>
        <w:t xml:space="preserve">p-value </w:t>
      </w:r>
      <w:r w:rsidR="00A13971" w:rsidRPr="007A0E3E">
        <w:rPr>
          <w:rFonts w:ascii="Times New Roman" w:hAnsi="Times New Roman" w:cs="Times New Roman"/>
          <w:sz w:val="20"/>
          <w:szCs w:val="20"/>
        </w:rPr>
        <w:t>thresholds x 3 symptom scales).</w:t>
      </w:r>
    </w:p>
    <w:p w14:paraId="496E5FEC" w14:textId="043F0D52" w:rsidR="00A13971" w:rsidRPr="007A0E3E" w:rsidRDefault="00A13971" w:rsidP="005271FD">
      <w:pPr>
        <w:spacing w:after="0" w:line="480" w:lineRule="auto"/>
        <w:ind w:left="360"/>
        <w:rPr>
          <w:rFonts w:ascii="Times New Roman" w:hAnsi="Times New Roman" w:cs="Times New Roman"/>
          <w:sz w:val="20"/>
          <w:szCs w:val="20"/>
        </w:rPr>
      </w:pPr>
      <w:r w:rsidRPr="007A0E3E">
        <w:rPr>
          <w:rFonts w:ascii="Times New Roman" w:hAnsi="Times New Roman" w:cs="Times New Roman"/>
          <w:sz w:val="20"/>
          <w:szCs w:val="20"/>
        </w:rPr>
        <w:t>2a) The associations between PRS-ADHD and behavioral correlates of response inhibition</w:t>
      </w:r>
      <w:r w:rsidR="002E4FA3" w:rsidRPr="007A0E3E">
        <w:rPr>
          <w:rFonts w:ascii="Times New Roman" w:hAnsi="Times New Roman" w:cs="Times New Roman"/>
          <w:sz w:val="20"/>
          <w:szCs w:val="20"/>
        </w:rPr>
        <w:t xml:space="preserve">: </w:t>
      </w:r>
      <w:r w:rsidRPr="007A0E3E">
        <w:rPr>
          <w:rFonts w:ascii="Times New Roman" w:hAnsi="Times New Roman" w:cs="Times New Roman"/>
          <w:sz w:val="20"/>
          <w:szCs w:val="20"/>
        </w:rPr>
        <w:t xml:space="preserve">The FDR was applied to correct for multiple testing (N=3) for PRS-ADHD at </w:t>
      </w:r>
      <w:r w:rsidRPr="007A0E3E">
        <w:rPr>
          <w:rFonts w:ascii="Times New Roman" w:hAnsi="Times New Roman" w:cs="Times New Roman"/>
          <w:i/>
          <w:iCs/>
          <w:sz w:val="20"/>
          <w:szCs w:val="20"/>
        </w:rPr>
        <w:t>p-value</w:t>
      </w:r>
      <w:r w:rsidRPr="007A0E3E">
        <w:rPr>
          <w:rFonts w:ascii="Times New Roman" w:hAnsi="Times New Roman" w:cs="Times New Roman"/>
          <w:sz w:val="20"/>
          <w:szCs w:val="20"/>
        </w:rPr>
        <w:t xml:space="preserve"> threshold = 1 across all three behavioral outcomes (1 PRS-ADHD </w:t>
      </w:r>
      <w:r w:rsidRPr="007A0E3E">
        <w:rPr>
          <w:rFonts w:ascii="Times New Roman" w:hAnsi="Times New Roman" w:cs="Times New Roman"/>
          <w:i/>
          <w:iCs/>
          <w:sz w:val="20"/>
          <w:szCs w:val="20"/>
        </w:rPr>
        <w:t>p-value</w:t>
      </w:r>
      <w:r w:rsidRPr="007A0E3E">
        <w:rPr>
          <w:rFonts w:ascii="Times New Roman" w:hAnsi="Times New Roman" w:cs="Times New Roman"/>
          <w:sz w:val="20"/>
          <w:szCs w:val="20"/>
        </w:rPr>
        <w:t xml:space="preserve"> threshold x 3 behavioral outcomes).</w:t>
      </w:r>
    </w:p>
    <w:p w14:paraId="7B5F783A" w14:textId="73356EDC" w:rsidR="00A13971" w:rsidRPr="007A0E3E" w:rsidRDefault="00A13971" w:rsidP="005271FD">
      <w:pPr>
        <w:spacing w:after="0" w:line="480" w:lineRule="auto"/>
        <w:ind w:left="360"/>
        <w:rPr>
          <w:rFonts w:ascii="Times New Roman" w:hAnsi="Times New Roman" w:cs="Times New Roman"/>
          <w:sz w:val="20"/>
          <w:szCs w:val="20"/>
        </w:rPr>
      </w:pPr>
      <w:r w:rsidRPr="007A0E3E">
        <w:rPr>
          <w:rFonts w:ascii="Times New Roman" w:hAnsi="Times New Roman" w:cs="Times New Roman"/>
          <w:sz w:val="20"/>
          <w:szCs w:val="20"/>
        </w:rPr>
        <w:t>2b) The associations between PRS-ADHD and neural correlates of response inhibition</w:t>
      </w:r>
      <w:r w:rsidR="002E4FA3" w:rsidRPr="007A0E3E">
        <w:rPr>
          <w:rFonts w:ascii="Times New Roman" w:hAnsi="Times New Roman" w:cs="Times New Roman"/>
          <w:sz w:val="20"/>
          <w:szCs w:val="20"/>
        </w:rPr>
        <w:t xml:space="preserve">: </w:t>
      </w:r>
      <w:r w:rsidRPr="007A0E3E">
        <w:rPr>
          <w:rFonts w:ascii="Times New Roman" w:hAnsi="Times New Roman" w:cs="Times New Roman"/>
          <w:sz w:val="20"/>
          <w:szCs w:val="20"/>
        </w:rPr>
        <w:t xml:space="preserve">The FDR was applied to correct for multiple testing (N=5) for PRS-ADHD at </w:t>
      </w:r>
      <w:r w:rsidRPr="007A0E3E">
        <w:rPr>
          <w:rFonts w:ascii="Times New Roman" w:hAnsi="Times New Roman" w:cs="Times New Roman"/>
          <w:i/>
          <w:iCs/>
          <w:sz w:val="20"/>
          <w:szCs w:val="20"/>
        </w:rPr>
        <w:t>p-value</w:t>
      </w:r>
      <w:r w:rsidRPr="007A0E3E">
        <w:rPr>
          <w:rFonts w:ascii="Times New Roman" w:hAnsi="Times New Roman" w:cs="Times New Roman"/>
          <w:sz w:val="20"/>
          <w:szCs w:val="20"/>
        </w:rPr>
        <w:t xml:space="preserve"> threshold = 1 across all five clusters found to be significantly associated with PRS-ADHD (1 PRS-ADHD </w:t>
      </w:r>
      <w:r w:rsidRPr="007A0E3E">
        <w:rPr>
          <w:rFonts w:ascii="Times New Roman" w:hAnsi="Times New Roman" w:cs="Times New Roman"/>
          <w:i/>
          <w:iCs/>
          <w:sz w:val="20"/>
          <w:szCs w:val="20"/>
        </w:rPr>
        <w:t>p-value</w:t>
      </w:r>
      <w:r w:rsidRPr="007A0E3E">
        <w:rPr>
          <w:rFonts w:ascii="Times New Roman" w:hAnsi="Times New Roman" w:cs="Times New Roman"/>
          <w:sz w:val="20"/>
          <w:szCs w:val="20"/>
        </w:rPr>
        <w:t xml:space="preserve"> threshold x 5 neural clusters).</w:t>
      </w:r>
    </w:p>
    <w:p w14:paraId="52B11139" w14:textId="31D41C69" w:rsidR="00A13971" w:rsidRPr="007A0E3E" w:rsidRDefault="00A13971" w:rsidP="005271FD">
      <w:pPr>
        <w:spacing w:after="0" w:line="480" w:lineRule="auto"/>
        <w:ind w:left="360"/>
        <w:rPr>
          <w:rFonts w:ascii="Times New Roman" w:hAnsi="Times New Roman" w:cs="Times New Roman"/>
          <w:sz w:val="20"/>
          <w:szCs w:val="20"/>
        </w:rPr>
      </w:pPr>
      <w:r w:rsidRPr="007A0E3E">
        <w:rPr>
          <w:rFonts w:ascii="Times New Roman" w:hAnsi="Times New Roman" w:cs="Times New Roman"/>
          <w:sz w:val="20"/>
          <w:szCs w:val="20"/>
        </w:rPr>
        <w:t>3a) The associations between behavioral correlates of response inhibition and ADHD symptoms, controlling for PRS-ADHD</w:t>
      </w:r>
      <w:r w:rsidR="002E4FA3" w:rsidRPr="007A0E3E">
        <w:rPr>
          <w:rFonts w:ascii="Times New Roman" w:hAnsi="Times New Roman" w:cs="Times New Roman"/>
          <w:sz w:val="20"/>
          <w:szCs w:val="20"/>
        </w:rPr>
        <w:t xml:space="preserve">: </w:t>
      </w:r>
      <w:r w:rsidRPr="007A0E3E">
        <w:rPr>
          <w:rFonts w:ascii="Times New Roman" w:hAnsi="Times New Roman" w:cs="Times New Roman"/>
          <w:sz w:val="20"/>
          <w:szCs w:val="20"/>
        </w:rPr>
        <w:t>The FDR was applied to correct for multiple testing (N=6) for two behavioral outcomes across all three symptom scales (2 behavioral outcomes x 3 symptom scales).</w:t>
      </w:r>
    </w:p>
    <w:p w14:paraId="66748944" w14:textId="040F4861" w:rsidR="00A13971" w:rsidRPr="007A0E3E" w:rsidRDefault="00A13971" w:rsidP="005271FD">
      <w:pPr>
        <w:spacing w:after="0" w:line="480" w:lineRule="auto"/>
        <w:ind w:left="360"/>
        <w:rPr>
          <w:rFonts w:ascii="Times New Roman" w:hAnsi="Times New Roman" w:cs="Times New Roman"/>
          <w:sz w:val="20"/>
          <w:szCs w:val="20"/>
        </w:rPr>
      </w:pPr>
      <w:r w:rsidRPr="007A0E3E">
        <w:rPr>
          <w:rFonts w:ascii="Times New Roman" w:hAnsi="Times New Roman" w:cs="Times New Roman"/>
          <w:sz w:val="20"/>
          <w:szCs w:val="20"/>
        </w:rPr>
        <w:t>3b) The associations between neural correlates of response inhibition and ADHD symptoms, controlling for PRS-ADHD</w:t>
      </w:r>
      <w:r w:rsidR="00E45D10" w:rsidRPr="007A0E3E">
        <w:rPr>
          <w:rFonts w:ascii="Times New Roman" w:hAnsi="Times New Roman" w:cs="Times New Roman"/>
          <w:sz w:val="20"/>
          <w:szCs w:val="20"/>
        </w:rPr>
        <w:t xml:space="preserve">: </w:t>
      </w:r>
      <w:r w:rsidRPr="007A0E3E">
        <w:rPr>
          <w:rFonts w:ascii="Times New Roman" w:hAnsi="Times New Roman" w:cs="Times New Roman"/>
          <w:sz w:val="20"/>
          <w:szCs w:val="20"/>
        </w:rPr>
        <w:t>The FDR was applied to correct for multiple testing (N=15) for five neural clusters across all three symptom scales (5 neural clusters x 3 symptom scales).</w:t>
      </w:r>
    </w:p>
    <w:p w14:paraId="390878A8" w14:textId="7B4A2C98" w:rsidR="00A13971" w:rsidRPr="007A0E3E" w:rsidRDefault="00A13971" w:rsidP="005271FD">
      <w:pPr>
        <w:autoSpaceDE w:val="0"/>
        <w:autoSpaceDN w:val="0"/>
        <w:adjustRightInd w:val="0"/>
        <w:spacing w:after="0" w:line="480" w:lineRule="auto"/>
        <w:ind w:left="360"/>
        <w:jc w:val="both"/>
        <w:rPr>
          <w:rFonts w:ascii="Times New Roman" w:hAnsi="Times New Roman" w:cs="Times New Roman"/>
          <w:sz w:val="20"/>
          <w:szCs w:val="20"/>
        </w:rPr>
      </w:pPr>
      <w:r w:rsidRPr="007A0E3E">
        <w:rPr>
          <w:rFonts w:ascii="Times New Roman" w:hAnsi="Times New Roman" w:cs="Times New Roman"/>
          <w:sz w:val="20"/>
          <w:szCs w:val="20"/>
        </w:rPr>
        <w:lastRenderedPageBreak/>
        <w:t>Mediation analyses</w:t>
      </w:r>
      <w:r w:rsidR="00E45D10" w:rsidRPr="007A0E3E">
        <w:rPr>
          <w:rFonts w:ascii="Times New Roman" w:hAnsi="Times New Roman" w:cs="Times New Roman"/>
          <w:sz w:val="20"/>
          <w:szCs w:val="20"/>
        </w:rPr>
        <w:t xml:space="preserve">: </w:t>
      </w:r>
      <w:r w:rsidRPr="007A0E3E">
        <w:rPr>
          <w:rFonts w:ascii="Times New Roman" w:hAnsi="Times New Roman" w:cs="Times New Roman"/>
          <w:sz w:val="20"/>
          <w:szCs w:val="20"/>
        </w:rPr>
        <w:t>FDR correction was applied to control for multiple testing separately for behavioral and neural mediators across symptom scales that were found to be significantly associated with the mediator of interest (see 3a and 3b).</w:t>
      </w:r>
    </w:p>
    <w:p w14:paraId="29C39EF7" w14:textId="77777777" w:rsidR="00E45D10" w:rsidRPr="007A0E3E" w:rsidRDefault="00E45D10" w:rsidP="005271FD">
      <w:pPr>
        <w:spacing w:after="0" w:line="480" w:lineRule="auto"/>
        <w:rPr>
          <w:rFonts w:ascii="Times New Roman" w:hAnsi="Times New Roman" w:cs="Times New Roman"/>
          <w:b/>
          <w:bCs/>
          <w:sz w:val="20"/>
          <w:szCs w:val="20"/>
        </w:rPr>
      </w:pPr>
      <w:bookmarkStart w:id="0" w:name="_Hlk80328449"/>
    </w:p>
    <w:p w14:paraId="2AFB3DE1" w14:textId="679DBF5F" w:rsidR="00F2017E" w:rsidRPr="007A0E3E" w:rsidRDefault="00F2017E" w:rsidP="005271FD">
      <w:pPr>
        <w:spacing w:after="0" w:line="480" w:lineRule="auto"/>
        <w:rPr>
          <w:rFonts w:ascii="Times New Roman" w:hAnsi="Times New Roman" w:cs="Times New Roman"/>
          <w:b/>
          <w:bCs/>
          <w:sz w:val="20"/>
          <w:szCs w:val="20"/>
        </w:rPr>
      </w:pPr>
      <w:r w:rsidRPr="007A0E3E">
        <w:rPr>
          <w:rFonts w:ascii="Times New Roman" w:hAnsi="Times New Roman" w:cs="Times New Roman"/>
          <w:b/>
          <w:bCs/>
          <w:sz w:val="20"/>
          <w:szCs w:val="20"/>
        </w:rPr>
        <w:t>RESULTS</w:t>
      </w:r>
    </w:p>
    <w:p w14:paraId="7509F0BD" w14:textId="3C2D2543" w:rsidR="002F163C" w:rsidRPr="007A0E3E" w:rsidRDefault="002F163C" w:rsidP="005271FD">
      <w:pPr>
        <w:spacing w:after="0" w:line="480" w:lineRule="auto"/>
        <w:rPr>
          <w:rFonts w:ascii="Times New Roman" w:hAnsi="Times New Roman" w:cs="Times New Roman"/>
          <w:b/>
          <w:bCs/>
          <w:sz w:val="20"/>
          <w:szCs w:val="20"/>
        </w:rPr>
      </w:pPr>
      <w:r w:rsidRPr="007A0E3E">
        <w:rPr>
          <w:rFonts w:ascii="Times New Roman" w:hAnsi="Times New Roman" w:cs="Times New Roman"/>
          <w:b/>
          <w:bCs/>
          <w:sz w:val="20"/>
          <w:szCs w:val="20"/>
        </w:rPr>
        <w:t>The associations between behavioral correlates of response inhibition and ADHD symptoms, controlling for PRS-ADHD</w:t>
      </w:r>
    </w:p>
    <w:bookmarkEnd w:id="0"/>
    <w:p w14:paraId="128E3813" w14:textId="6361F121" w:rsidR="002F163C" w:rsidRPr="007A0E3E" w:rsidRDefault="002F163C" w:rsidP="005271FD">
      <w:pPr>
        <w:spacing w:after="0" w:line="480" w:lineRule="auto"/>
        <w:rPr>
          <w:rFonts w:ascii="Times New Roman" w:hAnsi="Times New Roman" w:cs="Times New Roman"/>
          <w:sz w:val="20"/>
          <w:szCs w:val="20"/>
        </w:rPr>
      </w:pPr>
      <w:r w:rsidRPr="007A0E3E">
        <w:rPr>
          <w:rFonts w:ascii="Times New Roman" w:hAnsi="Times New Roman" w:cs="Times New Roman"/>
          <w:sz w:val="20"/>
          <w:szCs w:val="20"/>
        </w:rPr>
        <w:t xml:space="preserve">MRT explained 1.9%, 1.3%, and 1.6% of the variance in total ADHD, inattention, and hyperactivity-impulsivity symptom scores, respectively, while 4.2%, 3.4%, and 4.1% of the variance in total ADHD, inattention, and hyperactivity-impulsivity symptom scores was explained by PRS-ADHD.  </w:t>
      </w:r>
      <w:r w:rsidR="00B22598" w:rsidRPr="007A0E3E">
        <w:rPr>
          <w:rFonts w:ascii="Times New Roman" w:hAnsi="Times New Roman" w:cs="Times New Roman"/>
          <w:sz w:val="20"/>
          <w:szCs w:val="20"/>
        </w:rPr>
        <w:t>IRT</w:t>
      </w:r>
      <w:r w:rsidRPr="007A0E3E">
        <w:rPr>
          <w:rFonts w:ascii="Times New Roman" w:hAnsi="Times New Roman" w:cs="Times New Roman"/>
          <w:sz w:val="20"/>
          <w:szCs w:val="20"/>
        </w:rPr>
        <w:t xml:space="preserve"> explained 6.3%, 4.3%, and 5.9% of the variance in total ADHD, inattention, and hyperactivity-impulsivity symptom scores, respectively, while 3.8%, 3.2%, and 3.5% of the variance in total ADHD, inattention, and hyperactivity-impulsivity symptom scores was explained by PRS-ADHD. Detailed results can be found in Supplementary Table 4.</w:t>
      </w:r>
    </w:p>
    <w:p w14:paraId="7B1FEBA6" w14:textId="77777777" w:rsidR="00E45D10" w:rsidRPr="007A0E3E" w:rsidRDefault="00E45D10" w:rsidP="005271FD">
      <w:pPr>
        <w:spacing w:after="0" w:line="480" w:lineRule="auto"/>
        <w:rPr>
          <w:rFonts w:ascii="Times New Roman" w:hAnsi="Times New Roman" w:cs="Times New Roman"/>
          <w:b/>
          <w:bCs/>
          <w:sz w:val="20"/>
          <w:szCs w:val="20"/>
        </w:rPr>
      </w:pPr>
    </w:p>
    <w:p w14:paraId="17FC1894" w14:textId="50B64272" w:rsidR="00D55624" w:rsidRPr="007A0E3E" w:rsidRDefault="00D55624" w:rsidP="005271FD">
      <w:pPr>
        <w:spacing w:after="0" w:line="480" w:lineRule="auto"/>
        <w:rPr>
          <w:rFonts w:ascii="Times New Roman" w:hAnsi="Times New Roman" w:cs="Times New Roman"/>
          <w:b/>
          <w:bCs/>
          <w:sz w:val="20"/>
          <w:szCs w:val="20"/>
        </w:rPr>
      </w:pPr>
      <w:r w:rsidRPr="007A0E3E">
        <w:rPr>
          <w:rFonts w:ascii="Times New Roman" w:hAnsi="Times New Roman" w:cs="Times New Roman"/>
          <w:b/>
          <w:bCs/>
          <w:sz w:val="20"/>
          <w:szCs w:val="20"/>
        </w:rPr>
        <w:t>Mediation analyses</w:t>
      </w:r>
    </w:p>
    <w:p w14:paraId="4817661E" w14:textId="1845FD64" w:rsidR="00D55624" w:rsidRPr="007A0E3E" w:rsidRDefault="00D55624" w:rsidP="005271FD">
      <w:pPr>
        <w:spacing w:after="0" w:line="480" w:lineRule="auto"/>
        <w:rPr>
          <w:rFonts w:ascii="Times New Roman" w:hAnsi="Times New Roman" w:cs="Times New Roman"/>
          <w:i/>
          <w:iCs/>
          <w:sz w:val="20"/>
          <w:szCs w:val="20"/>
        </w:rPr>
      </w:pPr>
      <w:r w:rsidRPr="007A0E3E">
        <w:rPr>
          <w:rFonts w:ascii="Times New Roman" w:hAnsi="Times New Roman" w:cs="Times New Roman"/>
          <w:i/>
          <w:iCs/>
          <w:sz w:val="20"/>
          <w:szCs w:val="20"/>
        </w:rPr>
        <w:t>Behavioral mediators</w:t>
      </w:r>
    </w:p>
    <w:p w14:paraId="5016AFCE" w14:textId="48CB6591" w:rsidR="00D55624" w:rsidRPr="007A0E3E" w:rsidRDefault="00D55624" w:rsidP="005271FD">
      <w:pPr>
        <w:spacing w:after="0" w:line="480" w:lineRule="auto"/>
        <w:rPr>
          <w:rFonts w:ascii="Times New Roman" w:hAnsi="Times New Roman" w:cs="Times New Roman"/>
          <w:sz w:val="20"/>
          <w:szCs w:val="20"/>
        </w:rPr>
      </w:pPr>
      <w:r w:rsidRPr="007A0E3E">
        <w:rPr>
          <w:rFonts w:ascii="Times New Roman" w:hAnsi="Times New Roman" w:cs="Times New Roman"/>
          <w:sz w:val="20"/>
          <w:szCs w:val="20"/>
        </w:rPr>
        <w:t xml:space="preserve">Mediation analyses showed that both MRT and </w:t>
      </w:r>
      <w:r w:rsidR="00B22598" w:rsidRPr="007A0E3E">
        <w:rPr>
          <w:rFonts w:ascii="Times New Roman" w:hAnsi="Times New Roman" w:cs="Times New Roman"/>
          <w:sz w:val="20"/>
          <w:szCs w:val="20"/>
        </w:rPr>
        <w:t>IRT</w:t>
      </w:r>
      <w:r w:rsidRPr="007A0E3E">
        <w:rPr>
          <w:rFonts w:ascii="Times New Roman" w:hAnsi="Times New Roman" w:cs="Times New Roman"/>
          <w:sz w:val="20"/>
          <w:szCs w:val="20"/>
        </w:rPr>
        <w:t xml:space="preserve"> partially mediated the association of PRS-ADHD with the inattention and hyperactivity-impulsivity symptom scores. The association between PRS-ADHD and respectively inattention and hyperactivity-impulsivity symptoms was mediated by MRT (</w:t>
      </w:r>
      <w:r w:rsidRPr="007A0E3E">
        <w:rPr>
          <w:rFonts w:ascii="Times New Roman" w:hAnsi="Times New Roman" w:cs="Times New Roman"/>
          <w:i/>
          <w:iCs/>
          <w:sz w:val="20"/>
          <w:szCs w:val="20"/>
        </w:rPr>
        <w:t>inattention</w:t>
      </w:r>
      <w:r w:rsidRPr="007A0E3E">
        <w:rPr>
          <w:rFonts w:ascii="Times New Roman" w:hAnsi="Times New Roman" w:cs="Times New Roman"/>
          <w:sz w:val="20"/>
          <w:szCs w:val="20"/>
        </w:rPr>
        <w:t xml:space="preserve">: indirect effect β = 0.015, 95% CI = </w:t>
      </w:r>
      <w:r w:rsidR="00B22598" w:rsidRPr="007A0E3E">
        <w:rPr>
          <w:rFonts w:ascii="Times New Roman" w:hAnsi="Times New Roman" w:cs="Times New Roman"/>
          <w:sz w:val="20"/>
          <w:szCs w:val="20"/>
        </w:rPr>
        <w:t>[</w:t>
      </w:r>
      <w:r w:rsidRPr="007A0E3E">
        <w:rPr>
          <w:rFonts w:ascii="Times New Roman" w:hAnsi="Times New Roman" w:cs="Times New Roman"/>
          <w:sz w:val="20"/>
          <w:szCs w:val="20"/>
        </w:rPr>
        <w:t>0.001, 0.03</w:t>
      </w:r>
      <w:r w:rsidR="00B22598" w:rsidRPr="007A0E3E">
        <w:rPr>
          <w:rFonts w:ascii="Times New Roman" w:hAnsi="Times New Roman" w:cs="Times New Roman"/>
          <w:sz w:val="20"/>
          <w:szCs w:val="20"/>
        </w:rPr>
        <w:t>]</w:t>
      </w:r>
      <w:r w:rsidRPr="007A0E3E">
        <w:rPr>
          <w:rFonts w:ascii="Times New Roman" w:hAnsi="Times New Roman" w:cs="Times New Roman"/>
          <w:sz w:val="20"/>
          <w:szCs w:val="20"/>
        </w:rPr>
        <w:t xml:space="preserve">; p-FDR = 0.021, accounting for 6.7% of the total effect; </w:t>
      </w:r>
      <w:r w:rsidRPr="007A0E3E">
        <w:rPr>
          <w:rFonts w:ascii="Times New Roman" w:hAnsi="Times New Roman" w:cs="Times New Roman"/>
          <w:i/>
          <w:iCs/>
          <w:sz w:val="20"/>
          <w:szCs w:val="20"/>
        </w:rPr>
        <w:t>hyperactivity-impulsivity</w:t>
      </w:r>
      <w:r w:rsidRPr="007A0E3E">
        <w:rPr>
          <w:rFonts w:ascii="Times New Roman" w:hAnsi="Times New Roman" w:cs="Times New Roman"/>
          <w:sz w:val="20"/>
          <w:szCs w:val="20"/>
        </w:rPr>
        <w:t xml:space="preserve">: indirect effect β = 0.018, 95% CI = </w:t>
      </w:r>
      <w:r w:rsidR="00B22598" w:rsidRPr="007A0E3E">
        <w:rPr>
          <w:rFonts w:ascii="Times New Roman" w:hAnsi="Times New Roman" w:cs="Times New Roman"/>
          <w:sz w:val="20"/>
          <w:szCs w:val="20"/>
        </w:rPr>
        <w:t>[</w:t>
      </w:r>
      <w:r w:rsidRPr="007A0E3E">
        <w:rPr>
          <w:rFonts w:ascii="Times New Roman" w:hAnsi="Times New Roman" w:cs="Times New Roman"/>
          <w:sz w:val="20"/>
          <w:szCs w:val="20"/>
        </w:rPr>
        <w:t>0.003, 0.04</w:t>
      </w:r>
      <w:r w:rsidR="00B22598" w:rsidRPr="007A0E3E">
        <w:rPr>
          <w:rFonts w:ascii="Times New Roman" w:hAnsi="Times New Roman" w:cs="Times New Roman"/>
          <w:sz w:val="20"/>
          <w:szCs w:val="20"/>
        </w:rPr>
        <w:t>]</w:t>
      </w:r>
      <w:r w:rsidRPr="007A0E3E">
        <w:rPr>
          <w:rFonts w:ascii="Times New Roman" w:hAnsi="Times New Roman" w:cs="Times New Roman"/>
          <w:sz w:val="20"/>
          <w:szCs w:val="20"/>
        </w:rPr>
        <w:t xml:space="preserve">; p-FDR = 0.014, accounting for 7.9% of total effect) and </w:t>
      </w:r>
      <w:r w:rsidR="00B22598" w:rsidRPr="007A0E3E">
        <w:rPr>
          <w:rFonts w:ascii="Times New Roman" w:hAnsi="Times New Roman" w:cs="Times New Roman"/>
          <w:sz w:val="20"/>
          <w:szCs w:val="20"/>
        </w:rPr>
        <w:t>IRT</w:t>
      </w:r>
      <w:r w:rsidRPr="007A0E3E">
        <w:rPr>
          <w:rFonts w:ascii="Times New Roman" w:hAnsi="Times New Roman" w:cs="Times New Roman"/>
          <w:sz w:val="20"/>
          <w:szCs w:val="20"/>
        </w:rPr>
        <w:t xml:space="preserve"> (</w:t>
      </w:r>
      <w:r w:rsidRPr="007A0E3E">
        <w:rPr>
          <w:rFonts w:ascii="Times New Roman" w:hAnsi="Times New Roman" w:cs="Times New Roman"/>
          <w:i/>
          <w:iCs/>
          <w:sz w:val="20"/>
          <w:szCs w:val="20"/>
        </w:rPr>
        <w:t>inattention</w:t>
      </w:r>
      <w:r w:rsidRPr="007A0E3E">
        <w:rPr>
          <w:rFonts w:ascii="Times New Roman" w:hAnsi="Times New Roman" w:cs="Times New Roman"/>
          <w:sz w:val="20"/>
          <w:szCs w:val="20"/>
        </w:rPr>
        <w:t xml:space="preserve">: indirect effect β = 0.028, 95% CI = </w:t>
      </w:r>
      <w:r w:rsidR="00B22598" w:rsidRPr="007A0E3E">
        <w:rPr>
          <w:rFonts w:ascii="Times New Roman" w:hAnsi="Times New Roman" w:cs="Times New Roman"/>
          <w:sz w:val="20"/>
          <w:szCs w:val="20"/>
        </w:rPr>
        <w:t>[</w:t>
      </w:r>
      <w:r w:rsidRPr="007A0E3E">
        <w:rPr>
          <w:rFonts w:ascii="Times New Roman" w:hAnsi="Times New Roman" w:cs="Times New Roman"/>
          <w:sz w:val="20"/>
          <w:szCs w:val="20"/>
        </w:rPr>
        <w:t>0.006, 0.05</w:t>
      </w:r>
      <w:r w:rsidR="00B22598" w:rsidRPr="007A0E3E">
        <w:rPr>
          <w:rFonts w:ascii="Times New Roman" w:hAnsi="Times New Roman" w:cs="Times New Roman"/>
          <w:sz w:val="20"/>
          <w:szCs w:val="20"/>
        </w:rPr>
        <w:t>]</w:t>
      </w:r>
      <w:r w:rsidRPr="007A0E3E">
        <w:rPr>
          <w:rFonts w:ascii="Times New Roman" w:hAnsi="Times New Roman" w:cs="Times New Roman"/>
          <w:sz w:val="20"/>
          <w:szCs w:val="20"/>
        </w:rPr>
        <w:t xml:space="preserve">; p-FDR = 0.014, accounting for 13.3% of the total effect; </w:t>
      </w:r>
      <w:r w:rsidRPr="007A0E3E">
        <w:rPr>
          <w:rFonts w:ascii="Times New Roman" w:hAnsi="Times New Roman" w:cs="Times New Roman"/>
          <w:i/>
          <w:iCs/>
          <w:sz w:val="20"/>
          <w:szCs w:val="20"/>
        </w:rPr>
        <w:t>hyperactivity-impulsivity</w:t>
      </w:r>
      <w:r w:rsidRPr="007A0E3E">
        <w:rPr>
          <w:rFonts w:ascii="Times New Roman" w:hAnsi="Times New Roman" w:cs="Times New Roman"/>
          <w:sz w:val="20"/>
          <w:szCs w:val="20"/>
        </w:rPr>
        <w:t xml:space="preserve">: indirect effect β = 0.034, 95% CI = </w:t>
      </w:r>
      <w:r w:rsidR="00B22598" w:rsidRPr="007A0E3E">
        <w:rPr>
          <w:rFonts w:ascii="Times New Roman" w:hAnsi="Times New Roman" w:cs="Times New Roman"/>
          <w:sz w:val="20"/>
          <w:szCs w:val="20"/>
        </w:rPr>
        <w:t>[</w:t>
      </w:r>
      <w:r w:rsidRPr="007A0E3E">
        <w:rPr>
          <w:rFonts w:ascii="Times New Roman" w:hAnsi="Times New Roman" w:cs="Times New Roman"/>
          <w:sz w:val="20"/>
          <w:szCs w:val="20"/>
        </w:rPr>
        <w:t>0.012, 0.07</w:t>
      </w:r>
      <w:r w:rsidR="00B22598" w:rsidRPr="007A0E3E">
        <w:rPr>
          <w:rFonts w:ascii="Times New Roman" w:hAnsi="Times New Roman" w:cs="Times New Roman"/>
          <w:sz w:val="20"/>
          <w:szCs w:val="20"/>
        </w:rPr>
        <w:t>]</w:t>
      </w:r>
      <w:r w:rsidRPr="007A0E3E">
        <w:rPr>
          <w:rFonts w:ascii="Times New Roman" w:hAnsi="Times New Roman" w:cs="Times New Roman"/>
          <w:sz w:val="20"/>
          <w:szCs w:val="20"/>
        </w:rPr>
        <w:t>; p-FDR = 0.012, accounting for 16.5% of the total effect</w:t>
      </w:r>
      <w:r w:rsidR="00E45D10" w:rsidRPr="007A0E3E">
        <w:rPr>
          <w:rFonts w:ascii="Times New Roman" w:hAnsi="Times New Roman" w:cs="Times New Roman"/>
          <w:sz w:val="20"/>
          <w:szCs w:val="20"/>
        </w:rPr>
        <w:t>).</w:t>
      </w:r>
    </w:p>
    <w:p w14:paraId="0D82A35B" w14:textId="3CCCE04C" w:rsidR="00E45D10" w:rsidRPr="007A0E3E" w:rsidRDefault="00E45D10" w:rsidP="005271FD">
      <w:pPr>
        <w:spacing w:after="0" w:line="480" w:lineRule="auto"/>
        <w:rPr>
          <w:rFonts w:ascii="Times New Roman" w:hAnsi="Times New Roman" w:cs="Times New Roman"/>
          <w:b/>
          <w:bCs/>
          <w:sz w:val="20"/>
          <w:szCs w:val="20"/>
        </w:rPr>
      </w:pPr>
    </w:p>
    <w:p w14:paraId="1AC5A1CC" w14:textId="5BBB3049" w:rsidR="005271FD" w:rsidRPr="007A0E3E" w:rsidRDefault="005271FD" w:rsidP="005271FD">
      <w:pPr>
        <w:spacing w:after="0" w:line="480" w:lineRule="auto"/>
        <w:rPr>
          <w:rFonts w:ascii="Times New Roman" w:hAnsi="Times New Roman" w:cs="Times New Roman"/>
          <w:b/>
          <w:bCs/>
          <w:sz w:val="20"/>
          <w:szCs w:val="20"/>
        </w:rPr>
      </w:pPr>
      <w:r w:rsidRPr="007A0E3E">
        <w:rPr>
          <w:rFonts w:ascii="Times New Roman" w:hAnsi="Times New Roman" w:cs="Times New Roman"/>
          <w:b/>
          <w:bCs/>
          <w:sz w:val="20"/>
          <w:szCs w:val="20"/>
        </w:rPr>
        <w:t>Additional analyses</w:t>
      </w:r>
    </w:p>
    <w:p w14:paraId="1EE4BCE8" w14:textId="77777777" w:rsidR="00E47815" w:rsidRPr="007A0E3E" w:rsidRDefault="00E47815" w:rsidP="005271FD">
      <w:pPr>
        <w:spacing w:after="0" w:line="480" w:lineRule="auto"/>
        <w:jc w:val="both"/>
        <w:rPr>
          <w:rFonts w:ascii="Times New Roman" w:hAnsi="Times New Roman" w:cs="Times New Roman"/>
          <w:b/>
          <w:bCs/>
          <w:sz w:val="20"/>
          <w:szCs w:val="20"/>
        </w:rPr>
      </w:pPr>
      <w:r w:rsidRPr="007A0E3E">
        <w:rPr>
          <w:rFonts w:ascii="Times New Roman" w:hAnsi="Times New Roman" w:cs="Times New Roman"/>
          <w:b/>
          <w:bCs/>
          <w:sz w:val="20"/>
          <w:szCs w:val="20"/>
        </w:rPr>
        <w:t>Associations between behavioral correlates of response inhibition and ADHD symptoms</w:t>
      </w:r>
    </w:p>
    <w:p w14:paraId="482FC2DC" w14:textId="4671B7B7" w:rsidR="00E47815" w:rsidRPr="007A0E3E" w:rsidRDefault="00F2017E" w:rsidP="005271FD">
      <w:pPr>
        <w:spacing w:after="0" w:line="480" w:lineRule="auto"/>
        <w:jc w:val="both"/>
        <w:rPr>
          <w:rFonts w:ascii="Times New Roman" w:hAnsi="Times New Roman" w:cs="Times New Roman"/>
          <w:sz w:val="20"/>
          <w:szCs w:val="20"/>
        </w:rPr>
      </w:pPr>
      <w:r w:rsidRPr="007A0E3E">
        <w:rPr>
          <w:rFonts w:ascii="Times New Roman" w:hAnsi="Times New Roman" w:cs="Times New Roman"/>
          <w:sz w:val="20"/>
          <w:szCs w:val="20"/>
        </w:rPr>
        <w:t xml:space="preserve">Mixed model </w:t>
      </w:r>
      <w:r w:rsidR="00E47815" w:rsidRPr="007A0E3E">
        <w:rPr>
          <w:rFonts w:ascii="Times New Roman" w:hAnsi="Times New Roman" w:cs="Times New Roman"/>
          <w:sz w:val="20"/>
          <w:szCs w:val="20"/>
        </w:rPr>
        <w:t>regression analyses (using R package lme4</w:t>
      </w:r>
      <w:r w:rsidR="00835491" w:rsidRPr="007A0E3E">
        <w:rPr>
          <w:rFonts w:ascii="Times New Roman" w:hAnsi="Times New Roman" w:cs="Times New Roman"/>
          <w:sz w:val="20"/>
          <w:szCs w:val="20"/>
        </w:rPr>
        <w:t xml:space="preserve"> </w:t>
      </w:r>
      <w:r w:rsidR="00835491" w:rsidRPr="007A0E3E">
        <w:rPr>
          <w:rFonts w:ascii="Times New Roman" w:hAnsi="Times New Roman" w:cs="Times New Roman"/>
          <w:sz w:val="20"/>
          <w:szCs w:val="20"/>
        </w:rPr>
        <w:fldChar w:fldCharType="begin" w:fldLock="1"/>
      </w:r>
      <w:r w:rsidR="00835491" w:rsidRPr="007A0E3E">
        <w:rPr>
          <w:rFonts w:ascii="Times New Roman" w:hAnsi="Times New Roman" w:cs="Times New Roman"/>
          <w:sz w:val="20"/>
          <w:szCs w:val="20"/>
        </w:rPr>
        <w:instrText>ADDIN CSL_CITATION {"citationItems":[{"id":"ITEM-1","itemData":{"DOI":"10.18637/jss.v067.i01","ISSN":"15487660","abstract":"Maximum likelihood or restricted maximum likelihood (REML) estimates of the parameters in linear mixed-effects models can be determined using the lmer function in the lme4 package for R. As for most model-fitting functions in R, the model is described in an lmer call by a formula, in this case including both fixed- and random-effects terms. The formula and data together determine a numerical representation of the model from which the profiled deviance or the profiled REML criterion can be evaluated as a function of some of the model parameters. The appropriate criterion is optimized, using one of the constrained optimization functions in R, to provide the parameter estimates. We describe the structure of the model, the steps in evaluating the profiled deviance or REML criterion, and the structure of classes or types that represents such a model. Sufficient detail is included to allow specialization of these structures by users who wish to write functions to fit specialized linear mixed models, such as models incorporating pedigrees or smoothing splines, that are not easily expressible in the formula language used by lmer.","author":[{"dropping-particle":"","family":"Bates","given":"Douglas","non-dropping-particle":"","parse-names":false,"suffix":""},{"dropping-particle":"","family":"Mächler","given":"Martin","non-dropping-particle":"","parse-names":false,"suffix":""},{"dropping-particle":"","family":"Bolker","given":"Benjamin M.","non-dropping-particle":"","parse-names":false,"suffix":""},{"dropping-particle":"","family":"Walker","given":"Steven C.","non-dropping-particle":"","parse-names":false,"suffix":""}],"container-title":"Journal of Statistical Software","id":"ITEM-1","issue":"1","issued":{"date-parts":[["2015"]]},"title":"Fitting linear mixed-effects models using lme4","type":"article-journal","volume":"67"},"uris":["http://www.mendeley.com/documents/?uuid=93c8a14d-84af-381f-8650-9bfe7a8e5e82"]}],"mendeley":{"formattedCitation":"[13]","plainTextFormattedCitation":"[13]","previouslyFormattedCitation":"[13]"},"properties":{"noteIndex":0},"schema":"https://github.com/citation-style-language/schema/raw/master/csl-citation.json"}</w:instrText>
      </w:r>
      <w:r w:rsidR="00835491" w:rsidRPr="007A0E3E">
        <w:rPr>
          <w:rFonts w:ascii="Times New Roman" w:hAnsi="Times New Roman" w:cs="Times New Roman"/>
          <w:sz w:val="20"/>
          <w:szCs w:val="20"/>
        </w:rPr>
        <w:fldChar w:fldCharType="separate"/>
      </w:r>
      <w:r w:rsidR="00835491" w:rsidRPr="007A0E3E">
        <w:rPr>
          <w:rFonts w:ascii="Times New Roman" w:hAnsi="Times New Roman" w:cs="Times New Roman"/>
          <w:noProof/>
          <w:sz w:val="20"/>
          <w:szCs w:val="20"/>
        </w:rPr>
        <w:t>[13]</w:t>
      </w:r>
      <w:r w:rsidR="00835491" w:rsidRPr="007A0E3E">
        <w:rPr>
          <w:rFonts w:ascii="Times New Roman" w:hAnsi="Times New Roman" w:cs="Times New Roman"/>
          <w:sz w:val="20"/>
          <w:szCs w:val="20"/>
        </w:rPr>
        <w:fldChar w:fldCharType="end"/>
      </w:r>
      <w:r w:rsidR="005271FD" w:rsidRPr="007A0E3E">
        <w:rPr>
          <w:rFonts w:ascii="Times New Roman" w:hAnsi="Times New Roman" w:cs="Times New Roman"/>
          <w:sz w:val="20"/>
          <w:szCs w:val="20"/>
        </w:rPr>
        <w:t xml:space="preserve">) </w:t>
      </w:r>
      <w:r w:rsidR="00E47815" w:rsidRPr="007A0E3E">
        <w:rPr>
          <w:rFonts w:ascii="Times New Roman" w:hAnsi="Times New Roman" w:cs="Times New Roman"/>
          <w:sz w:val="20"/>
          <w:szCs w:val="20"/>
        </w:rPr>
        <w:t xml:space="preserve">were performed to test for associations between behavioral outcomes of the stop-signal tasks, namely MRT, </w:t>
      </w:r>
      <w:r w:rsidR="00B22598" w:rsidRPr="007A0E3E">
        <w:rPr>
          <w:rFonts w:ascii="Times New Roman" w:hAnsi="Times New Roman" w:cs="Times New Roman"/>
          <w:sz w:val="20"/>
          <w:szCs w:val="20"/>
        </w:rPr>
        <w:t>IRT</w:t>
      </w:r>
      <w:r w:rsidR="00E47815" w:rsidRPr="007A0E3E">
        <w:rPr>
          <w:rFonts w:ascii="Times New Roman" w:hAnsi="Times New Roman" w:cs="Times New Roman"/>
          <w:sz w:val="20"/>
          <w:szCs w:val="20"/>
        </w:rPr>
        <w:t xml:space="preserve">, and SSRT, and ADHD symptoms. Family identity was included as a random variable, and age, sex, and fMRI scanning site were entered as covariates. The </w:t>
      </w:r>
      <w:r w:rsidR="00E47815" w:rsidRPr="007A0E3E">
        <w:rPr>
          <w:rFonts w:ascii="Times New Roman" w:hAnsi="Times New Roman" w:cs="Times New Roman"/>
          <w:sz w:val="20"/>
          <w:szCs w:val="20"/>
        </w:rPr>
        <w:lastRenderedPageBreak/>
        <w:t xml:space="preserve">FDR was applied to correct for multiple testing (N=9) for three behavioral outcomes across all three symptom scales (3 behavioral outcomes x 3 symptom scales), and the results that survived after this correction at p-FDR &lt; 0.05 were considered as significant. A summary of the results can be found in </w:t>
      </w:r>
      <w:r w:rsidR="00745A17" w:rsidRPr="007A0E3E">
        <w:rPr>
          <w:rFonts w:ascii="Times New Roman" w:hAnsi="Times New Roman" w:cs="Times New Roman"/>
          <w:sz w:val="20"/>
          <w:szCs w:val="20"/>
        </w:rPr>
        <w:t>Supplementary Table 6</w:t>
      </w:r>
      <w:r w:rsidR="00E47815" w:rsidRPr="007A0E3E">
        <w:rPr>
          <w:rFonts w:ascii="Times New Roman" w:hAnsi="Times New Roman" w:cs="Times New Roman"/>
          <w:sz w:val="20"/>
          <w:szCs w:val="20"/>
        </w:rPr>
        <w:t>.</w:t>
      </w:r>
    </w:p>
    <w:p w14:paraId="6B533CB3" w14:textId="65F8F41D" w:rsidR="00E47815" w:rsidRPr="007A0E3E" w:rsidRDefault="00E47815" w:rsidP="005271FD">
      <w:pPr>
        <w:spacing w:after="0" w:line="480" w:lineRule="auto"/>
        <w:ind w:firstLine="708"/>
        <w:jc w:val="both"/>
        <w:rPr>
          <w:rFonts w:ascii="Times New Roman" w:hAnsi="Times New Roman" w:cs="Times New Roman"/>
          <w:sz w:val="20"/>
          <w:szCs w:val="20"/>
        </w:rPr>
      </w:pPr>
      <w:r w:rsidRPr="007A0E3E">
        <w:rPr>
          <w:rFonts w:ascii="Times New Roman" w:hAnsi="Times New Roman" w:cs="Times New Roman"/>
          <w:sz w:val="20"/>
          <w:szCs w:val="20"/>
        </w:rPr>
        <w:t xml:space="preserve">MRT was significantly positively associated with total ADHD (β = 0.182, 95% CI = </w:t>
      </w:r>
      <w:r w:rsidR="00B22598" w:rsidRPr="007A0E3E">
        <w:rPr>
          <w:rFonts w:ascii="Times New Roman" w:hAnsi="Times New Roman" w:cs="Times New Roman"/>
          <w:sz w:val="20"/>
          <w:szCs w:val="20"/>
        </w:rPr>
        <w:t>[</w:t>
      </w:r>
      <w:r w:rsidRPr="007A0E3E">
        <w:rPr>
          <w:rFonts w:ascii="Times New Roman" w:hAnsi="Times New Roman" w:cs="Times New Roman"/>
          <w:sz w:val="20"/>
          <w:szCs w:val="20"/>
        </w:rPr>
        <w:t>0.088, 0.276</w:t>
      </w:r>
      <w:r w:rsidR="00B22598" w:rsidRPr="007A0E3E">
        <w:rPr>
          <w:rFonts w:ascii="Times New Roman" w:hAnsi="Times New Roman" w:cs="Times New Roman"/>
          <w:sz w:val="20"/>
          <w:szCs w:val="20"/>
        </w:rPr>
        <w:t>]</w:t>
      </w:r>
      <w:r w:rsidRPr="007A0E3E">
        <w:rPr>
          <w:rFonts w:ascii="Times New Roman" w:hAnsi="Times New Roman" w:cs="Times New Roman"/>
          <w:sz w:val="20"/>
          <w:szCs w:val="20"/>
        </w:rPr>
        <w:t>; p-uncorrected = 1.84x10</w:t>
      </w:r>
      <w:r w:rsidRPr="007A0E3E">
        <w:rPr>
          <w:rFonts w:ascii="Times New Roman" w:hAnsi="Times New Roman" w:cs="Times New Roman"/>
          <w:sz w:val="20"/>
          <w:szCs w:val="20"/>
          <w:vertAlign w:val="superscript"/>
        </w:rPr>
        <w:t>-4</w:t>
      </w:r>
      <w:r w:rsidRPr="007A0E3E">
        <w:rPr>
          <w:rFonts w:ascii="Times New Roman" w:hAnsi="Times New Roman" w:cs="Times New Roman"/>
          <w:sz w:val="20"/>
          <w:szCs w:val="20"/>
        </w:rPr>
        <w:t>, p-FDR = 4.14x10</w:t>
      </w:r>
      <w:r w:rsidRPr="007A0E3E">
        <w:rPr>
          <w:rFonts w:ascii="Times New Roman" w:hAnsi="Times New Roman" w:cs="Times New Roman"/>
          <w:sz w:val="20"/>
          <w:szCs w:val="20"/>
          <w:vertAlign w:val="superscript"/>
        </w:rPr>
        <w:t>-4</w:t>
      </w:r>
      <w:r w:rsidRPr="007A0E3E">
        <w:rPr>
          <w:rFonts w:ascii="Times New Roman" w:hAnsi="Times New Roman" w:cs="Times New Roman"/>
          <w:sz w:val="20"/>
          <w:szCs w:val="20"/>
        </w:rPr>
        <w:t xml:space="preserve">), inattention (β = 0.154, 95% CI = </w:t>
      </w:r>
      <w:r w:rsidR="00B22598" w:rsidRPr="007A0E3E">
        <w:rPr>
          <w:rFonts w:ascii="Times New Roman" w:hAnsi="Times New Roman" w:cs="Times New Roman"/>
          <w:sz w:val="20"/>
          <w:szCs w:val="20"/>
        </w:rPr>
        <w:t>[</w:t>
      </w:r>
      <w:r w:rsidRPr="007A0E3E">
        <w:rPr>
          <w:rFonts w:ascii="Times New Roman" w:hAnsi="Times New Roman" w:cs="Times New Roman"/>
          <w:sz w:val="20"/>
          <w:szCs w:val="20"/>
        </w:rPr>
        <w:t>0.062, 0.246</w:t>
      </w:r>
      <w:r w:rsidR="00B22598" w:rsidRPr="007A0E3E">
        <w:rPr>
          <w:rFonts w:ascii="Times New Roman" w:hAnsi="Times New Roman" w:cs="Times New Roman"/>
          <w:sz w:val="20"/>
          <w:szCs w:val="20"/>
        </w:rPr>
        <w:t>]</w:t>
      </w:r>
      <w:r w:rsidRPr="007A0E3E">
        <w:rPr>
          <w:rFonts w:ascii="Times New Roman" w:hAnsi="Times New Roman" w:cs="Times New Roman"/>
          <w:sz w:val="20"/>
          <w:szCs w:val="20"/>
        </w:rPr>
        <w:t>; p-uncorrected = 0.001, p-FDR = 1.5x10</w:t>
      </w:r>
      <w:r w:rsidRPr="007A0E3E">
        <w:rPr>
          <w:rFonts w:ascii="Times New Roman" w:hAnsi="Times New Roman" w:cs="Times New Roman"/>
          <w:sz w:val="20"/>
          <w:szCs w:val="20"/>
          <w:vertAlign w:val="superscript"/>
        </w:rPr>
        <w:t>-3</w:t>
      </w:r>
      <w:r w:rsidRPr="007A0E3E">
        <w:rPr>
          <w:rFonts w:ascii="Times New Roman" w:hAnsi="Times New Roman" w:cs="Times New Roman"/>
          <w:sz w:val="20"/>
          <w:szCs w:val="20"/>
        </w:rPr>
        <w:t xml:space="preserve">), and hyperactivity-impulsivity symptom score (β = 0.176, 95% CI = </w:t>
      </w:r>
      <w:r w:rsidR="00B22598" w:rsidRPr="007A0E3E">
        <w:rPr>
          <w:rFonts w:ascii="Times New Roman" w:hAnsi="Times New Roman" w:cs="Times New Roman"/>
          <w:sz w:val="20"/>
          <w:szCs w:val="20"/>
        </w:rPr>
        <w:t>[</w:t>
      </w:r>
      <w:r w:rsidRPr="007A0E3E">
        <w:rPr>
          <w:rFonts w:ascii="Times New Roman" w:hAnsi="Times New Roman" w:cs="Times New Roman"/>
          <w:sz w:val="20"/>
          <w:szCs w:val="20"/>
        </w:rPr>
        <w:t>0.084, 0.273</w:t>
      </w:r>
      <w:r w:rsidR="00B22598" w:rsidRPr="007A0E3E">
        <w:rPr>
          <w:rFonts w:ascii="Times New Roman" w:hAnsi="Times New Roman" w:cs="Times New Roman"/>
          <w:sz w:val="20"/>
          <w:szCs w:val="20"/>
        </w:rPr>
        <w:t>]</w:t>
      </w:r>
      <w:r w:rsidRPr="007A0E3E">
        <w:rPr>
          <w:rFonts w:ascii="Times New Roman" w:hAnsi="Times New Roman" w:cs="Times New Roman"/>
          <w:sz w:val="20"/>
          <w:szCs w:val="20"/>
        </w:rPr>
        <w:t>; p-uncorrected = 2.62x10</w:t>
      </w:r>
      <w:r w:rsidRPr="007A0E3E">
        <w:rPr>
          <w:rFonts w:ascii="Times New Roman" w:hAnsi="Times New Roman" w:cs="Times New Roman"/>
          <w:sz w:val="20"/>
          <w:szCs w:val="20"/>
          <w:vertAlign w:val="superscript"/>
        </w:rPr>
        <w:t>-4</w:t>
      </w:r>
      <w:r w:rsidRPr="007A0E3E">
        <w:rPr>
          <w:rFonts w:ascii="Times New Roman" w:hAnsi="Times New Roman" w:cs="Times New Roman"/>
          <w:sz w:val="20"/>
          <w:szCs w:val="20"/>
        </w:rPr>
        <w:t>, p-FDR = 4.72x10</w:t>
      </w:r>
      <w:r w:rsidRPr="007A0E3E">
        <w:rPr>
          <w:rFonts w:ascii="Times New Roman" w:hAnsi="Times New Roman" w:cs="Times New Roman"/>
          <w:sz w:val="20"/>
          <w:szCs w:val="20"/>
          <w:vertAlign w:val="superscript"/>
        </w:rPr>
        <w:t>-4</w:t>
      </w:r>
      <w:r w:rsidRPr="007A0E3E">
        <w:rPr>
          <w:rFonts w:ascii="Times New Roman" w:hAnsi="Times New Roman" w:cs="Times New Roman"/>
          <w:sz w:val="20"/>
          <w:szCs w:val="20"/>
        </w:rPr>
        <w:t xml:space="preserve">). </w:t>
      </w:r>
      <w:r w:rsidR="00B22598" w:rsidRPr="007A0E3E">
        <w:rPr>
          <w:rFonts w:ascii="Times New Roman" w:hAnsi="Times New Roman" w:cs="Times New Roman"/>
          <w:sz w:val="20"/>
          <w:szCs w:val="20"/>
        </w:rPr>
        <w:t>IRT</w:t>
      </w:r>
      <w:r w:rsidRPr="007A0E3E">
        <w:rPr>
          <w:rFonts w:ascii="Times New Roman" w:hAnsi="Times New Roman" w:cs="Times New Roman"/>
          <w:sz w:val="20"/>
          <w:szCs w:val="20"/>
        </w:rPr>
        <w:t xml:space="preserve"> was also significantly positively associated with total ADHD (β = 0.307, 95% CI = </w:t>
      </w:r>
      <w:r w:rsidR="00B22598" w:rsidRPr="007A0E3E">
        <w:rPr>
          <w:rFonts w:ascii="Times New Roman" w:hAnsi="Times New Roman" w:cs="Times New Roman"/>
          <w:sz w:val="20"/>
          <w:szCs w:val="20"/>
        </w:rPr>
        <w:t>[</w:t>
      </w:r>
      <w:r w:rsidRPr="007A0E3E">
        <w:rPr>
          <w:rFonts w:ascii="Times New Roman" w:hAnsi="Times New Roman" w:cs="Times New Roman"/>
          <w:sz w:val="20"/>
          <w:szCs w:val="20"/>
        </w:rPr>
        <w:t>0.211, 0.403</w:t>
      </w:r>
      <w:r w:rsidR="00B22598" w:rsidRPr="007A0E3E">
        <w:rPr>
          <w:rFonts w:ascii="Times New Roman" w:hAnsi="Times New Roman" w:cs="Times New Roman"/>
          <w:sz w:val="20"/>
          <w:szCs w:val="20"/>
        </w:rPr>
        <w:t>]</w:t>
      </w:r>
      <w:r w:rsidRPr="007A0E3E">
        <w:rPr>
          <w:rFonts w:ascii="Times New Roman" w:hAnsi="Times New Roman" w:cs="Times New Roman"/>
          <w:sz w:val="20"/>
          <w:szCs w:val="20"/>
        </w:rPr>
        <w:t>; p-uncorrected = 1.02x10</w:t>
      </w:r>
      <w:r w:rsidRPr="007A0E3E">
        <w:rPr>
          <w:rFonts w:ascii="Times New Roman" w:hAnsi="Times New Roman" w:cs="Times New Roman"/>
          <w:sz w:val="20"/>
          <w:szCs w:val="20"/>
          <w:vertAlign w:val="superscript"/>
        </w:rPr>
        <w:t>-9</w:t>
      </w:r>
      <w:r w:rsidRPr="007A0E3E">
        <w:rPr>
          <w:rFonts w:ascii="Times New Roman" w:hAnsi="Times New Roman" w:cs="Times New Roman"/>
          <w:sz w:val="20"/>
          <w:szCs w:val="20"/>
        </w:rPr>
        <w:t>, p-FDR = 4.59x10</w:t>
      </w:r>
      <w:r w:rsidRPr="007A0E3E">
        <w:rPr>
          <w:rFonts w:ascii="Times New Roman" w:hAnsi="Times New Roman" w:cs="Times New Roman"/>
          <w:sz w:val="20"/>
          <w:szCs w:val="20"/>
          <w:vertAlign w:val="superscript"/>
        </w:rPr>
        <w:t>-9</w:t>
      </w:r>
      <w:r w:rsidRPr="007A0E3E">
        <w:rPr>
          <w:rFonts w:ascii="Times New Roman" w:hAnsi="Times New Roman" w:cs="Times New Roman"/>
          <w:sz w:val="20"/>
          <w:szCs w:val="20"/>
        </w:rPr>
        <w:t xml:space="preserve">), inattention (β = 0.257, 95% CI = </w:t>
      </w:r>
      <w:r w:rsidR="00B22598" w:rsidRPr="007A0E3E">
        <w:rPr>
          <w:rFonts w:ascii="Times New Roman" w:hAnsi="Times New Roman" w:cs="Times New Roman"/>
          <w:sz w:val="20"/>
          <w:szCs w:val="20"/>
        </w:rPr>
        <w:t>[</w:t>
      </w:r>
      <w:r w:rsidRPr="007A0E3E">
        <w:rPr>
          <w:rFonts w:ascii="Times New Roman" w:hAnsi="Times New Roman" w:cs="Times New Roman"/>
          <w:sz w:val="20"/>
          <w:szCs w:val="20"/>
        </w:rPr>
        <w:t>0.163, 0.351</w:t>
      </w:r>
      <w:r w:rsidR="00B22598" w:rsidRPr="007A0E3E">
        <w:rPr>
          <w:rFonts w:ascii="Times New Roman" w:hAnsi="Times New Roman" w:cs="Times New Roman"/>
          <w:sz w:val="20"/>
          <w:szCs w:val="20"/>
        </w:rPr>
        <w:t>]</w:t>
      </w:r>
      <w:r w:rsidRPr="007A0E3E">
        <w:rPr>
          <w:rFonts w:ascii="Times New Roman" w:hAnsi="Times New Roman" w:cs="Times New Roman"/>
          <w:sz w:val="20"/>
          <w:szCs w:val="20"/>
        </w:rPr>
        <w:t>; p-uncorrected = 1.92x10</w:t>
      </w:r>
      <w:r w:rsidRPr="007A0E3E">
        <w:rPr>
          <w:rFonts w:ascii="Times New Roman" w:hAnsi="Times New Roman" w:cs="Times New Roman"/>
          <w:sz w:val="20"/>
          <w:szCs w:val="20"/>
          <w:vertAlign w:val="superscript"/>
        </w:rPr>
        <w:t>-7</w:t>
      </w:r>
      <w:r w:rsidRPr="007A0E3E">
        <w:rPr>
          <w:rFonts w:ascii="Times New Roman" w:hAnsi="Times New Roman" w:cs="Times New Roman"/>
          <w:sz w:val="20"/>
          <w:szCs w:val="20"/>
        </w:rPr>
        <w:t>, p-FDR = 5.76x10</w:t>
      </w:r>
      <w:r w:rsidRPr="007A0E3E">
        <w:rPr>
          <w:rFonts w:ascii="Times New Roman" w:hAnsi="Times New Roman" w:cs="Times New Roman"/>
          <w:sz w:val="20"/>
          <w:szCs w:val="20"/>
          <w:vertAlign w:val="superscript"/>
        </w:rPr>
        <w:t>-7</w:t>
      </w:r>
      <w:r w:rsidRPr="007A0E3E">
        <w:rPr>
          <w:rFonts w:ascii="Times New Roman" w:hAnsi="Times New Roman" w:cs="Times New Roman"/>
          <w:sz w:val="20"/>
          <w:szCs w:val="20"/>
        </w:rPr>
        <w:t xml:space="preserve">), and hyperactivity-impulsivity symptom scores (β = 0.311, 95% CI = </w:t>
      </w:r>
      <w:r w:rsidR="00B22598" w:rsidRPr="007A0E3E">
        <w:rPr>
          <w:rFonts w:ascii="Times New Roman" w:hAnsi="Times New Roman" w:cs="Times New Roman"/>
          <w:sz w:val="20"/>
          <w:szCs w:val="20"/>
        </w:rPr>
        <w:t>[</w:t>
      </w:r>
      <w:r w:rsidRPr="007A0E3E">
        <w:rPr>
          <w:rFonts w:ascii="Times New Roman" w:hAnsi="Times New Roman" w:cs="Times New Roman"/>
          <w:sz w:val="20"/>
          <w:szCs w:val="20"/>
        </w:rPr>
        <w:t>0.215, 0.407</w:t>
      </w:r>
      <w:r w:rsidR="00B22598" w:rsidRPr="007A0E3E">
        <w:rPr>
          <w:rFonts w:ascii="Times New Roman" w:hAnsi="Times New Roman" w:cs="Times New Roman"/>
          <w:sz w:val="20"/>
          <w:szCs w:val="20"/>
        </w:rPr>
        <w:t>]</w:t>
      </w:r>
      <w:r w:rsidRPr="007A0E3E">
        <w:rPr>
          <w:rFonts w:ascii="Times New Roman" w:hAnsi="Times New Roman" w:cs="Times New Roman"/>
          <w:sz w:val="20"/>
          <w:szCs w:val="20"/>
        </w:rPr>
        <w:t>; p-uncorrected = 7.04x10</w:t>
      </w:r>
      <w:r w:rsidRPr="007A0E3E">
        <w:rPr>
          <w:rFonts w:ascii="Times New Roman" w:hAnsi="Times New Roman" w:cs="Times New Roman"/>
          <w:sz w:val="20"/>
          <w:szCs w:val="20"/>
          <w:vertAlign w:val="superscript"/>
        </w:rPr>
        <w:t>-10</w:t>
      </w:r>
      <w:r w:rsidRPr="007A0E3E">
        <w:rPr>
          <w:rFonts w:ascii="Times New Roman" w:hAnsi="Times New Roman" w:cs="Times New Roman"/>
          <w:sz w:val="20"/>
          <w:szCs w:val="20"/>
        </w:rPr>
        <w:t>, p-FDR = 4.59x10</w:t>
      </w:r>
      <w:r w:rsidRPr="007A0E3E">
        <w:rPr>
          <w:rFonts w:ascii="Times New Roman" w:hAnsi="Times New Roman" w:cs="Times New Roman"/>
          <w:sz w:val="20"/>
          <w:szCs w:val="20"/>
          <w:vertAlign w:val="superscript"/>
        </w:rPr>
        <w:t>-9</w:t>
      </w:r>
      <w:r w:rsidRPr="007A0E3E">
        <w:rPr>
          <w:rFonts w:ascii="Times New Roman" w:hAnsi="Times New Roman" w:cs="Times New Roman"/>
          <w:sz w:val="20"/>
          <w:szCs w:val="20"/>
        </w:rPr>
        <w:t xml:space="preserve">). SSRT was only significantly positively associated with inattention symptom scores (β = 0.118, 95% CI = </w:t>
      </w:r>
      <w:r w:rsidR="00B22598" w:rsidRPr="007A0E3E">
        <w:rPr>
          <w:rFonts w:ascii="Times New Roman" w:hAnsi="Times New Roman" w:cs="Times New Roman"/>
          <w:sz w:val="20"/>
          <w:szCs w:val="20"/>
        </w:rPr>
        <w:t>[</w:t>
      </w:r>
      <w:r w:rsidRPr="007A0E3E">
        <w:rPr>
          <w:rFonts w:ascii="Times New Roman" w:hAnsi="Times New Roman" w:cs="Times New Roman"/>
          <w:sz w:val="20"/>
          <w:szCs w:val="20"/>
        </w:rPr>
        <w:t>0.028, 0.208</w:t>
      </w:r>
      <w:r w:rsidR="00B22598" w:rsidRPr="007A0E3E">
        <w:rPr>
          <w:rFonts w:ascii="Times New Roman" w:hAnsi="Times New Roman" w:cs="Times New Roman"/>
          <w:sz w:val="20"/>
          <w:szCs w:val="20"/>
        </w:rPr>
        <w:t>]</w:t>
      </w:r>
      <w:r w:rsidRPr="007A0E3E">
        <w:rPr>
          <w:rFonts w:ascii="Times New Roman" w:hAnsi="Times New Roman" w:cs="Times New Roman"/>
          <w:sz w:val="20"/>
          <w:szCs w:val="20"/>
        </w:rPr>
        <w:t>; p-uncorrected = 0.011, p-FDR = 0.014).</w:t>
      </w:r>
    </w:p>
    <w:p w14:paraId="0A145347" w14:textId="77777777" w:rsidR="00E45D10" w:rsidRPr="007A0E3E" w:rsidRDefault="00E45D10" w:rsidP="005271FD">
      <w:pPr>
        <w:spacing w:after="0" w:line="480" w:lineRule="auto"/>
        <w:jc w:val="both"/>
        <w:rPr>
          <w:rFonts w:ascii="Times New Roman" w:hAnsi="Times New Roman" w:cs="Times New Roman"/>
          <w:b/>
          <w:bCs/>
          <w:sz w:val="20"/>
          <w:szCs w:val="20"/>
        </w:rPr>
      </w:pPr>
    </w:p>
    <w:p w14:paraId="734C8381" w14:textId="67C19F97" w:rsidR="00E47815" w:rsidRPr="007A0E3E" w:rsidRDefault="00E47815" w:rsidP="005271FD">
      <w:pPr>
        <w:spacing w:after="0" w:line="480" w:lineRule="auto"/>
        <w:jc w:val="both"/>
        <w:rPr>
          <w:rFonts w:ascii="Times New Roman" w:hAnsi="Times New Roman" w:cs="Times New Roman"/>
          <w:b/>
          <w:bCs/>
          <w:sz w:val="20"/>
          <w:szCs w:val="20"/>
        </w:rPr>
      </w:pPr>
      <w:r w:rsidRPr="007A0E3E">
        <w:rPr>
          <w:rFonts w:ascii="Times New Roman" w:hAnsi="Times New Roman" w:cs="Times New Roman"/>
          <w:b/>
          <w:bCs/>
          <w:sz w:val="20"/>
          <w:szCs w:val="20"/>
        </w:rPr>
        <w:t>Associations between neural correlates of response inhibition and ADHD symptoms</w:t>
      </w:r>
    </w:p>
    <w:p w14:paraId="595DDC08" w14:textId="1D6A1498" w:rsidR="00E47815" w:rsidRPr="007A0E3E" w:rsidRDefault="00F2017E" w:rsidP="005271FD">
      <w:pPr>
        <w:spacing w:after="0" w:line="480" w:lineRule="auto"/>
        <w:jc w:val="both"/>
        <w:rPr>
          <w:rFonts w:ascii="Times New Roman" w:hAnsi="Times New Roman" w:cs="Times New Roman"/>
          <w:sz w:val="20"/>
          <w:szCs w:val="20"/>
        </w:rPr>
      </w:pPr>
      <w:r w:rsidRPr="007A0E3E">
        <w:rPr>
          <w:rFonts w:ascii="Times New Roman" w:hAnsi="Times New Roman" w:cs="Times New Roman"/>
          <w:sz w:val="20"/>
          <w:szCs w:val="20"/>
        </w:rPr>
        <w:t xml:space="preserve">Mixed model </w:t>
      </w:r>
      <w:r w:rsidR="00E47815" w:rsidRPr="007A0E3E">
        <w:rPr>
          <w:rFonts w:ascii="Times New Roman" w:hAnsi="Times New Roman" w:cs="Times New Roman"/>
          <w:sz w:val="20"/>
          <w:szCs w:val="20"/>
        </w:rPr>
        <w:t>regression analyses (using R package lme4</w:t>
      </w:r>
      <w:r w:rsidR="00835491" w:rsidRPr="007A0E3E">
        <w:rPr>
          <w:rFonts w:ascii="Times New Roman" w:hAnsi="Times New Roman" w:cs="Times New Roman"/>
          <w:sz w:val="20"/>
          <w:szCs w:val="20"/>
        </w:rPr>
        <w:t xml:space="preserve"> </w:t>
      </w:r>
      <w:r w:rsidR="00835491" w:rsidRPr="007A0E3E">
        <w:rPr>
          <w:rFonts w:ascii="Times New Roman" w:hAnsi="Times New Roman" w:cs="Times New Roman"/>
          <w:sz w:val="20"/>
          <w:szCs w:val="20"/>
        </w:rPr>
        <w:fldChar w:fldCharType="begin" w:fldLock="1"/>
      </w:r>
      <w:r w:rsidR="00835491" w:rsidRPr="007A0E3E">
        <w:rPr>
          <w:rFonts w:ascii="Times New Roman" w:hAnsi="Times New Roman" w:cs="Times New Roman"/>
          <w:sz w:val="20"/>
          <w:szCs w:val="20"/>
        </w:rPr>
        <w:instrText>ADDIN CSL_CITATION {"citationItems":[{"id":"ITEM-1","itemData":{"DOI":"10.18637/jss.v067.i01","ISSN":"15487660","abstract":"Maximum likelihood or restricted maximum likelihood (REML) estimates of the parameters in linear mixed-effects models can be determined using the lmer function in the lme4 package for R. As for most model-fitting functions in R, the model is described in an lmer call by a formula, in this case including both fixed- and random-effects terms. The formula and data together determine a numerical representation of the model from which the profiled deviance or the profiled REML criterion can be evaluated as a function of some of the model parameters. The appropriate criterion is optimized, using one of the constrained optimization functions in R, to provide the parameter estimates. We describe the structure of the model, the steps in evaluating the profiled deviance or REML criterion, and the structure of classes or types that represents such a model. Sufficient detail is included to allow specialization of these structures by users who wish to write functions to fit specialized linear mixed models, such as models incorporating pedigrees or smoothing splines, that are not easily expressible in the formula language used by lmer.","author":[{"dropping-particle":"","family":"Bates","given":"Douglas","non-dropping-particle":"","parse-names":false,"suffix":""},{"dropping-particle":"","family":"Mächler","given":"Martin","non-dropping-particle":"","parse-names":false,"suffix":""},{"dropping-particle":"","family":"Bolker","given":"Benjamin M.","non-dropping-particle":"","parse-names":false,"suffix":""},{"dropping-particle":"","family":"Walker","given":"Steven C.","non-dropping-particle":"","parse-names":false,"suffix":""}],"container-title":"Journal of Statistical Software","id":"ITEM-1","issue":"1","issued":{"date-parts":[["2015"]]},"title":"Fitting linear mixed-effects models using lme4","type":"article-journal","volume":"67"},"uris":["http://www.mendeley.com/documents/?uuid=93c8a14d-84af-381f-8650-9bfe7a8e5e82"]}],"mendeley":{"formattedCitation":"[13]","plainTextFormattedCitation":"[13]","previouslyFormattedCitation":"[13]"},"properties":{"noteIndex":0},"schema":"https://github.com/citation-style-language/schema/raw/master/csl-citation.json"}</w:instrText>
      </w:r>
      <w:r w:rsidR="00835491" w:rsidRPr="007A0E3E">
        <w:rPr>
          <w:rFonts w:ascii="Times New Roman" w:hAnsi="Times New Roman" w:cs="Times New Roman"/>
          <w:sz w:val="20"/>
          <w:szCs w:val="20"/>
        </w:rPr>
        <w:fldChar w:fldCharType="separate"/>
      </w:r>
      <w:r w:rsidR="00835491" w:rsidRPr="007A0E3E">
        <w:rPr>
          <w:rFonts w:ascii="Times New Roman" w:hAnsi="Times New Roman" w:cs="Times New Roman"/>
          <w:noProof/>
          <w:sz w:val="20"/>
          <w:szCs w:val="20"/>
        </w:rPr>
        <w:t>[13]</w:t>
      </w:r>
      <w:r w:rsidR="00835491" w:rsidRPr="007A0E3E">
        <w:rPr>
          <w:rFonts w:ascii="Times New Roman" w:hAnsi="Times New Roman" w:cs="Times New Roman"/>
          <w:sz w:val="20"/>
          <w:szCs w:val="20"/>
        </w:rPr>
        <w:fldChar w:fldCharType="end"/>
      </w:r>
      <w:r w:rsidR="00E47815" w:rsidRPr="007A0E3E">
        <w:rPr>
          <w:rFonts w:ascii="Times New Roman" w:hAnsi="Times New Roman" w:cs="Times New Roman"/>
          <w:sz w:val="20"/>
          <w:szCs w:val="20"/>
        </w:rPr>
        <w:t xml:space="preserve">) were performed to test for associations between neural activation during the contrasts of interest and ADHD symptoms. Family identity was included as a random variable, and age, sex, and fMRI scanning site were entered as covariates. The FDR was applied to correct for multiple testing (N=15) for five clusters found to be significantly associated with PRS-ADHD across all three symptom scales (5 neural clusters x 3 symptom scales). As and the results that survived after this correction at p-FDR &lt; 0.05 were considered as significant. A summary of the results can be found in </w:t>
      </w:r>
      <w:r w:rsidR="00745A17" w:rsidRPr="007A0E3E">
        <w:rPr>
          <w:rFonts w:ascii="Times New Roman" w:hAnsi="Times New Roman" w:cs="Times New Roman"/>
          <w:sz w:val="20"/>
          <w:szCs w:val="20"/>
        </w:rPr>
        <w:t>Supplementary Table 7</w:t>
      </w:r>
      <w:r w:rsidR="00E47815" w:rsidRPr="007A0E3E">
        <w:rPr>
          <w:rFonts w:ascii="Times New Roman" w:hAnsi="Times New Roman" w:cs="Times New Roman"/>
          <w:sz w:val="20"/>
          <w:szCs w:val="20"/>
        </w:rPr>
        <w:t xml:space="preserve">. </w:t>
      </w:r>
    </w:p>
    <w:p w14:paraId="1B5925F0" w14:textId="5D7F223A" w:rsidR="001C0FA8" w:rsidRPr="007A0E3E" w:rsidRDefault="00E47815" w:rsidP="005271FD">
      <w:pPr>
        <w:spacing w:after="0" w:line="480" w:lineRule="auto"/>
        <w:ind w:firstLine="708"/>
        <w:jc w:val="both"/>
        <w:rPr>
          <w:rFonts w:ascii="Times New Roman" w:hAnsi="Times New Roman" w:cs="Times New Roman"/>
          <w:sz w:val="20"/>
          <w:szCs w:val="20"/>
        </w:rPr>
      </w:pPr>
      <w:r w:rsidRPr="007A0E3E">
        <w:rPr>
          <w:rFonts w:ascii="Times New Roman" w:hAnsi="Times New Roman" w:cs="Times New Roman"/>
          <w:sz w:val="20"/>
          <w:szCs w:val="20"/>
        </w:rPr>
        <w:t xml:space="preserve">The activation in the right putamen during failed inhibition – go was associated with inattention symptom scores (β = 0.105, 95% CI = </w:t>
      </w:r>
      <w:r w:rsidR="00B22598" w:rsidRPr="007A0E3E">
        <w:rPr>
          <w:rFonts w:ascii="Times New Roman" w:hAnsi="Times New Roman" w:cs="Times New Roman"/>
          <w:sz w:val="20"/>
          <w:szCs w:val="20"/>
        </w:rPr>
        <w:t>[</w:t>
      </w:r>
      <w:r w:rsidRPr="007A0E3E">
        <w:rPr>
          <w:rFonts w:ascii="Times New Roman" w:hAnsi="Times New Roman" w:cs="Times New Roman"/>
          <w:sz w:val="20"/>
          <w:szCs w:val="20"/>
        </w:rPr>
        <w:t>0.017, 0.193</w:t>
      </w:r>
      <w:r w:rsidR="00B22598" w:rsidRPr="007A0E3E">
        <w:rPr>
          <w:rFonts w:ascii="Times New Roman" w:hAnsi="Times New Roman" w:cs="Times New Roman"/>
          <w:sz w:val="20"/>
          <w:szCs w:val="20"/>
        </w:rPr>
        <w:t>]</w:t>
      </w:r>
      <w:r w:rsidRPr="007A0E3E">
        <w:rPr>
          <w:rFonts w:ascii="Times New Roman" w:hAnsi="Times New Roman" w:cs="Times New Roman"/>
          <w:sz w:val="20"/>
          <w:szCs w:val="20"/>
        </w:rPr>
        <w:t xml:space="preserve">; p-uncorrected = 0.021, p-FDR = 0.205). The activation in the right basal ganglia and thalamus during failed – successful inhibition was associated with total ADHD (β = 0.095, 95% CI = </w:t>
      </w:r>
      <w:r w:rsidR="00B22598" w:rsidRPr="007A0E3E">
        <w:rPr>
          <w:rFonts w:ascii="Times New Roman" w:hAnsi="Times New Roman" w:cs="Times New Roman"/>
          <w:sz w:val="20"/>
          <w:szCs w:val="20"/>
        </w:rPr>
        <w:t>[</w:t>
      </w:r>
      <w:r w:rsidRPr="007A0E3E">
        <w:rPr>
          <w:rFonts w:ascii="Times New Roman" w:hAnsi="Times New Roman" w:cs="Times New Roman"/>
          <w:sz w:val="20"/>
          <w:szCs w:val="20"/>
        </w:rPr>
        <w:t>0.005, 0.185</w:t>
      </w:r>
      <w:r w:rsidR="00B22598" w:rsidRPr="007A0E3E">
        <w:rPr>
          <w:rFonts w:ascii="Times New Roman" w:hAnsi="Times New Roman" w:cs="Times New Roman"/>
          <w:sz w:val="20"/>
          <w:szCs w:val="20"/>
        </w:rPr>
        <w:t>]</w:t>
      </w:r>
      <w:r w:rsidRPr="007A0E3E">
        <w:rPr>
          <w:rFonts w:ascii="Times New Roman" w:hAnsi="Times New Roman" w:cs="Times New Roman"/>
          <w:sz w:val="20"/>
          <w:szCs w:val="20"/>
        </w:rPr>
        <w:t xml:space="preserve">; p-uncorrected = 0.041, p-FDR = 0.205), and inattention symptom scores (β = 0.105, 95% CI = </w:t>
      </w:r>
      <w:r w:rsidR="00B22598" w:rsidRPr="007A0E3E">
        <w:rPr>
          <w:rFonts w:ascii="Times New Roman" w:hAnsi="Times New Roman" w:cs="Times New Roman"/>
          <w:sz w:val="20"/>
          <w:szCs w:val="20"/>
        </w:rPr>
        <w:t>[</w:t>
      </w:r>
      <w:r w:rsidRPr="007A0E3E">
        <w:rPr>
          <w:rFonts w:ascii="Times New Roman" w:hAnsi="Times New Roman" w:cs="Times New Roman"/>
          <w:sz w:val="20"/>
          <w:szCs w:val="20"/>
        </w:rPr>
        <w:t>0.008, 0.184</w:t>
      </w:r>
      <w:r w:rsidR="00B22598" w:rsidRPr="007A0E3E">
        <w:rPr>
          <w:rFonts w:ascii="Times New Roman" w:hAnsi="Times New Roman" w:cs="Times New Roman"/>
          <w:sz w:val="20"/>
          <w:szCs w:val="20"/>
        </w:rPr>
        <w:t>]</w:t>
      </w:r>
      <w:r w:rsidRPr="007A0E3E">
        <w:rPr>
          <w:rFonts w:ascii="Times New Roman" w:hAnsi="Times New Roman" w:cs="Times New Roman"/>
          <w:sz w:val="20"/>
          <w:szCs w:val="20"/>
        </w:rPr>
        <w:t>; p-uncorrected = 0.034, p-FDR = 0.205). However, these results failed to survive FDR correction.</w:t>
      </w:r>
    </w:p>
    <w:p w14:paraId="2DBE73AA" w14:textId="77777777" w:rsidR="005533DF" w:rsidRPr="007A0E3E" w:rsidRDefault="005533DF" w:rsidP="005271FD">
      <w:pPr>
        <w:spacing w:after="0" w:line="480" w:lineRule="auto"/>
        <w:jc w:val="both"/>
        <w:rPr>
          <w:rFonts w:ascii="Times New Roman" w:hAnsi="Times New Roman" w:cs="Times New Roman"/>
          <w:sz w:val="20"/>
          <w:szCs w:val="20"/>
        </w:rPr>
      </w:pPr>
    </w:p>
    <w:p w14:paraId="42384725" w14:textId="5959F5FC" w:rsidR="005533DF" w:rsidRPr="007A0E3E" w:rsidRDefault="005533DF" w:rsidP="005271FD">
      <w:pPr>
        <w:spacing w:after="0" w:line="480" w:lineRule="auto"/>
        <w:jc w:val="both"/>
        <w:rPr>
          <w:rFonts w:ascii="Times New Roman" w:hAnsi="Times New Roman" w:cs="Times New Roman"/>
          <w:b/>
          <w:bCs/>
          <w:sz w:val="20"/>
          <w:szCs w:val="20"/>
        </w:rPr>
      </w:pPr>
      <w:r w:rsidRPr="007A0E3E">
        <w:rPr>
          <w:rFonts w:ascii="Times New Roman" w:hAnsi="Times New Roman" w:cs="Times New Roman"/>
          <w:b/>
          <w:bCs/>
          <w:sz w:val="20"/>
          <w:szCs w:val="20"/>
        </w:rPr>
        <w:t>REFERENCES</w:t>
      </w:r>
    </w:p>
    <w:p w14:paraId="44C1FAB3" w14:textId="0F5CB4DB" w:rsidR="00835491" w:rsidRPr="007A0E3E" w:rsidRDefault="00835491" w:rsidP="00835491">
      <w:pPr>
        <w:widowControl w:val="0"/>
        <w:autoSpaceDE w:val="0"/>
        <w:autoSpaceDN w:val="0"/>
        <w:adjustRightInd w:val="0"/>
        <w:spacing w:after="0" w:line="480" w:lineRule="auto"/>
        <w:ind w:left="640" w:hanging="640"/>
        <w:rPr>
          <w:rFonts w:ascii="Times New Roman" w:hAnsi="Times New Roman" w:cs="Times New Roman"/>
          <w:noProof/>
          <w:sz w:val="20"/>
          <w:szCs w:val="20"/>
        </w:rPr>
      </w:pPr>
      <w:r w:rsidRPr="007A0E3E">
        <w:rPr>
          <w:rFonts w:ascii="Times New Roman" w:hAnsi="Times New Roman" w:cs="Times New Roman"/>
          <w:color w:val="222222"/>
          <w:sz w:val="20"/>
          <w:szCs w:val="20"/>
          <w:shd w:val="clear" w:color="auto" w:fill="FFFFFF"/>
        </w:rPr>
        <w:fldChar w:fldCharType="begin" w:fldLock="1"/>
      </w:r>
      <w:r w:rsidRPr="007A0E3E">
        <w:rPr>
          <w:rFonts w:ascii="Times New Roman" w:hAnsi="Times New Roman" w:cs="Times New Roman"/>
          <w:color w:val="222222"/>
          <w:sz w:val="20"/>
          <w:szCs w:val="20"/>
          <w:shd w:val="clear" w:color="auto" w:fill="FFFFFF"/>
        </w:rPr>
        <w:instrText xml:space="preserve">ADDIN Mendeley Bibliography CSL_BIBLIOGRAPHY </w:instrText>
      </w:r>
      <w:r w:rsidRPr="007A0E3E">
        <w:rPr>
          <w:rFonts w:ascii="Times New Roman" w:hAnsi="Times New Roman" w:cs="Times New Roman"/>
          <w:color w:val="222222"/>
          <w:sz w:val="20"/>
          <w:szCs w:val="20"/>
          <w:shd w:val="clear" w:color="auto" w:fill="FFFFFF"/>
        </w:rPr>
        <w:fldChar w:fldCharType="separate"/>
      </w:r>
      <w:r w:rsidRPr="007A0E3E">
        <w:rPr>
          <w:rFonts w:ascii="Times New Roman" w:hAnsi="Times New Roman" w:cs="Times New Roman"/>
          <w:noProof/>
          <w:sz w:val="20"/>
          <w:szCs w:val="20"/>
        </w:rPr>
        <w:t xml:space="preserve">1. </w:t>
      </w:r>
      <w:r w:rsidRPr="007A0E3E">
        <w:rPr>
          <w:rFonts w:ascii="Times New Roman" w:hAnsi="Times New Roman" w:cs="Times New Roman"/>
          <w:noProof/>
          <w:sz w:val="20"/>
          <w:szCs w:val="20"/>
        </w:rPr>
        <w:tab/>
        <w:t>von Rhein D, Mennes M, van Ewijk H, et al (2015) The NeuroIMAGE study: a prospective phenotypic, cognitive, genetic and MRI study in children with attention-deficit/hyperactivity disorder. Design and descriptives. Eur Child Adolesc Psychiatry 24:. https://doi.org/10.1007/s00787-014-0573-4</w:t>
      </w:r>
    </w:p>
    <w:p w14:paraId="60BB80AA" w14:textId="77777777" w:rsidR="00835491" w:rsidRPr="007A0E3E" w:rsidRDefault="00835491" w:rsidP="00835491">
      <w:pPr>
        <w:widowControl w:val="0"/>
        <w:autoSpaceDE w:val="0"/>
        <w:autoSpaceDN w:val="0"/>
        <w:adjustRightInd w:val="0"/>
        <w:spacing w:after="0" w:line="480" w:lineRule="auto"/>
        <w:ind w:left="640" w:hanging="640"/>
        <w:rPr>
          <w:rFonts w:ascii="Times New Roman" w:hAnsi="Times New Roman" w:cs="Times New Roman"/>
          <w:noProof/>
          <w:sz w:val="20"/>
          <w:szCs w:val="20"/>
        </w:rPr>
      </w:pPr>
      <w:r w:rsidRPr="007A0E3E">
        <w:rPr>
          <w:rFonts w:ascii="Times New Roman" w:hAnsi="Times New Roman" w:cs="Times New Roman"/>
          <w:noProof/>
          <w:sz w:val="20"/>
          <w:szCs w:val="20"/>
        </w:rPr>
        <w:lastRenderedPageBreak/>
        <w:t xml:space="preserve">2. </w:t>
      </w:r>
      <w:r w:rsidRPr="007A0E3E">
        <w:rPr>
          <w:rFonts w:ascii="Times New Roman" w:hAnsi="Times New Roman" w:cs="Times New Roman"/>
          <w:noProof/>
          <w:sz w:val="20"/>
          <w:szCs w:val="20"/>
        </w:rPr>
        <w:tab/>
        <w:t>Purcell S, Neale B, Todd-Brown K, et al (2007) PLINK: A tool set for whole-genome association and population-based linkage analyses. Am J Hum Genet 81:. https://doi.org/10.1086/519795</w:t>
      </w:r>
    </w:p>
    <w:p w14:paraId="1443D938" w14:textId="77777777" w:rsidR="00835491" w:rsidRPr="007A0E3E" w:rsidRDefault="00835491" w:rsidP="00835491">
      <w:pPr>
        <w:widowControl w:val="0"/>
        <w:autoSpaceDE w:val="0"/>
        <w:autoSpaceDN w:val="0"/>
        <w:adjustRightInd w:val="0"/>
        <w:spacing w:after="0" w:line="480" w:lineRule="auto"/>
        <w:ind w:left="640" w:hanging="640"/>
        <w:rPr>
          <w:rFonts w:ascii="Times New Roman" w:hAnsi="Times New Roman" w:cs="Times New Roman"/>
          <w:noProof/>
          <w:sz w:val="20"/>
          <w:szCs w:val="20"/>
        </w:rPr>
      </w:pPr>
      <w:r w:rsidRPr="007A0E3E">
        <w:rPr>
          <w:rFonts w:ascii="Times New Roman" w:hAnsi="Times New Roman" w:cs="Times New Roman"/>
          <w:noProof/>
          <w:sz w:val="20"/>
          <w:szCs w:val="20"/>
        </w:rPr>
        <w:t xml:space="preserve">3. </w:t>
      </w:r>
      <w:r w:rsidRPr="007A0E3E">
        <w:rPr>
          <w:rFonts w:ascii="Times New Roman" w:hAnsi="Times New Roman" w:cs="Times New Roman"/>
          <w:noProof/>
          <w:sz w:val="20"/>
          <w:szCs w:val="20"/>
        </w:rPr>
        <w:tab/>
        <w:t>Chang CC, Chow CC, Tellier LCAM, et al (2015) Second-generation PLINK: Rising to the challenge of larger and richer datasets. Gigascience 4:. https://doi.org/10.1186/s13742-015-0047-8</w:t>
      </w:r>
    </w:p>
    <w:p w14:paraId="09F0FC8F" w14:textId="77777777" w:rsidR="00835491" w:rsidRPr="007A0E3E" w:rsidRDefault="00835491" w:rsidP="00835491">
      <w:pPr>
        <w:widowControl w:val="0"/>
        <w:autoSpaceDE w:val="0"/>
        <w:autoSpaceDN w:val="0"/>
        <w:adjustRightInd w:val="0"/>
        <w:spacing w:after="0" w:line="480" w:lineRule="auto"/>
        <w:ind w:left="640" w:hanging="640"/>
        <w:rPr>
          <w:rFonts w:ascii="Times New Roman" w:hAnsi="Times New Roman" w:cs="Times New Roman"/>
          <w:noProof/>
          <w:sz w:val="20"/>
          <w:szCs w:val="20"/>
        </w:rPr>
      </w:pPr>
      <w:r w:rsidRPr="007A0E3E">
        <w:rPr>
          <w:rFonts w:ascii="Times New Roman" w:hAnsi="Times New Roman" w:cs="Times New Roman"/>
          <w:noProof/>
          <w:sz w:val="20"/>
          <w:szCs w:val="20"/>
        </w:rPr>
        <w:t xml:space="preserve">4. </w:t>
      </w:r>
      <w:r w:rsidRPr="007A0E3E">
        <w:rPr>
          <w:rFonts w:ascii="Times New Roman" w:hAnsi="Times New Roman" w:cs="Times New Roman"/>
          <w:noProof/>
          <w:sz w:val="20"/>
          <w:szCs w:val="20"/>
        </w:rPr>
        <w:tab/>
        <w:t>Lam M, Awasthi S, Watson HJ, et al (2020) RICOPILI: Rapid Imputation for COnsortias PIpeLIne. Bioinformatics 36:. https://doi.org/10.1093/bioinformatics/btz633</w:t>
      </w:r>
    </w:p>
    <w:p w14:paraId="7D15AACD" w14:textId="77777777" w:rsidR="00835491" w:rsidRPr="007A0E3E" w:rsidRDefault="00835491" w:rsidP="00835491">
      <w:pPr>
        <w:widowControl w:val="0"/>
        <w:autoSpaceDE w:val="0"/>
        <w:autoSpaceDN w:val="0"/>
        <w:adjustRightInd w:val="0"/>
        <w:spacing w:after="0" w:line="480" w:lineRule="auto"/>
        <w:ind w:left="640" w:hanging="640"/>
        <w:rPr>
          <w:rFonts w:ascii="Times New Roman" w:hAnsi="Times New Roman" w:cs="Times New Roman"/>
          <w:noProof/>
          <w:sz w:val="20"/>
          <w:szCs w:val="20"/>
        </w:rPr>
      </w:pPr>
      <w:r w:rsidRPr="007A0E3E">
        <w:rPr>
          <w:rFonts w:ascii="Times New Roman" w:hAnsi="Times New Roman" w:cs="Times New Roman"/>
          <w:noProof/>
          <w:sz w:val="20"/>
          <w:szCs w:val="20"/>
        </w:rPr>
        <w:t xml:space="preserve">5. </w:t>
      </w:r>
      <w:r w:rsidRPr="007A0E3E">
        <w:rPr>
          <w:rFonts w:ascii="Times New Roman" w:hAnsi="Times New Roman" w:cs="Times New Roman"/>
          <w:noProof/>
          <w:sz w:val="20"/>
          <w:szCs w:val="20"/>
        </w:rPr>
        <w:tab/>
        <w:t>Logan GD, Cowan WB, Davis KA (1984) On the ability to inhibit simple and choice reaction time responses: A model and a method. J Exp Psychol Hum Percept Perform 10:. https://doi.org/10.1037/0096-1523.10.2.276</w:t>
      </w:r>
    </w:p>
    <w:p w14:paraId="434664CC" w14:textId="77777777" w:rsidR="00835491" w:rsidRPr="007A0E3E" w:rsidRDefault="00835491" w:rsidP="00835491">
      <w:pPr>
        <w:widowControl w:val="0"/>
        <w:autoSpaceDE w:val="0"/>
        <w:autoSpaceDN w:val="0"/>
        <w:adjustRightInd w:val="0"/>
        <w:spacing w:after="0" w:line="480" w:lineRule="auto"/>
        <w:ind w:left="640" w:hanging="640"/>
        <w:rPr>
          <w:rFonts w:ascii="Times New Roman" w:hAnsi="Times New Roman" w:cs="Times New Roman"/>
          <w:noProof/>
          <w:sz w:val="20"/>
          <w:szCs w:val="20"/>
        </w:rPr>
      </w:pPr>
      <w:r w:rsidRPr="007A0E3E">
        <w:rPr>
          <w:rFonts w:ascii="Times New Roman" w:hAnsi="Times New Roman" w:cs="Times New Roman"/>
          <w:noProof/>
          <w:sz w:val="20"/>
          <w:szCs w:val="20"/>
        </w:rPr>
        <w:t xml:space="preserve">6. </w:t>
      </w:r>
      <w:r w:rsidRPr="007A0E3E">
        <w:rPr>
          <w:rFonts w:ascii="Times New Roman" w:hAnsi="Times New Roman" w:cs="Times New Roman"/>
          <w:noProof/>
          <w:sz w:val="20"/>
          <w:szCs w:val="20"/>
        </w:rPr>
        <w:tab/>
        <w:t>Jenkinson M, Beckmann CF, Behrens TEJ, et al (2012) FSL. Neuroimage 62:782–790. https://doi.org/https://doi.org/10.1016/j.neuroimage.2011.09.015</w:t>
      </w:r>
    </w:p>
    <w:p w14:paraId="7E95B65B" w14:textId="77777777" w:rsidR="00835491" w:rsidRPr="007A0E3E" w:rsidRDefault="00835491" w:rsidP="00835491">
      <w:pPr>
        <w:widowControl w:val="0"/>
        <w:autoSpaceDE w:val="0"/>
        <w:autoSpaceDN w:val="0"/>
        <w:adjustRightInd w:val="0"/>
        <w:spacing w:after="0" w:line="480" w:lineRule="auto"/>
        <w:ind w:left="640" w:hanging="640"/>
        <w:rPr>
          <w:rFonts w:ascii="Times New Roman" w:hAnsi="Times New Roman" w:cs="Times New Roman"/>
          <w:noProof/>
          <w:sz w:val="20"/>
          <w:szCs w:val="20"/>
        </w:rPr>
      </w:pPr>
      <w:r w:rsidRPr="007A0E3E">
        <w:rPr>
          <w:rFonts w:ascii="Times New Roman" w:hAnsi="Times New Roman" w:cs="Times New Roman"/>
          <w:noProof/>
          <w:sz w:val="20"/>
          <w:szCs w:val="20"/>
        </w:rPr>
        <w:t xml:space="preserve">7. </w:t>
      </w:r>
      <w:r w:rsidRPr="007A0E3E">
        <w:rPr>
          <w:rFonts w:ascii="Times New Roman" w:hAnsi="Times New Roman" w:cs="Times New Roman"/>
          <w:noProof/>
          <w:sz w:val="20"/>
          <w:szCs w:val="20"/>
        </w:rPr>
        <w:tab/>
        <w:t>Jenkinson M, Bannister P, Brady M, Smith S (2002) Improved optimization for the robust and accurate linear registration and motion correction of brain images. Neuroimage 17:. https://doi.org/10.1016/S1053-8119(02)91132-8</w:t>
      </w:r>
    </w:p>
    <w:p w14:paraId="5081AF81" w14:textId="77777777" w:rsidR="00835491" w:rsidRPr="007A0E3E" w:rsidRDefault="00835491" w:rsidP="00835491">
      <w:pPr>
        <w:widowControl w:val="0"/>
        <w:autoSpaceDE w:val="0"/>
        <w:autoSpaceDN w:val="0"/>
        <w:adjustRightInd w:val="0"/>
        <w:spacing w:after="0" w:line="480" w:lineRule="auto"/>
        <w:ind w:left="640" w:hanging="640"/>
        <w:rPr>
          <w:rFonts w:ascii="Times New Roman" w:hAnsi="Times New Roman" w:cs="Times New Roman"/>
          <w:noProof/>
          <w:sz w:val="20"/>
          <w:szCs w:val="20"/>
        </w:rPr>
      </w:pPr>
      <w:r w:rsidRPr="007A0E3E">
        <w:rPr>
          <w:rFonts w:ascii="Times New Roman" w:hAnsi="Times New Roman" w:cs="Times New Roman"/>
          <w:noProof/>
          <w:sz w:val="20"/>
          <w:szCs w:val="20"/>
        </w:rPr>
        <w:t xml:space="preserve">8. </w:t>
      </w:r>
      <w:r w:rsidRPr="007A0E3E">
        <w:rPr>
          <w:rFonts w:ascii="Times New Roman" w:hAnsi="Times New Roman" w:cs="Times New Roman"/>
          <w:noProof/>
          <w:sz w:val="20"/>
          <w:szCs w:val="20"/>
        </w:rPr>
        <w:tab/>
        <w:t>Pruim RHR, Mennes M, van Rooij D, et al (2015) ICA-AROMA: A robust ICA-based strategy for removing motion artifacts from fMRI data. Neuroimage 112:. https://doi.org/10.1016/j.neuroimage.2015.02.064</w:t>
      </w:r>
    </w:p>
    <w:p w14:paraId="1A36B7D0" w14:textId="77777777" w:rsidR="00835491" w:rsidRPr="007A0E3E" w:rsidRDefault="00835491" w:rsidP="00835491">
      <w:pPr>
        <w:widowControl w:val="0"/>
        <w:autoSpaceDE w:val="0"/>
        <w:autoSpaceDN w:val="0"/>
        <w:adjustRightInd w:val="0"/>
        <w:spacing w:after="0" w:line="480" w:lineRule="auto"/>
        <w:ind w:left="640" w:hanging="640"/>
        <w:rPr>
          <w:rFonts w:ascii="Times New Roman" w:hAnsi="Times New Roman" w:cs="Times New Roman"/>
          <w:noProof/>
          <w:sz w:val="20"/>
          <w:szCs w:val="20"/>
        </w:rPr>
      </w:pPr>
      <w:r w:rsidRPr="007A0E3E">
        <w:rPr>
          <w:rFonts w:ascii="Times New Roman" w:hAnsi="Times New Roman" w:cs="Times New Roman"/>
          <w:noProof/>
          <w:sz w:val="20"/>
          <w:szCs w:val="20"/>
        </w:rPr>
        <w:t xml:space="preserve">9. </w:t>
      </w:r>
      <w:r w:rsidRPr="007A0E3E">
        <w:rPr>
          <w:rFonts w:ascii="Times New Roman" w:hAnsi="Times New Roman" w:cs="Times New Roman"/>
          <w:noProof/>
          <w:sz w:val="20"/>
          <w:szCs w:val="20"/>
        </w:rPr>
        <w:tab/>
        <w:t>Greve DN, Fischl B (2009) Accurate and robust brain image alignment using boundary-based registration. Neuroimage 48:. https://doi.org/10.1016/j.neuroimage.2009.06.060</w:t>
      </w:r>
    </w:p>
    <w:p w14:paraId="40367922" w14:textId="77777777" w:rsidR="00835491" w:rsidRPr="007A0E3E" w:rsidRDefault="00835491" w:rsidP="00835491">
      <w:pPr>
        <w:widowControl w:val="0"/>
        <w:autoSpaceDE w:val="0"/>
        <w:autoSpaceDN w:val="0"/>
        <w:adjustRightInd w:val="0"/>
        <w:spacing w:after="0" w:line="480" w:lineRule="auto"/>
        <w:ind w:left="640" w:hanging="640"/>
        <w:rPr>
          <w:rFonts w:ascii="Times New Roman" w:hAnsi="Times New Roman" w:cs="Times New Roman"/>
          <w:noProof/>
          <w:sz w:val="20"/>
          <w:szCs w:val="20"/>
        </w:rPr>
      </w:pPr>
      <w:r w:rsidRPr="007A0E3E">
        <w:rPr>
          <w:rFonts w:ascii="Times New Roman" w:hAnsi="Times New Roman" w:cs="Times New Roman"/>
          <w:noProof/>
          <w:sz w:val="20"/>
          <w:szCs w:val="20"/>
        </w:rPr>
        <w:t xml:space="preserve">10. </w:t>
      </w:r>
      <w:r w:rsidRPr="007A0E3E">
        <w:rPr>
          <w:rFonts w:ascii="Times New Roman" w:hAnsi="Times New Roman" w:cs="Times New Roman"/>
          <w:noProof/>
          <w:sz w:val="20"/>
          <w:szCs w:val="20"/>
        </w:rPr>
        <w:tab/>
        <w:t>Jenkinson M, Smith S (2001) A global optimisation method for robust affine registration of brain images. Med Image Anal 5:. https://doi.org/10.1016/S1361-8415(01)00036-6</w:t>
      </w:r>
    </w:p>
    <w:p w14:paraId="04D1EDA3" w14:textId="77777777" w:rsidR="00835491" w:rsidRPr="007A0E3E" w:rsidRDefault="00835491" w:rsidP="00835491">
      <w:pPr>
        <w:widowControl w:val="0"/>
        <w:autoSpaceDE w:val="0"/>
        <w:autoSpaceDN w:val="0"/>
        <w:adjustRightInd w:val="0"/>
        <w:spacing w:after="0" w:line="480" w:lineRule="auto"/>
        <w:ind w:left="640" w:hanging="640"/>
        <w:rPr>
          <w:rFonts w:ascii="Times New Roman" w:hAnsi="Times New Roman" w:cs="Times New Roman"/>
          <w:noProof/>
          <w:sz w:val="20"/>
          <w:szCs w:val="20"/>
        </w:rPr>
      </w:pPr>
      <w:r w:rsidRPr="007A0E3E">
        <w:rPr>
          <w:rFonts w:ascii="Times New Roman" w:hAnsi="Times New Roman" w:cs="Times New Roman"/>
          <w:noProof/>
          <w:sz w:val="20"/>
          <w:szCs w:val="20"/>
        </w:rPr>
        <w:t xml:space="preserve">11. </w:t>
      </w:r>
      <w:r w:rsidRPr="007A0E3E">
        <w:rPr>
          <w:rFonts w:ascii="Times New Roman" w:hAnsi="Times New Roman" w:cs="Times New Roman"/>
          <w:noProof/>
          <w:sz w:val="20"/>
          <w:szCs w:val="20"/>
        </w:rPr>
        <w:tab/>
        <w:t>Anderson J, Jenkinson M, Smith S (2007) Non-linear registration aka Spatial normalisation. FMRIB Technical Report TR07JA2</w:t>
      </w:r>
    </w:p>
    <w:p w14:paraId="0496495B" w14:textId="77777777" w:rsidR="00835491" w:rsidRPr="007A0E3E" w:rsidRDefault="00835491" w:rsidP="00835491">
      <w:pPr>
        <w:widowControl w:val="0"/>
        <w:autoSpaceDE w:val="0"/>
        <w:autoSpaceDN w:val="0"/>
        <w:adjustRightInd w:val="0"/>
        <w:spacing w:after="0" w:line="480" w:lineRule="auto"/>
        <w:ind w:left="640" w:hanging="640"/>
        <w:rPr>
          <w:rFonts w:ascii="Times New Roman" w:hAnsi="Times New Roman" w:cs="Times New Roman"/>
          <w:noProof/>
          <w:sz w:val="20"/>
          <w:szCs w:val="20"/>
        </w:rPr>
      </w:pPr>
      <w:r w:rsidRPr="007A0E3E">
        <w:rPr>
          <w:rFonts w:ascii="Times New Roman" w:hAnsi="Times New Roman" w:cs="Times New Roman"/>
          <w:noProof/>
          <w:sz w:val="20"/>
          <w:szCs w:val="20"/>
        </w:rPr>
        <w:t xml:space="preserve">12. </w:t>
      </w:r>
      <w:r w:rsidRPr="007A0E3E">
        <w:rPr>
          <w:rFonts w:ascii="Times New Roman" w:hAnsi="Times New Roman" w:cs="Times New Roman"/>
          <w:noProof/>
          <w:sz w:val="20"/>
          <w:szCs w:val="20"/>
        </w:rPr>
        <w:tab/>
        <w:t>Benjamini Y, Hochberg Y (1995) Controlling the False Discovery Rate: A Practical and Powerful Approach to Multiple Testing. J R Stat Soc Ser B 57:289–300. https://doi.org/https://doi.org/10.1111/j.2517-6161.1995.tb02031.x</w:t>
      </w:r>
    </w:p>
    <w:p w14:paraId="1488D1F2" w14:textId="77777777" w:rsidR="00835491" w:rsidRPr="007A0E3E" w:rsidRDefault="00835491" w:rsidP="00835491">
      <w:pPr>
        <w:widowControl w:val="0"/>
        <w:autoSpaceDE w:val="0"/>
        <w:autoSpaceDN w:val="0"/>
        <w:adjustRightInd w:val="0"/>
        <w:spacing w:after="0" w:line="480" w:lineRule="auto"/>
        <w:ind w:left="640" w:hanging="640"/>
        <w:rPr>
          <w:rFonts w:ascii="Times New Roman" w:hAnsi="Times New Roman" w:cs="Times New Roman"/>
          <w:noProof/>
          <w:sz w:val="20"/>
          <w:szCs w:val="20"/>
        </w:rPr>
      </w:pPr>
      <w:r w:rsidRPr="007A0E3E">
        <w:rPr>
          <w:rFonts w:ascii="Times New Roman" w:hAnsi="Times New Roman" w:cs="Times New Roman"/>
          <w:noProof/>
          <w:sz w:val="20"/>
          <w:szCs w:val="20"/>
        </w:rPr>
        <w:t xml:space="preserve">13. </w:t>
      </w:r>
      <w:r w:rsidRPr="007A0E3E">
        <w:rPr>
          <w:rFonts w:ascii="Times New Roman" w:hAnsi="Times New Roman" w:cs="Times New Roman"/>
          <w:noProof/>
          <w:sz w:val="20"/>
          <w:szCs w:val="20"/>
        </w:rPr>
        <w:tab/>
        <w:t>Bates D, Mächler M, Bolker BM, Walker SC (2015) Fitting linear mixed-effects models using lme4. J Stat Softw 67:. https://doi.org/10.18637/jss.v067.i01</w:t>
      </w:r>
    </w:p>
    <w:p w14:paraId="5FEAF8FE" w14:textId="77777777" w:rsidR="00835491" w:rsidRPr="007A0E3E" w:rsidRDefault="00835491" w:rsidP="00835491">
      <w:pPr>
        <w:widowControl w:val="0"/>
        <w:autoSpaceDE w:val="0"/>
        <w:autoSpaceDN w:val="0"/>
        <w:adjustRightInd w:val="0"/>
        <w:spacing w:after="0" w:line="480" w:lineRule="auto"/>
        <w:ind w:left="640" w:hanging="640"/>
        <w:rPr>
          <w:rFonts w:ascii="Times New Roman" w:hAnsi="Times New Roman" w:cs="Times New Roman"/>
          <w:noProof/>
          <w:sz w:val="20"/>
          <w:szCs w:val="20"/>
        </w:rPr>
      </w:pPr>
      <w:r w:rsidRPr="007A0E3E">
        <w:rPr>
          <w:rFonts w:ascii="Times New Roman" w:hAnsi="Times New Roman" w:cs="Times New Roman"/>
          <w:noProof/>
          <w:sz w:val="20"/>
          <w:szCs w:val="20"/>
        </w:rPr>
        <w:t xml:space="preserve">14. </w:t>
      </w:r>
      <w:r w:rsidRPr="007A0E3E">
        <w:rPr>
          <w:rFonts w:ascii="Times New Roman" w:hAnsi="Times New Roman" w:cs="Times New Roman"/>
          <w:noProof/>
          <w:sz w:val="20"/>
          <w:szCs w:val="20"/>
        </w:rPr>
        <w:tab/>
        <w:t>Wechsler D (2003) Wechsler intelligence scale for children, fourth edition</w:t>
      </w:r>
    </w:p>
    <w:p w14:paraId="545F1E6F" w14:textId="77777777" w:rsidR="00835491" w:rsidRPr="007A0E3E" w:rsidRDefault="00835491" w:rsidP="00835491">
      <w:pPr>
        <w:widowControl w:val="0"/>
        <w:autoSpaceDE w:val="0"/>
        <w:autoSpaceDN w:val="0"/>
        <w:adjustRightInd w:val="0"/>
        <w:spacing w:after="0" w:line="480" w:lineRule="auto"/>
        <w:ind w:left="640" w:hanging="640"/>
        <w:rPr>
          <w:rFonts w:ascii="Times New Roman" w:hAnsi="Times New Roman" w:cs="Times New Roman"/>
          <w:noProof/>
          <w:sz w:val="20"/>
          <w:szCs w:val="20"/>
        </w:rPr>
      </w:pPr>
      <w:r w:rsidRPr="007A0E3E">
        <w:rPr>
          <w:rFonts w:ascii="Times New Roman" w:hAnsi="Times New Roman" w:cs="Times New Roman"/>
          <w:noProof/>
          <w:sz w:val="20"/>
          <w:szCs w:val="20"/>
        </w:rPr>
        <w:t xml:space="preserve">15. </w:t>
      </w:r>
      <w:r w:rsidRPr="007A0E3E">
        <w:rPr>
          <w:rFonts w:ascii="Times New Roman" w:hAnsi="Times New Roman" w:cs="Times New Roman"/>
          <w:noProof/>
          <w:sz w:val="20"/>
          <w:szCs w:val="20"/>
        </w:rPr>
        <w:tab/>
        <w:t xml:space="preserve">Keith Conners C, Sitarenios G, Parker JDA, Epstein JN (1998) The revised Conners’ Parent Rating </w:t>
      </w:r>
      <w:r w:rsidRPr="007A0E3E">
        <w:rPr>
          <w:rFonts w:ascii="Times New Roman" w:hAnsi="Times New Roman" w:cs="Times New Roman"/>
          <w:noProof/>
          <w:sz w:val="20"/>
          <w:szCs w:val="20"/>
        </w:rPr>
        <w:lastRenderedPageBreak/>
        <w:t>Scale (CPRS-R): Factor structure, reliability, and criterion validity. J Abnorm Child Psychol 26:. https://doi.org/10.1023/A:1022602400621</w:t>
      </w:r>
    </w:p>
    <w:p w14:paraId="0D0FE9A6" w14:textId="2E445AD0" w:rsidR="0048716C" w:rsidRPr="007A0E3E" w:rsidRDefault="00835491" w:rsidP="005271FD">
      <w:pPr>
        <w:spacing w:after="0" w:line="480" w:lineRule="auto"/>
        <w:rPr>
          <w:rFonts w:ascii="Times New Roman" w:hAnsi="Times New Roman" w:cs="Times New Roman"/>
          <w:color w:val="222222"/>
          <w:sz w:val="20"/>
          <w:szCs w:val="20"/>
          <w:shd w:val="clear" w:color="auto" w:fill="FFFFFF"/>
        </w:rPr>
      </w:pPr>
      <w:r w:rsidRPr="007A0E3E">
        <w:rPr>
          <w:rFonts w:ascii="Times New Roman" w:hAnsi="Times New Roman" w:cs="Times New Roman"/>
          <w:color w:val="222222"/>
          <w:sz w:val="20"/>
          <w:szCs w:val="20"/>
          <w:shd w:val="clear" w:color="auto" w:fill="FFFFFF"/>
        </w:rPr>
        <w:fldChar w:fldCharType="end"/>
      </w:r>
    </w:p>
    <w:p w14:paraId="3072B0DE" w14:textId="77777777" w:rsidR="0048716C" w:rsidRPr="007A0E3E" w:rsidRDefault="0048716C">
      <w:pPr>
        <w:rPr>
          <w:rFonts w:ascii="Times New Roman" w:hAnsi="Times New Roman" w:cs="Times New Roman"/>
          <w:color w:val="222222"/>
          <w:sz w:val="20"/>
          <w:szCs w:val="20"/>
          <w:shd w:val="clear" w:color="auto" w:fill="FFFFFF"/>
        </w:rPr>
      </w:pPr>
      <w:r w:rsidRPr="007A0E3E">
        <w:rPr>
          <w:rFonts w:ascii="Times New Roman" w:hAnsi="Times New Roman" w:cs="Times New Roman"/>
          <w:color w:val="222222"/>
          <w:sz w:val="20"/>
          <w:szCs w:val="20"/>
          <w:shd w:val="clear" w:color="auto" w:fill="FFFFFF"/>
        </w:rPr>
        <w:br w:type="page"/>
      </w:r>
    </w:p>
    <w:p w14:paraId="68DE0E8A" w14:textId="77777777" w:rsidR="0048716C" w:rsidRPr="007A0E3E" w:rsidRDefault="0048716C" w:rsidP="0048716C">
      <w:pPr>
        <w:rPr>
          <w:rFonts w:ascii="Times New Roman" w:hAnsi="Times New Roman" w:cs="Times New Roman"/>
          <w:sz w:val="20"/>
          <w:szCs w:val="20"/>
        </w:rPr>
      </w:pPr>
      <w:r w:rsidRPr="007A0E3E">
        <w:rPr>
          <w:rFonts w:ascii="Times New Roman" w:hAnsi="Times New Roman" w:cs="Times New Roman"/>
          <w:noProof/>
          <w:sz w:val="20"/>
          <w:szCs w:val="20"/>
        </w:rPr>
        <w:lastRenderedPageBreak/>
        <w:drawing>
          <wp:inline distT="0" distB="0" distL="0" distR="0" wp14:anchorId="18FCA5D8" wp14:editId="2F730438">
            <wp:extent cx="5890260" cy="459944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03351" cy="4609663"/>
                    </a:xfrm>
                    <a:prstGeom prst="rect">
                      <a:avLst/>
                    </a:prstGeom>
                    <a:noFill/>
                    <a:ln>
                      <a:noFill/>
                    </a:ln>
                  </pic:spPr>
                </pic:pic>
              </a:graphicData>
            </a:graphic>
          </wp:inline>
        </w:drawing>
      </w:r>
    </w:p>
    <w:p w14:paraId="29E0A790" w14:textId="59542CFD" w:rsidR="0048716C" w:rsidRPr="007A0E3E" w:rsidRDefault="0048716C" w:rsidP="0048716C">
      <w:pPr>
        <w:rPr>
          <w:rFonts w:ascii="Times New Roman" w:hAnsi="Times New Roman" w:cs="Times New Roman"/>
          <w:sz w:val="20"/>
          <w:szCs w:val="20"/>
        </w:rPr>
      </w:pPr>
      <w:r w:rsidRPr="007A0E3E">
        <w:rPr>
          <w:rFonts w:ascii="Times New Roman" w:hAnsi="Times New Roman" w:cs="Times New Roman"/>
          <w:sz w:val="20"/>
          <w:szCs w:val="20"/>
        </w:rPr>
        <w:t>Supplementary Fig</w:t>
      </w:r>
      <w:r w:rsidR="00835491" w:rsidRPr="007A0E3E">
        <w:rPr>
          <w:rFonts w:ascii="Times New Roman" w:hAnsi="Times New Roman" w:cs="Times New Roman"/>
          <w:sz w:val="20"/>
          <w:szCs w:val="20"/>
        </w:rPr>
        <w:t>.</w:t>
      </w:r>
      <w:r w:rsidRPr="007A0E3E">
        <w:rPr>
          <w:rFonts w:ascii="Times New Roman" w:hAnsi="Times New Roman" w:cs="Times New Roman"/>
          <w:sz w:val="20"/>
          <w:szCs w:val="20"/>
        </w:rPr>
        <w:t xml:space="preserve"> 1</w:t>
      </w:r>
      <w:r w:rsidR="00835491" w:rsidRPr="007A0E3E">
        <w:rPr>
          <w:rFonts w:ascii="Times New Roman" w:hAnsi="Times New Roman" w:cs="Times New Roman"/>
          <w:sz w:val="20"/>
          <w:szCs w:val="20"/>
        </w:rPr>
        <w:t>.</w:t>
      </w:r>
      <w:r w:rsidRPr="007A0E3E">
        <w:rPr>
          <w:rFonts w:ascii="Times New Roman" w:hAnsi="Times New Roman" w:cs="Times New Roman"/>
          <w:sz w:val="20"/>
          <w:szCs w:val="20"/>
        </w:rPr>
        <w:t xml:space="preserve"> Scatterplots of the first ten principal components colored by 1KG European populations (British, CEPH, Finnish, Spanish, and Tuscan) and </w:t>
      </w:r>
      <w:proofErr w:type="spellStart"/>
      <w:r w:rsidRPr="007A0E3E">
        <w:rPr>
          <w:rFonts w:ascii="Times New Roman" w:hAnsi="Times New Roman" w:cs="Times New Roman"/>
          <w:sz w:val="20"/>
          <w:szCs w:val="20"/>
        </w:rPr>
        <w:t>NeuroIMAGE</w:t>
      </w:r>
      <w:proofErr w:type="spellEnd"/>
      <w:r w:rsidRPr="007A0E3E">
        <w:rPr>
          <w:rFonts w:ascii="Times New Roman" w:hAnsi="Times New Roman" w:cs="Times New Roman"/>
          <w:sz w:val="20"/>
          <w:szCs w:val="20"/>
        </w:rPr>
        <w:t xml:space="preserve"> sample. The </w:t>
      </w:r>
      <w:proofErr w:type="spellStart"/>
      <w:r w:rsidRPr="007A0E3E">
        <w:rPr>
          <w:rFonts w:ascii="Times New Roman" w:hAnsi="Times New Roman" w:cs="Times New Roman"/>
          <w:sz w:val="20"/>
          <w:szCs w:val="20"/>
        </w:rPr>
        <w:t>NeuroIMAGE</w:t>
      </w:r>
      <w:proofErr w:type="spellEnd"/>
      <w:r w:rsidRPr="007A0E3E">
        <w:rPr>
          <w:rFonts w:ascii="Times New Roman" w:hAnsi="Times New Roman" w:cs="Times New Roman"/>
          <w:sz w:val="20"/>
          <w:szCs w:val="20"/>
        </w:rPr>
        <w:t xml:space="preserve"> clusters closely with European British and CEPH populations, while showing some variation towards Finnish, Spanish, and Tuscan populations when looking at the first two principal components.</w:t>
      </w:r>
    </w:p>
    <w:p w14:paraId="2A891A94" w14:textId="77777777" w:rsidR="0048716C" w:rsidRPr="007A0E3E" w:rsidRDefault="0048716C" w:rsidP="0048716C">
      <w:pPr>
        <w:rPr>
          <w:rFonts w:ascii="Times New Roman" w:hAnsi="Times New Roman" w:cs="Times New Roman"/>
          <w:sz w:val="20"/>
          <w:szCs w:val="20"/>
        </w:rPr>
      </w:pPr>
    </w:p>
    <w:p w14:paraId="68CD5C61" w14:textId="77777777" w:rsidR="0048716C" w:rsidRPr="007A0E3E" w:rsidRDefault="0048716C" w:rsidP="0048716C">
      <w:pPr>
        <w:rPr>
          <w:rFonts w:ascii="Times New Roman" w:hAnsi="Times New Roman" w:cs="Times New Roman"/>
          <w:sz w:val="20"/>
          <w:szCs w:val="20"/>
        </w:rPr>
      </w:pPr>
      <w:r w:rsidRPr="007A0E3E">
        <w:rPr>
          <w:rFonts w:ascii="Times New Roman" w:hAnsi="Times New Roman" w:cs="Times New Roman"/>
          <w:noProof/>
          <w:sz w:val="20"/>
          <w:szCs w:val="20"/>
        </w:rPr>
        <w:lastRenderedPageBreak/>
        <w:drawing>
          <wp:inline distT="0" distB="0" distL="0" distR="0" wp14:anchorId="6A75AD63" wp14:editId="3F898F06">
            <wp:extent cx="5731510" cy="4155440"/>
            <wp:effectExtent l="0" t="0" r="2540" b="0"/>
            <wp:docPr id="6" name="Content Placeholder 5">
              <a:extLst xmlns:a="http://schemas.openxmlformats.org/drawingml/2006/main">
                <a:ext uri="{FF2B5EF4-FFF2-40B4-BE49-F238E27FC236}">
                  <a16:creationId xmlns:a16="http://schemas.microsoft.com/office/drawing/2014/main" id="{4BBC83E3-1502-45B9-A1CF-9D2CD14B0AC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a:extLst>
                        <a:ext uri="{FF2B5EF4-FFF2-40B4-BE49-F238E27FC236}">
                          <a16:creationId xmlns:a16="http://schemas.microsoft.com/office/drawing/2014/main" id="{4BBC83E3-1502-45B9-A1CF-9D2CD14B0AC7}"/>
                        </a:ext>
                      </a:extLst>
                    </pic:cNvPr>
                    <pic:cNvPicPr>
                      <a:picLocks noGrp="1" noChangeAspect="1"/>
                    </pic:cNvPicPr>
                  </pic:nvPicPr>
                  <pic:blipFill>
                    <a:blip r:embed="rId7" cstate="print">
                      <a:extLst>
                        <a:ext uri="{28A0092B-C50C-407E-A947-70E740481C1C}">
                          <a14:useLocalDpi xmlns:a14="http://schemas.microsoft.com/office/drawing/2010/main" val="0"/>
                        </a:ext>
                      </a:extLst>
                    </a:blip>
                    <a:srcRect/>
                    <a:stretch/>
                  </pic:blipFill>
                  <pic:spPr>
                    <a:xfrm>
                      <a:off x="0" y="0"/>
                      <a:ext cx="5731510" cy="4155440"/>
                    </a:xfrm>
                    <a:prstGeom prst="rect">
                      <a:avLst/>
                    </a:prstGeom>
                  </pic:spPr>
                </pic:pic>
              </a:graphicData>
            </a:graphic>
          </wp:inline>
        </w:drawing>
      </w:r>
    </w:p>
    <w:p w14:paraId="295DF36B" w14:textId="04E17BB9" w:rsidR="0048716C" w:rsidRPr="007A0E3E" w:rsidRDefault="0048716C" w:rsidP="0048716C">
      <w:pPr>
        <w:rPr>
          <w:rFonts w:ascii="Times New Roman" w:hAnsi="Times New Roman" w:cs="Times New Roman"/>
          <w:sz w:val="20"/>
          <w:szCs w:val="20"/>
        </w:rPr>
      </w:pPr>
      <w:r w:rsidRPr="007A0E3E">
        <w:rPr>
          <w:rFonts w:ascii="Times New Roman" w:hAnsi="Times New Roman" w:cs="Times New Roman"/>
          <w:sz w:val="20"/>
          <w:szCs w:val="20"/>
        </w:rPr>
        <w:t>Supplementary Fi</w:t>
      </w:r>
      <w:r w:rsidR="00835491" w:rsidRPr="007A0E3E">
        <w:rPr>
          <w:rFonts w:ascii="Times New Roman" w:hAnsi="Times New Roman" w:cs="Times New Roman"/>
          <w:sz w:val="20"/>
          <w:szCs w:val="20"/>
        </w:rPr>
        <w:t>g.</w:t>
      </w:r>
      <w:r w:rsidRPr="007A0E3E">
        <w:rPr>
          <w:rFonts w:ascii="Times New Roman" w:hAnsi="Times New Roman" w:cs="Times New Roman"/>
          <w:sz w:val="20"/>
          <w:szCs w:val="20"/>
        </w:rPr>
        <w:t xml:space="preserve"> 2. Bar plot showing at broad </w:t>
      </w:r>
      <w:r w:rsidRPr="007A0E3E">
        <w:rPr>
          <w:rFonts w:ascii="Times New Roman" w:hAnsi="Times New Roman" w:cs="Times New Roman"/>
          <w:i/>
          <w:iCs/>
          <w:sz w:val="20"/>
          <w:szCs w:val="20"/>
        </w:rPr>
        <w:t>p-value</w:t>
      </w:r>
      <w:r w:rsidRPr="007A0E3E">
        <w:rPr>
          <w:rFonts w:ascii="Times New Roman" w:hAnsi="Times New Roman" w:cs="Times New Roman"/>
          <w:sz w:val="20"/>
          <w:szCs w:val="20"/>
        </w:rPr>
        <w:t xml:space="preserve"> thresholds for PRS-ADHD predicting total ADHD symptom scores in all participants with genetic data available (N=845). Each bar represents the respective p-value thresholds whereas the numbers above bars denote the number of SNPs used to calculate PRS-ADHD at that threshold.</w:t>
      </w:r>
    </w:p>
    <w:p w14:paraId="14502538" w14:textId="77777777" w:rsidR="0048716C" w:rsidRPr="007A0E3E" w:rsidRDefault="0048716C" w:rsidP="0048716C">
      <w:pPr>
        <w:rPr>
          <w:rFonts w:ascii="Times New Roman" w:hAnsi="Times New Roman" w:cs="Times New Roman"/>
          <w:sz w:val="20"/>
          <w:szCs w:val="20"/>
        </w:rPr>
      </w:pPr>
    </w:p>
    <w:p w14:paraId="61B0848C" w14:textId="77777777" w:rsidR="0048716C" w:rsidRPr="007A0E3E" w:rsidRDefault="0048716C" w:rsidP="0048716C">
      <w:pPr>
        <w:rPr>
          <w:rFonts w:ascii="Times New Roman" w:hAnsi="Times New Roman" w:cs="Times New Roman"/>
          <w:sz w:val="20"/>
          <w:szCs w:val="20"/>
        </w:rPr>
      </w:pPr>
      <w:r w:rsidRPr="007A0E3E">
        <w:rPr>
          <w:rFonts w:ascii="Times New Roman" w:hAnsi="Times New Roman" w:cs="Times New Roman"/>
          <w:noProof/>
          <w:sz w:val="20"/>
          <w:szCs w:val="20"/>
        </w:rPr>
        <w:lastRenderedPageBreak/>
        <w:drawing>
          <wp:inline distT="0" distB="0" distL="0" distR="0" wp14:anchorId="1B40ADC7" wp14:editId="1B57618B">
            <wp:extent cx="5731510" cy="4155440"/>
            <wp:effectExtent l="0" t="0" r="2540" b="0"/>
            <wp:docPr id="2" name="Content Placeholder 5">
              <a:extLst xmlns:a="http://schemas.openxmlformats.org/drawingml/2006/main">
                <a:ext uri="{FF2B5EF4-FFF2-40B4-BE49-F238E27FC236}">
                  <a16:creationId xmlns:a16="http://schemas.microsoft.com/office/drawing/2014/main" id="{4BBC83E3-1502-45B9-A1CF-9D2CD14B0AC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a:extLst>
                        <a:ext uri="{FF2B5EF4-FFF2-40B4-BE49-F238E27FC236}">
                          <a16:creationId xmlns:a16="http://schemas.microsoft.com/office/drawing/2014/main" id="{4BBC83E3-1502-45B9-A1CF-9D2CD14B0AC7}"/>
                        </a:ext>
                      </a:extLst>
                    </pic:cNvPr>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4155440"/>
                    </a:xfrm>
                    <a:prstGeom prst="rect">
                      <a:avLst/>
                    </a:prstGeom>
                  </pic:spPr>
                </pic:pic>
              </a:graphicData>
            </a:graphic>
          </wp:inline>
        </w:drawing>
      </w:r>
    </w:p>
    <w:p w14:paraId="4BD9D955" w14:textId="15A4A7CF" w:rsidR="0048716C" w:rsidRPr="007A0E3E" w:rsidRDefault="0048716C" w:rsidP="0048716C">
      <w:pPr>
        <w:rPr>
          <w:rFonts w:ascii="Times New Roman" w:hAnsi="Times New Roman" w:cs="Times New Roman"/>
          <w:sz w:val="20"/>
          <w:szCs w:val="20"/>
        </w:rPr>
      </w:pPr>
      <w:r w:rsidRPr="007A0E3E">
        <w:rPr>
          <w:rFonts w:ascii="Times New Roman" w:hAnsi="Times New Roman" w:cs="Times New Roman"/>
          <w:sz w:val="20"/>
          <w:szCs w:val="20"/>
        </w:rPr>
        <w:t>Supplementary Fig</w:t>
      </w:r>
      <w:r w:rsidR="00835491" w:rsidRPr="007A0E3E">
        <w:rPr>
          <w:rFonts w:ascii="Times New Roman" w:hAnsi="Times New Roman" w:cs="Times New Roman"/>
          <w:sz w:val="20"/>
          <w:szCs w:val="20"/>
        </w:rPr>
        <w:t>.</w:t>
      </w:r>
      <w:r w:rsidRPr="007A0E3E">
        <w:rPr>
          <w:rFonts w:ascii="Times New Roman" w:hAnsi="Times New Roman" w:cs="Times New Roman"/>
          <w:sz w:val="20"/>
          <w:szCs w:val="20"/>
        </w:rPr>
        <w:t xml:space="preserve"> 3</w:t>
      </w:r>
      <w:r w:rsidRPr="007A0E3E">
        <w:rPr>
          <w:rFonts w:ascii="Times New Roman" w:hAnsi="Times New Roman" w:cs="Times New Roman"/>
          <w:i/>
          <w:iCs/>
          <w:sz w:val="20"/>
          <w:szCs w:val="20"/>
        </w:rPr>
        <w:t>.</w:t>
      </w:r>
      <w:r w:rsidRPr="007A0E3E">
        <w:rPr>
          <w:rFonts w:ascii="Times New Roman" w:hAnsi="Times New Roman" w:cs="Times New Roman"/>
          <w:sz w:val="20"/>
          <w:szCs w:val="20"/>
        </w:rPr>
        <w:t xml:space="preserve"> Bar plot showing at broad </w:t>
      </w:r>
      <w:r w:rsidRPr="007A0E3E">
        <w:rPr>
          <w:rFonts w:ascii="Times New Roman" w:hAnsi="Times New Roman" w:cs="Times New Roman"/>
          <w:i/>
          <w:iCs/>
          <w:sz w:val="20"/>
          <w:szCs w:val="20"/>
        </w:rPr>
        <w:t>p-value</w:t>
      </w:r>
      <w:r w:rsidRPr="007A0E3E">
        <w:rPr>
          <w:rFonts w:ascii="Times New Roman" w:hAnsi="Times New Roman" w:cs="Times New Roman"/>
          <w:sz w:val="20"/>
          <w:szCs w:val="20"/>
        </w:rPr>
        <w:t xml:space="preserve"> thresholds for PRS-ADHD predicting inattention symptom scores in all participants with genetic data available (N=859). Each bar represents the respective p-value thresholds whereas the numbers above bars denote the number of SNPs used to calculate PRS-ADHD at that threshold.</w:t>
      </w:r>
    </w:p>
    <w:p w14:paraId="7F736FFC" w14:textId="77777777" w:rsidR="0048716C" w:rsidRPr="007A0E3E" w:rsidRDefault="0048716C" w:rsidP="0048716C">
      <w:pPr>
        <w:rPr>
          <w:rFonts w:ascii="Times New Roman" w:hAnsi="Times New Roman" w:cs="Times New Roman"/>
          <w:sz w:val="20"/>
          <w:szCs w:val="20"/>
        </w:rPr>
      </w:pPr>
    </w:p>
    <w:p w14:paraId="0A9C1C26" w14:textId="77777777" w:rsidR="0048716C" w:rsidRPr="007A0E3E" w:rsidRDefault="0048716C" w:rsidP="0048716C">
      <w:pPr>
        <w:rPr>
          <w:rFonts w:ascii="Times New Roman" w:hAnsi="Times New Roman" w:cs="Times New Roman"/>
          <w:sz w:val="20"/>
          <w:szCs w:val="20"/>
        </w:rPr>
      </w:pPr>
      <w:r w:rsidRPr="007A0E3E">
        <w:rPr>
          <w:rFonts w:ascii="Times New Roman" w:hAnsi="Times New Roman" w:cs="Times New Roman"/>
          <w:noProof/>
          <w:sz w:val="20"/>
          <w:szCs w:val="20"/>
        </w:rPr>
        <w:lastRenderedPageBreak/>
        <w:drawing>
          <wp:inline distT="0" distB="0" distL="0" distR="0" wp14:anchorId="0245D875" wp14:editId="4C8DB481">
            <wp:extent cx="5731510" cy="4155440"/>
            <wp:effectExtent l="0" t="0" r="2540" b="0"/>
            <wp:docPr id="3" name="Content Placeholder 5">
              <a:extLst xmlns:a="http://schemas.openxmlformats.org/drawingml/2006/main">
                <a:ext uri="{FF2B5EF4-FFF2-40B4-BE49-F238E27FC236}">
                  <a16:creationId xmlns:a16="http://schemas.microsoft.com/office/drawing/2014/main" id="{4BBC83E3-1502-45B9-A1CF-9D2CD14B0AC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a:extLst>
                        <a:ext uri="{FF2B5EF4-FFF2-40B4-BE49-F238E27FC236}">
                          <a16:creationId xmlns:a16="http://schemas.microsoft.com/office/drawing/2014/main" id="{4BBC83E3-1502-45B9-A1CF-9D2CD14B0AC7}"/>
                        </a:ext>
                      </a:extLst>
                    </pic:cNvPr>
                    <pic:cNvPicPr>
                      <a:picLocks noGrp="1" noChangeAspect="1"/>
                    </pic:cNvPicPr>
                  </pic:nvPicPr>
                  <pic:blipFill>
                    <a:blip r:embed="rId9" cstate="print">
                      <a:extLst>
                        <a:ext uri="{28A0092B-C50C-407E-A947-70E740481C1C}">
                          <a14:useLocalDpi xmlns:a14="http://schemas.microsoft.com/office/drawing/2010/main" val="0"/>
                        </a:ext>
                      </a:extLst>
                    </a:blip>
                    <a:srcRect/>
                    <a:stretch/>
                  </pic:blipFill>
                  <pic:spPr>
                    <a:xfrm>
                      <a:off x="0" y="0"/>
                      <a:ext cx="5731510" cy="4155440"/>
                    </a:xfrm>
                    <a:prstGeom prst="rect">
                      <a:avLst/>
                    </a:prstGeom>
                  </pic:spPr>
                </pic:pic>
              </a:graphicData>
            </a:graphic>
          </wp:inline>
        </w:drawing>
      </w:r>
    </w:p>
    <w:p w14:paraId="21F08C30" w14:textId="5FF630C8" w:rsidR="0048716C" w:rsidRPr="007A0E3E" w:rsidRDefault="0048716C" w:rsidP="0048716C">
      <w:pPr>
        <w:rPr>
          <w:rFonts w:ascii="Times New Roman" w:hAnsi="Times New Roman" w:cs="Times New Roman"/>
          <w:sz w:val="20"/>
          <w:szCs w:val="20"/>
        </w:rPr>
      </w:pPr>
      <w:r w:rsidRPr="007A0E3E">
        <w:rPr>
          <w:rFonts w:ascii="Times New Roman" w:hAnsi="Times New Roman" w:cs="Times New Roman"/>
          <w:sz w:val="20"/>
          <w:szCs w:val="20"/>
        </w:rPr>
        <w:t>Supplementary Fig</w:t>
      </w:r>
      <w:r w:rsidR="00835491" w:rsidRPr="007A0E3E">
        <w:rPr>
          <w:rFonts w:ascii="Times New Roman" w:hAnsi="Times New Roman" w:cs="Times New Roman"/>
          <w:sz w:val="20"/>
          <w:szCs w:val="20"/>
        </w:rPr>
        <w:t>.</w:t>
      </w:r>
      <w:r w:rsidRPr="007A0E3E">
        <w:rPr>
          <w:rFonts w:ascii="Times New Roman" w:hAnsi="Times New Roman" w:cs="Times New Roman"/>
          <w:sz w:val="20"/>
          <w:szCs w:val="20"/>
        </w:rPr>
        <w:t xml:space="preserve"> 4. Bar plot showing at broad </w:t>
      </w:r>
      <w:r w:rsidRPr="007A0E3E">
        <w:rPr>
          <w:rFonts w:ascii="Times New Roman" w:hAnsi="Times New Roman" w:cs="Times New Roman"/>
          <w:i/>
          <w:iCs/>
          <w:sz w:val="20"/>
          <w:szCs w:val="20"/>
        </w:rPr>
        <w:t>p-value</w:t>
      </w:r>
      <w:r w:rsidRPr="007A0E3E">
        <w:rPr>
          <w:rFonts w:ascii="Times New Roman" w:hAnsi="Times New Roman" w:cs="Times New Roman"/>
          <w:sz w:val="20"/>
          <w:szCs w:val="20"/>
        </w:rPr>
        <w:t xml:space="preserve"> thresholds for PRS-ADHD predicting hyperactivity-impulsivity symptom scores in all participants with genetic data available (N=866). Each bar represents the respective p-value thresholds whereas the numbers above bars denote the number of SNPs used to calculate PRS-ADHD at that threshold.</w:t>
      </w:r>
    </w:p>
    <w:p w14:paraId="243ED1A0" w14:textId="77777777" w:rsidR="0048716C" w:rsidRPr="007A0E3E" w:rsidRDefault="0048716C" w:rsidP="0048716C">
      <w:pPr>
        <w:rPr>
          <w:rFonts w:ascii="Times New Roman" w:hAnsi="Times New Roman" w:cs="Times New Roman"/>
          <w:sz w:val="20"/>
          <w:szCs w:val="20"/>
        </w:rPr>
      </w:pPr>
    </w:p>
    <w:p w14:paraId="0568F436" w14:textId="77777777" w:rsidR="0048716C" w:rsidRPr="007A0E3E" w:rsidRDefault="0048716C" w:rsidP="005271FD">
      <w:pPr>
        <w:spacing w:after="0" w:line="480" w:lineRule="auto"/>
        <w:rPr>
          <w:rFonts w:ascii="Times New Roman" w:hAnsi="Times New Roman" w:cs="Times New Roman"/>
          <w:color w:val="222222"/>
          <w:sz w:val="20"/>
          <w:szCs w:val="20"/>
          <w:shd w:val="clear" w:color="auto" w:fill="FFFFFF"/>
        </w:rPr>
        <w:sectPr w:rsidR="0048716C" w:rsidRPr="007A0E3E">
          <w:pgSz w:w="11906" w:h="16838"/>
          <w:pgMar w:top="1440" w:right="1440" w:bottom="1440" w:left="1440" w:header="708" w:footer="708" w:gutter="0"/>
          <w:cols w:space="708"/>
          <w:docGrid w:linePitch="360"/>
        </w:sectPr>
      </w:pPr>
    </w:p>
    <w:p w14:paraId="7D27E2E0" w14:textId="02BA42F3" w:rsidR="0048716C" w:rsidRPr="007A0E3E" w:rsidRDefault="0048716C" w:rsidP="0048716C">
      <w:pPr>
        <w:rPr>
          <w:rFonts w:ascii="Times New Roman" w:hAnsi="Times New Roman" w:cs="Times New Roman"/>
          <w:sz w:val="20"/>
          <w:szCs w:val="20"/>
        </w:rPr>
      </w:pPr>
      <w:r w:rsidRPr="007A0E3E">
        <w:rPr>
          <w:rFonts w:ascii="Times New Roman" w:hAnsi="Times New Roman" w:cs="Times New Roman"/>
          <w:sz w:val="20"/>
          <w:szCs w:val="20"/>
        </w:rPr>
        <w:lastRenderedPageBreak/>
        <w:t>Supplementary Table 1 Demographic characteristics of all participants with genetic data available.</w:t>
      </w:r>
    </w:p>
    <w:tbl>
      <w:tblPr>
        <w:tblStyle w:val="GridTable2"/>
        <w:tblW w:w="0" w:type="auto"/>
        <w:tblLook w:val="0600" w:firstRow="0" w:lastRow="0" w:firstColumn="0" w:lastColumn="0" w:noHBand="1" w:noVBand="1"/>
      </w:tblPr>
      <w:tblGrid>
        <w:gridCol w:w="4504"/>
        <w:gridCol w:w="708"/>
        <w:gridCol w:w="904"/>
        <w:gridCol w:w="1292"/>
        <w:gridCol w:w="1618"/>
      </w:tblGrid>
      <w:tr w:rsidR="0048716C" w:rsidRPr="007A0E3E" w14:paraId="37D54910" w14:textId="77777777" w:rsidTr="001F3DEB">
        <w:trPr>
          <w:trHeight w:val="113"/>
        </w:trPr>
        <w:tc>
          <w:tcPr>
            <w:tcW w:w="9026" w:type="dxa"/>
            <w:gridSpan w:val="5"/>
          </w:tcPr>
          <w:p w14:paraId="7E37A581"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i/>
                <w:iCs/>
                <w:sz w:val="20"/>
                <w:szCs w:val="20"/>
              </w:rPr>
              <w:t>Demographic characteristics</w:t>
            </w:r>
          </w:p>
        </w:tc>
      </w:tr>
      <w:tr w:rsidR="0048716C" w:rsidRPr="007A0E3E" w14:paraId="73B1509D" w14:textId="77777777" w:rsidTr="001F3DEB">
        <w:trPr>
          <w:trHeight w:val="113"/>
        </w:trPr>
        <w:tc>
          <w:tcPr>
            <w:tcW w:w="4504" w:type="dxa"/>
            <w:hideMark/>
          </w:tcPr>
          <w:p w14:paraId="0C60C6C1" w14:textId="77777777" w:rsidR="0048716C" w:rsidRPr="007A0E3E" w:rsidRDefault="0048716C" w:rsidP="001F3DEB">
            <w:pPr>
              <w:rPr>
                <w:rFonts w:ascii="Times New Roman" w:hAnsi="Times New Roman" w:cs="Times New Roman"/>
                <w:sz w:val="20"/>
                <w:szCs w:val="20"/>
                <w:lang w:val="nl-NL"/>
              </w:rPr>
            </w:pPr>
          </w:p>
        </w:tc>
        <w:tc>
          <w:tcPr>
            <w:tcW w:w="708" w:type="dxa"/>
            <w:hideMark/>
          </w:tcPr>
          <w:p w14:paraId="77B588B7"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N</w:t>
            </w:r>
          </w:p>
        </w:tc>
        <w:tc>
          <w:tcPr>
            <w:tcW w:w="3814" w:type="dxa"/>
            <w:gridSpan w:val="3"/>
            <w:hideMark/>
          </w:tcPr>
          <w:p w14:paraId="0A4AD3F0" w14:textId="77777777" w:rsidR="0048716C" w:rsidRPr="007A0E3E" w:rsidRDefault="0048716C" w:rsidP="001F3DEB">
            <w:pPr>
              <w:rPr>
                <w:rFonts w:ascii="Times New Roman" w:hAnsi="Times New Roman" w:cs="Times New Roman"/>
                <w:sz w:val="20"/>
                <w:szCs w:val="20"/>
                <w:lang w:val="nl-NL"/>
              </w:rPr>
            </w:pPr>
          </w:p>
        </w:tc>
      </w:tr>
      <w:tr w:rsidR="0048716C" w:rsidRPr="007A0E3E" w14:paraId="096A7932" w14:textId="77777777" w:rsidTr="001F3DEB">
        <w:trPr>
          <w:trHeight w:val="113"/>
        </w:trPr>
        <w:tc>
          <w:tcPr>
            <w:tcW w:w="4504" w:type="dxa"/>
            <w:hideMark/>
          </w:tcPr>
          <w:p w14:paraId="746E7A3D"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Sex (female/male)</w:t>
            </w:r>
          </w:p>
        </w:tc>
        <w:tc>
          <w:tcPr>
            <w:tcW w:w="708" w:type="dxa"/>
            <w:hideMark/>
          </w:tcPr>
          <w:p w14:paraId="4D5462E1"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908</w:t>
            </w:r>
          </w:p>
        </w:tc>
        <w:tc>
          <w:tcPr>
            <w:tcW w:w="3814" w:type="dxa"/>
            <w:gridSpan w:val="3"/>
            <w:hideMark/>
          </w:tcPr>
          <w:p w14:paraId="39624128"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394 (43.4%)/ 514 (56.6%)</w:t>
            </w:r>
          </w:p>
        </w:tc>
      </w:tr>
      <w:tr w:rsidR="0048716C" w:rsidRPr="007A0E3E" w14:paraId="3AE24213" w14:textId="77777777" w:rsidTr="001F3DEB">
        <w:trPr>
          <w:trHeight w:val="113"/>
        </w:trPr>
        <w:tc>
          <w:tcPr>
            <w:tcW w:w="4504" w:type="dxa"/>
          </w:tcPr>
          <w:p w14:paraId="54B82896"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Medication use (yes/no)</w:t>
            </w:r>
          </w:p>
        </w:tc>
        <w:tc>
          <w:tcPr>
            <w:tcW w:w="708" w:type="dxa"/>
          </w:tcPr>
          <w:p w14:paraId="37F9EFE3"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903</w:t>
            </w:r>
          </w:p>
        </w:tc>
        <w:tc>
          <w:tcPr>
            <w:tcW w:w="3814" w:type="dxa"/>
            <w:gridSpan w:val="3"/>
          </w:tcPr>
          <w:p w14:paraId="0A74B8CD"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161 (17.8%)/ 742 (82.2%)</w:t>
            </w:r>
          </w:p>
        </w:tc>
      </w:tr>
      <w:tr w:rsidR="0048716C" w:rsidRPr="007A0E3E" w14:paraId="568F84DC" w14:textId="77777777" w:rsidTr="001F3DEB">
        <w:trPr>
          <w:trHeight w:val="113"/>
        </w:trPr>
        <w:tc>
          <w:tcPr>
            <w:tcW w:w="4504" w:type="dxa"/>
          </w:tcPr>
          <w:p w14:paraId="150DB62F"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Handedness (right/left)</w:t>
            </w:r>
          </w:p>
        </w:tc>
        <w:tc>
          <w:tcPr>
            <w:tcW w:w="708" w:type="dxa"/>
          </w:tcPr>
          <w:p w14:paraId="4A12F666"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814</w:t>
            </w:r>
          </w:p>
        </w:tc>
        <w:tc>
          <w:tcPr>
            <w:tcW w:w="3814" w:type="dxa"/>
            <w:gridSpan w:val="3"/>
          </w:tcPr>
          <w:p w14:paraId="54839247"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98 (12%)/ 716 (88%)</w:t>
            </w:r>
          </w:p>
        </w:tc>
      </w:tr>
      <w:tr w:rsidR="0048716C" w:rsidRPr="007A0E3E" w14:paraId="0335215B" w14:textId="77777777" w:rsidTr="001F3DEB">
        <w:trPr>
          <w:trHeight w:val="113"/>
        </w:trPr>
        <w:tc>
          <w:tcPr>
            <w:tcW w:w="4504" w:type="dxa"/>
            <w:hideMark/>
          </w:tcPr>
          <w:p w14:paraId="5AE8C84F" w14:textId="77777777" w:rsidR="0048716C" w:rsidRPr="007A0E3E" w:rsidRDefault="0048716C" w:rsidP="001F3DEB">
            <w:pPr>
              <w:rPr>
                <w:rFonts w:ascii="Times New Roman" w:hAnsi="Times New Roman" w:cs="Times New Roman"/>
                <w:sz w:val="20"/>
                <w:szCs w:val="20"/>
                <w:lang w:val="nl-NL"/>
              </w:rPr>
            </w:pPr>
          </w:p>
        </w:tc>
        <w:tc>
          <w:tcPr>
            <w:tcW w:w="708" w:type="dxa"/>
            <w:hideMark/>
          </w:tcPr>
          <w:p w14:paraId="2F59571E"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N</w:t>
            </w:r>
          </w:p>
        </w:tc>
        <w:tc>
          <w:tcPr>
            <w:tcW w:w="904" w:type="dxa"/>
            <w:hideMark/>
          </w:tcPr>
          <w:p w14:paraId="116FDA44"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Mean</w:t>
            </w:r>
          </w:p>
        </w:tc>
        <w:tc>
          <w:tcPr>
            <w:tcW w:w="1292" w:type="dxa"/>
            <w:hideMark/>
          </w:tcPr>
          <w:p w14:paraId="0B15174E"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SD</w:t>
            </w:r>
          </w:p>
        </w:tc>
        <w:tc>
          <w:tcPr>
            <w:tcW w:w="1618" w:type="dxa"/>
            <w:hideMark/>
          </w:tcPr>
          <w:p w14:paraId="432BD271"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Range</w:t>
            </w:r>
          </w:p>
        </w:tc>
      </w:tr>
      <w:tr w:rsidR="0048716C" w:rsidRPr="007A0E3E" w14:paraId="5AF82C92" w14:textId="77777777" w:rsidTr="001F3DEB">
        <w:trPr>
          <w:trHeight w:val="113"/>
        </w:trPr>
        <w:tc>
          <w:tcPr>
            <w:tcW w:w="4504" w:type="dxa"/>
            <w:hideMark/>
          </w:tcPr>
          <w:p w14:paraId="284D4D8B"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Age</w:t>
            </w:r>
          </w:p>
        </w:tc>
        <w:tc>
          <w:tcPr>
            <w:tcW w:w="708" w:type="dxa"/>
            <w:hideMark/>
          </w:tcPr>
          <w:p w14:paraId="38A48ACA"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908</w:t>
            </w:r>
          </w:p>
        </w:tc>
        <w:tc>
          <w:tcPr>
            <w:tcW w:w="904" w:type="dxa"/>
            <w:hideMark/>
          </w:tcPr>
          <w:p w14:paraId="1B6D4831"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16.92</w:t>
            </w:r>
          </w:p>
        </w:tc>
        <w:tc>
          <w:tcPr>
            <w:tcW w:w="1292" w:type="dxa"/>
            <w:hideMark/>
          </w:tcPr>
          <w:p w14:paraId="4A774D5A"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3.69</w:t>
            </w:r>
          </w:p>
        </w:tc>
        <w:tc>
          <w:tcPr>
            <w:tcW w:w="1618" w:type="dxa"/>
            <w:hideMark/>
          </w:tcPr>
          <w:p w14:paraId="5DDF4F75"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[5.77 – 30.51]</w:t>
            </w:r>
          </w:p>
        </w:tc>
      </w:tr>
      <w:tr w:rsidR="0048716C" w:rsidRPr="007A0E3E" w14:paraId="64899DEC" w14:textId="77777777" w:rsidTr="001F3DEB">
        <w:trPr>
          <w:trHeight w:val="113"/>
        </w:trPr>
        <w:tc>
          <w:tcPr>
            <w:tcW w:w="4504" w:type="dxa"/>
            <w:hideMark/>
          </w:tcPr>
          <w:p w14:paraId="7DD2BA8C"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Estimated IQ</w:t>
            </w:r>
            <w:r w:rsidRPr="007A0E3E">
              <w:rPr>
                <w:rFonts w:ascii="Times New Roman" w:hAnsi="Times New Roman" w:cs="Times New Roman"/>
                <w:sz w:val="20"/>
                <w:szCs w:val="20"/>
                <w:vertAlign w:val="superscript"/>
                <w:lang w:val="nl-NL"/>
              </w:rPr>
              <w:t>a</w:t>
            </w:r>
          </w:p>
        </w:tc>
        <w:tc>
          <w:tcPr>
            <w:tcW w:w="708" w:type="dxa"/>
            <w:hideMark/>
          </w:tcPr>
          <w:p w14:paraId="184B8113"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814</w:t>
            </w:r>
          </w:p>
        </w:tc>
        <w:tc>
          <w:tcPr>
            <w:tcW w:w="904" w:type="dxa"/>
            <w:hideMark/>
          </w:tcPr>
          <w:p w14:paraId="23A38541"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99.69</w:t>
            </w:r>
          </w:p>
        </w:tc>
        <w:tc>
          <w:tcPr>
            <w:tcW w:w="1292" w:type="dxa"/>
            <w:hideMark/>
          </w:tcPr>
          <w:p w14:paraId="533BCFCD"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16.07</w:t>
            </w:r>
          </w:p>
        </w:tc>
        <w:tc>
          <w:tcPr>
            <w:tcW w:w="1618" w:type="dxa"/>
            <w:hideMark/>
          </w:tcPr>
          <w:p w14:paraId="389FC65D"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 xml:space="preserve">[46 – 147] </w:t>
            </w:r>
          </w:p>
        </w:tc>
      </w:tr>
      <w:tr w:rsidR="0048716C" w:rsidRPr="007A0E3E" w14:paraId="5FCA81E4" w14:textId="77777777" w:rsidTr="001F3DEB">
        <w:trPr>
          <w:trHeight w:val="113"/>
        </w:trPr>
        <w:tc>
          <w:tcPr>
            <w:tcW w:w="4504" w:type="dxa"/>
          </w:tcPr>
          <w:p w14:paraId="0E7C5329"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Total symptom score</w:t>
            </w:r>
            <w:r w:rsidRPr="007A0E3E">
              <w:rPr>
                <w:rFonts w:ascii="Times New Roman" w:hAnsi="Times New Roman" w:cs="Times New Roman"/>
                <w:sz w:val="20"/>
                <w:szCs w:val="20"/>
                <w:vertAlign w:val="superscript"/>
                <w:lang w:val="nl-NL"/>
              </w:rPr>
              <w:t>b</w:t>
            </w:r>
          </w:p>
        </w:tc>
        <w:tc>
          <w:tcPr>
            <w:tcW w:w="708" w:type="dxa"/>
          </w:tcPr>
          <w:p w14:paraId="528EF900"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844</w:t>
            </w:r>
          </w:p>
        </w:tc>
        <w:tc>
          <w:tcPr>
            <w:tcW w:w="904" w:type="dxa"/>
          </w:tcPr>
          <w:p w14:paraId="51F35C2D"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12.95</w:t>
            </w:r>
          </w:p>
        </w:tc>
        <w:tc>
          <w:tcPr>
            <w:tcW w:w="1292" w:type="dxa"/>
          </w:tcPr>
          <w:p w14:paraId="002408C3"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12.54</w:t>
            </w:r>
          </w:p>
        </w:tc>
        <w:tc>
          <w:tcPr>
            <w:tcW w:w="1618" w:type="dxa"/>
          </w:tcPr>
          <w:p w14:paraId="0170CF39"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[0 – 53]</w:t>
            </w:r>
          </w:p>
        </w:tc>
      </w:tr>
      <w:tr w:rsidR="0048716C" w:rsidRPr="007A0E3E" w14:paraId="01792959" w14:textId="77777777" w:rsidTr="001F3DEB">
        <w:trPr>
          <w:trHeight w:val="113"/>
        </w:trPr>
        <w:tc>
          <w:tcPr>
            <w:tcW w:w="4504" w:type="dxa"/>
          </w:tcPr>
          <w:p w14:paraId="76E5FB47"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Inattention symptom score</w:t>
            </w:r>
            <w:r w:rsidRPr="007A0E3E">
              <w:rPr>
                <w:rFonts w:ascii="Times New Roman" w:hAnsi="Times New Roman" w:cs="Times New Roman"/>
                <w:sz w:val="20"/>
                <w:szCs w:val="20"/>
                <w:vertAlign w:val="superscript"/>
                <w:lang w:val="nl-NL"/>
              </w:rPr>
              <w:t>b</w:t>
            </w:r>
          </w:p>
        </w:tc>
        <w:tc>
          <w:tcPr>
            <w:tcW w:w="708" w:type="dxa"/>
          </w:tcPr>
          <w:p w14:paraId="6FE5C415"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865</w:t>
            </w:r>
          </w:p>
        </w:tc>
        <w:tc>
          <w:tcPr>
            <w:tcW w:w="904" w:type="dxa"/>
          </w:tcPr>
          <w:p w14:paraId="5CA04C0B"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8.11</w:t>
            </w:r>
          </w:p>
        </w:tc>
        <w:tc>
          <w:tcPr>
            <w:tcW w:w="1292" w:type="dxa"/>
          </w:tcPr>
          <w:p w14:paraId="0C9229ED"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7.39</w:t>
            </w:r>
          </w:p>
        </w:tc>
        <w:tc>
          <w:tcPr>
            <w:tcW w:w="1618" w:type="dxa"/>
          </w:tcPr>
          <w:p w14:paraId="5E5F1A19"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 xml:space="preserve">[0 – 27] </w:t>
            </w:r>
          </w:p>
        </w:tc>
      </w:tr>
      <w:tr w:rsidR="0048716C" w:rsidRPr="007A0E3E" w14:paraId="5504EB59" w14:textId="77777777" w:rsidTr="001F3DEB">
        <w:trPr>
          <w:trHeight w:val="113"/>
        </w:trPr>
        <w:tc>
          <w:tcPr>
            <w:tcW w:w="4504" w:type="dxa"/>
            <w:hideMark/>
          </w:tcPr>
          <w:p w14:paraId="2033DCE7"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 xml:space="preserve">Hyperactivity-impulsivity symptom </w:t>
            </w:r>
            <w:proofErr w:type="spellStart"/>
            <w:r w:rsidRPr="007A0E3E">
              <w:rPr>
                <w:rFonts w:ascii="Times New Roman" w:hAnsi="Times New Roman" w:cs="Times New Roman"/>
                <w:sz w:val="20"/>
                <w:szCs w:val="20"/>
              </w:rPr>
              <w:t>score</w:t>
            </w:r>
            <w:r w:rsidRPr="007A0E3E">
              <w:rPr>
                <w:rFonts w:ascii="Times New Roman" w:hAnsi="Times New Roman" w:cs="Times New Roman"/>
                <w:sz w:val="20"/>
                <w:szCs w:val="20"/>
                <w:vertAlign w:val="superscript"/>
              </w:rPr>
              <w:t>b</w:t>
            </w:r>
            <w:proofErr w:type="spellEnd"/>
          </w:p>
        </w:tc>
        <w:tc>
          <w:tcPr>
            <w:tcW w:w="708" w:type="dxa"/>
          </w:tcPr>
          <w:p w14:paraId="00AE4BC9"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858</w:t>
            </w:r>
          </w:p>
        </w:tc>
        <w:tc>
          <w:tcPr>
            <w:tcW w:w="904" w:type="dxa"/>
          </w:tcPr>
          <w:p w14:paraId="399E1009"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5.08</w:t>
            </w:r>
          </w:p>
        </w:tc>
        <w:tc>
          <w:tcPr>
            <w:tcW w:w="1292" w:type="dxa"/>
          </w:tcPr>
          <w:p w14:paraId="7FD9F954"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5.98</w:t>
            </w:r>
          </w:p>
        </w:tc>
        <w:tc>
          <w:tcPr>
            <w:tcW w:w="1618" w:type="dxa"/>
          </w:tcPr>
          <w:p w14:paraId="683F0738"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 xml:space="preserve">[0 – 27] </w:t>
            </w:r>
          </w:p>
        </w:tc>
      </w:tr>
    </w:tbl>
    <w:p w14:paraId="38C5A6C6" w14:textId="77777777" w:rsidR="0048716C" w:rsidRPr="007A0E3E" w:rsidRDefault="0048716C" w:rsidP="0048716C">
      <w:pPr>
        <w:autoSpaceDE w:val="0"/>
        <w:autoSpaceDN w:val="0"/>
        <w:adjustRightInd w:val="0"/>
        <w:spacing w:after="0" w:line="240" w:lineRule="auto"/>
        <w:rPr>
          <w:rFonts w:ascii="Times New Roman" w:hAnsi="Times New Roman" w:cs="Times New Roman"/>
          <w:sz w:val="20"/>
          <w:szCs w:val="20"/>
        </w:rPr>
      </w:pPr>
      <w:r w:rsidRPr="007A0E3E">
        <w:rPr>
          <w:rFonts w:ascii="Times New Roman" w:hAnsi="Times New Roman" w:cs="Times New Roman"/>
          <w:sz w:val="20"/>
          <w:szCs w:val="20"/>
        </w:rPr>
        <w:t>N, number of participants with data available; total symptom score, sum of the scores on the cognitive problems/inattention and hyperactivity subscales of the Conners’ Parent Rating Scale - Revised: Long version (CPRS-</w:t>
      </w:r>
      <w:proofErr w:type="gramStart"/>
      <w:r w:rsidRPr="007A0E3E">
        <w:rPr>
          <w:rFonts w:ascii="Times New Roman" w:hAnsi="Times New Roman" w:cs="Times New Roman"/>
          <w:sz w:val="20"/>
          <w:szCs w:val="20"/>
        </w:rPr>
        <w:t>R:L</w:t>
      </w:r>
      <w:proofErr w:type="gramEnd"/>
      <w:r w:rsidRPr="007A0E3E">
        <w:rPr>
          <w:rFonts w:ascii="Times New Roman" w:hAnsi="Times New Roman" w:cs="Times New Roman"/>
          <w:sz w:val="20"/>
          <w:szCs w:val="20"/>
        </w:rPr>
        <w:t>); inattention symptom score, scores on the cognitive problems/inattention subscale of the CPRS-R:L; hyperactivity-impulsivity symptom score, scores on the hyperactivity subscale of the CPRS-R:L.</w:t>
      </w:r>
    </w:p>
    <w:p w14:paraId="119BD3EC" w14:textId="281CEB08" w:rsidR="0048716C" w:rsidRPr="007A0E3E" w:rsidRDefault="0048716C" w:rsidP="0048716C">
      <w:pPr>
        <w:autoSpaceDE w:val="0"/>
        <w:autoSpaceDN w:val="0"/>
        <w:adjustRightInd w:val="0"/>
        <w:spacing w:after="0" w:line="240" w:lineRule="auto"/>
        <w:rPr>
          <w:rFonts w:ascii="Times New Roman" w:hAnsi="Times New Roman" w:cs="Times New Roman"/>
          <w:sz w:val="20"/>
          <w:szCs w:val="20"/>
        </w:rPr>
      </w:pPr>
      <w:r w:rsidRPr="007A0E3E">
        <w:rPr>
          <w:rFonts w:ascii="Times New Roman" w:hAnsi="Times New Roman" w:cs="Times New Roman"/>
          <w:sz w:val="20"/>
          <w:szCs w:val="20"/>
          <w:vertAlign w:val="superscript"/>
        </w:rPr>
        <w:t>a</w:t>
      </w:r>
      <w:r w:rsidRPr="007A0E3E">
        <w:rPr>
          <w:rFonts w:ascii="Times New Roman" w:hAnsi="Times New Roman" w:cs="Times New Roman"/>
          <w:sz w:val="20"/>
          <w:szCs w:val="20"/>
        </w:rPr>
        <w:t xml:space="preserve"> Based on the block-design and vocabulary subtests of the Wechsler Intelligence Scale for Children or Wechsler Adult Intelligence Scal</w:t>
      </w:r>
      <w:r w:rsidR="00835491" w:rsidRPr="007A0E3E">
        <w:rPr>
          <w:rFonts w:ascii="Times New Roman" w:hAnsi="Times New Roman" w:cs="Times New Roman"/>
          <w:sz w:val="20"/>
          <w:szCs w:val="20"/>
        </w:rPr>
        <w:t xml:space="preserve">e </w:t>
      </w:r>
      <w:r w:rsidR="00835491" w:rsidRPr="007A0E3E">
        <w:rPr>
          <w:rFonts w:ascii="Times New Roman" w:hAnsi="Times New Roman" w:cs="Times New Roman"/>
          <w:sz w:val="20"/>
          <w:szCs w:val="20"/>
        </w:rPr>
        <w:fldChar w:fldCharType="begin" w:fldLock="1"/>
      </w:r>
      <w:r w:rsidR="00835491" w:rsidRPr="007A0E3E">
        <w:rPr>
          <w:rFonts w:ascii="Times New Roman" w:hAnsi="Times New Roman" w:cs="Times New Roman"/>
          <w:sz w:val="20"/>
          <w:szCs w:val="20"/>
        </w:rPr>
        <w:instrText>ADDIN CSL_CITATION {"citationItems":[{"id":"ITEM-1","itemData":{"author":[{"dropping-particle":"","family":"Wechsler","given":"David","non-dropping-particle":"","parse-names":false,"suffix":""}],"id":"ITEM-1","issued":{"date-parts":[["2003"]]},"note":"Title of the publication associated with this dataset: PsycTESTS\nDataset","publisher":"American Psychological Association (APA)","title":"Wechsler intelligence scale for children, fourth edition","type":"article"},"uris":["http://www.mendeley.com/documents/?uuid=fb478a20-7599-31ab-b20c-2593c305c7f0"]}],"mendeley":{"formattedCitation":"[14]","plainTextFormattedCitation":"[14]","previouslyFormattedCitation":"[14]"},"properties":{"noteIndex":0},"schema":"https://github.com/citation-style-language/schema/raw/master/csl-citation.json"}</w:instrText>
      </w:r>
      <w:r w:rsidR="00835491" w:rsidRPr="007A0E3E">
        <w:rPr>
          <w:rFonts w:ascii="Times New Roman" w:hAnsi="Times New Roman" w:cs="Times New Roman"/>
          <w:sz w:val="20"/>
          <w:szCs w:val="20"/>
        </w:rPr>
        <w:fldChar w:fldCharType="separate"/>
      </w:r>
      <w:r w:rsidR="00835491" w:rsidRPr="007A0E3E">
        <w:rPr>
          <w:rFonts w:ascii="Times New Roman" w:hAnsi="Times New Roman" w:cs="Times New Roman"/>
          <w:noProof/>
          <w:sz w:val="20"/>
          <w:szCs w:val="20"/>
        </w:rPr>
        <w:t>[14]</w:t>
      </w:r>
      <w:r w:rsidR="00835491" w:rsidRPr="007A0E3E">
        <w:rPr>
          <w:rFonts w:ascii="Times New Roman" w:hAnsi="Times New Roman" w:cs="Times New Roman"/>
          <w:sz w:val="20"/>
          <w:szCs w:val="20"/>
        </w:rPr>
        <w:fldChar w:fldCharType="end"/>
      </w:r>
    </w:p>
    <w:p w14:paraId="6A0E1754" w14:textId="7D21F707" w:rsidR="0048716C" w:rsidRPr="007A0E3E" w:rsidRDefault="0048716C" w:rsidP="00835491">
      <w:pPr>
        <w:autoSpaceDE w:val="0"/>
        <w:autoSpaceDN w:val="0"/>
        <w:adjustRightInd w:val="0"/>
        <w:spacing w:after="0" w:line="240" w:lineRule="auto"/>
        <w:rPr>
          <w:rFonts w:ascii="Times New Roman" w:hAnsi="Times New Roman" w:cs="Times New Roman"/>
          <w:sz w:val="20"/>
          <w:szCs w:val="20"/>
        </w:rPr>
      </w:pPr>
      <w:r w:rsidRPr="007A0E3E">
        <w:rPr>
          <w:rFonts w:ascii="Times New Roman" w:hAnsi="Times New Roman" w:cs="Times New Roman"/>
          <w:sz w:val="20"/>
          <w:szCs w:val="20"/>
          <w:vertAlign w:val="superscript"/>
        </w:rPr>
        <w:t>b</w:t>
      </w:r>
      <w:r w:rsidRPr="007A0E3E">
        <w:rPr>
          <w:rFonts w:ascii="Times New Roman" w:hAnsi="Times New Roman" w:cs="Times New Roman"/>
          <w:sz w:val="20"/>
          <w:szCs w:val="20"/>
        </w:rPr>
        <w:t xml:space="preserve"> Scores on the Conners’ Parent Rating Scale - Revised: Long version</w:t>
      </w:r>
      <w:r w:rsidR="00835491" w:rsidRPr="007A0E3E">
        <w:rPr>
          <w:rFonts w:ascii="Times New Roman" w:hAnsi="Times New Roman" w:cs="Times New Roman"/>
          <w:sz w:val="20"/>
          <w:szCs w:val="20"/>
          <w:vertAlign w:val="superscript"/>
        </w:rPr>
        <w:t xml:space="preserve"> </w:t>
      </w:r>
      <w:r w:rsidR="00835491" w:rsidRPr="007A0E3E">
        <w:rPr>
          <w:rFonts w:ascii="Times New Roman" w:hAnsi="Times New Roman" w:cs="Times New Roman"/>
          <w:sz w:val="20"/>
          <w:szCs w:val="20"/>
          <w:vertAlign w:val="superscript"/>
        </w:rPr>
        <w:fldChar w:fldCharType="begin" w:fldLock="1"/>
      </w:r>
      <w:r w:rsidR="00835491" w:rsidRPr="007A0E3E">
        <w:rPr>
          <w:rFonts w:ascii="Times New Roman" w:hAnsi="Times New Roman" w:cs="Times New Roman"/>
          <w:sz w:val="20"/>
          <w:szCs w:val="20"/>
          <w:vertAlign w:val="superscript"/>
        </w:rPr>
        <w:instrText>ADDIN CSL_CITATION {"citationItems":[{"id":"ITEM-1","itemData":{"DOI":"10.1023/A:1022602400621","ISSN":"00910627","abstract":"The Conners' Parent Rating Scale (CPRS) is a popular research and clinical tool for obtaining parental reports of childhood behavior problems. The present study introduces a revised CPRS (CPRS-R) which has norms derived from a large, representative sample of North American children, uses confirmatory factor analysis to develop a definitive factor structure, and has an updated item content to reflect recent knowledge and developments concerning childhood behavior problems. Exploratory and confirmatory factor- analytic results revealed a seven-factor model including the following factors: Cognitive Problems, Oppositional, Hyperactivity-Impulsivity, Anxious-Shy, Perfectionism, Social Problems, and Psychosomatic. The psychometric properties of the revised scale appear adequate as demonstrated by good internal reliability coefficients, high test-retest reliability, and effective discriminatory power. Advantages of the CPRS-R include a corresponding factor structure with the Conners' Teacher Rating Scale - Revised and comprehensive symptom coverage for attention deficit hyperactivity disorder (ADHD) and related disorders. Factor congruence with the original CPRS as well as similarities with other parent rating scales are discussed.","author":[{"dropping-particle":"","family":"Keith Conners","given":"C.","non-dropping-particle":"","parse-names":false,"suffix":""},{"dropping-particle":"","family":"Sitarenios","given":"Gill","non-dropping-particle":"","parse-names":false,"suffix":""},{"dropping-particle":"","family":"Parker","given":"James D.A.","non-dropping-particle":"","parse-names":false,"suffix":""},{"dropping-particle":"","family":"Epstein","given":"Jeffery N.","non-dropping-particle":"","parse-names":false,"suffix":""}],"container-title":"Journal of Abnormal Child Psychology","id":"ITEM-1","issue":"4","issued":{"date-parts":[["1998"]]},"title":"The revised Conners' Parent Rating Scale (CPRS-R): Factor structure, reliability, and criterion validity","type":"article-journal","volume":"26"},"uris":["http://www.mendeley.com/documents/?uuid=4b2853bc-729f-30d2-aba8-36ee3f09af91"]}],"mendeley":{"formattedCitation":"[15]","plainTextFormattedCitation":"[15]","previouslyFormattedCitation":"[15]"},"properties":{"noteIndex":0},"schema":"https://github.com/citation-style-language/schema/raw/master/csl-citation.json"}</w:instrText>
      </w:r>
      <w:r w:rsidR="00835491" w:rsidRPr="007A0E3E">
        <w:rPr>
          <w:rFonts w:ascii="Times New Roman" w:hAnsi="Times New Roman" w:cs="Times New Roman"/>
          <w:sz w:val="20"/>
          <w:szCs w:val="20"/>
          <w:vertAlign w:val="superscript"/>
        </w:rPr>
        <w:fldChar w:fldCharType="separate"/>
      </w:r>
      <w:r w:rsidR="00835491" w:rsidRPr="007A0E3E">
        <w:rPr>
          <w:rFonts w:ascii="Times New Roman" w:hAnsi="Times New Roman" w:cs="Times New Roman"/>
          <w:noProof/>
          <w:sz w:val="20"/>
          <w:szCs w:val="20"/>
        </w:rPr>
        <w:t>[15]</w:t>
      </w:r>
      <w:r w:rsidR="00835491" w:rsidRPr="007A0E3E">
        <w:rPr>
          <w:rFonts w:ascii="Times New Roman" w:hAnsi="Times New Roman" w:cs="Times New Roman"/>
          <w:sz w:val="20"/>
          <w:szCs w:val="20"/>
          <w:vertAlign w:val="superscript"/>
        </w:rPr>
        <w:fldChar w:fldCharType="end"/>
      </w:r>
    </w:p>
    <w:p w14:paraId="39A1E6DB" w14:textId="77777777" w:rsidR="0048716C" w:rsidRPr="007A0E3E" w:rsidRDefault="0048716C" w:rsidP="0048716C">
      <w:pPr>
        <w:rPr>
          <w:rFonts w:ascii="Times New Roman" w:hAnsi="Times New Roman" w:cs="Times New Roman"/>
          <w:i/>
          <w:iCs/>
          <w:sz w:val="20"/>
          <w:szCs w:val="20"/>
        </w:rPr>
      </w:pPr>
      <w:r w:rsidRPr="007A0E3E">
        <w:rPr>
          <w:rFonts w:ascii="Times New Roman" w:hAnsi="Times New Roman" w:cs="Times New Roman"/>
          <w:i/>
          <w:iCs/>
          <w:sz w:val="20"/>
          <w:szCs w:val="20"/>
        </w:rPr>
        <w:br w:type="page"/>
      </w:r>
    </w:p>
    <w:p w14:paraId="13222445" w14:textId="3EA71308" w:rsidR="0048716C" w:rsidRPr="007A0E3E" w:rsidRDefault="0048716C" w:rsidP="0048716C">
      <w:pPr>
        <w:rPr>
          <w:rFonts w:ascii="Times New Roman" w:hAnsi="Times New Roman" w:cs="Times New Roman"/>
          <w:sz w:val="20"/>
          <w:szCs w:val="20"/>
        </w:rPr>
      </w:pPr>
      <w:r w:rsidRPr="007A0E3E">
        <w:rPr>
          <w:rFonts w:ascii="Times New Roman" w:hAnsi="Times New Roman" w:cs="Times New Roman"/>
          <w:sz w:val="20"/>
          <w:szCs w:val="20"/>
        </w:rPr>
        <w:lastRenderedPageBreak/>
        <w:t>Supplementary Table 2 Associations between polygenic risk score for ADHD (PRS-ADHD) at a range of p-value thresholds and total, inattention, and hyperactivity-impulsivity symptom scores for the participants with both genetic and fMRI data available.</w:t>
      </w:r>
    </w:p>
    <w:tbl>
      <w:tblPr>
        <w:tblStyle w:val="TableGrid"/>
        <w:tblW w:w="5000" w:type="pct"/>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895"/>
        <w:gridCol w:w="1030"/>
        <w:gridCol w:w="1284"/>
        <w:gridCol w:w="1030"/>
        <w:gridCol w:w="899"/>
        <w:gridCol w:w="902"/>
        <w:gridCol w:w="1284"/>
        <w:gridCol w:w="899"/>
        <w:gridCol w:w="902"/>
        <w:gridCol w:w="899"/>
        <w:gridCol w:w="1284"/>
        <w:gridCol w:w="902"/>
        <w:gridCol w:w="902"/>
        <w:gridCol w:w="846"/>
      </w:tblGrid>
      <w:tr w:rsidR="0048716C" w:rsidRPr="007A0E3E" w14:paraId="26EFF711" w14:textId="77777777" w:rsidTr="001F3DEB">
        <w:trPr>
          <w:trHeight w:val="20"/>
        </w:trPr>
        <w:tc>
          <w:tcPr>
            <w:tcW w:w="690" w:type="pct"/>
            <w:gridSpan w:val="2"/>
            <w:vMerge w:val="restart"/>
            <w:tcBorders>
              <w:top w:val="single" w:sz="4" w:space="0" w:color="auto"/>
              <w:bottom w:val="single" w:sz="4" w:space="0" w:color="auto"/>
              <w:right w:val="single" w:sz="4" w:space="0" w:color="auto"/>
            </w:tcBorders>
          </w:tcPr>
          <w:p w14:paraId="1FD63433"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 xml:space="preserve">Independent </w:t>
            </w:r>
          </w:p>
          <w:p w14:paraId="779D46CA"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variable</w:t>
            </w:r>
          </w:p>
        </w:tc>
        <w:tc>
          <w:tcPr>
            <w:tcW w:w="4310" w:type="pct"/>
            <w:gridSpan w:val="12"/>
            <w:tcBorders>
              <w:top w:val="single" w:sz="4" w:space="0" w:color="auto"/>
              <w:left w:val="single" w:sz="4" w:space="0" w:color="auto"/>
              <w:bottom w:val="single" w:sz="4" w:space="0" w:color="auto"/>
            </w:tcBorders>
          </w:tcPr>
          <w:p w14:paraId="67B1B169"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Dependent variable</w:t>
            </w:r>
          </w:p>
        </w:tc>
      </w:tr>
      <w:tr w:rsidR="0048716C" w:rsidRPr="007A0E3E" w14:paraId="2278333B" w14:textId="77777777" w:rsidTr="001F3DEB">
        <w:trPr>
          <w:trHeight w:val="20"/>
        </w:trPr>
        <w:tc>
          <w:tcPr>
            <w:tcW w:w="690" w:type="pct"/>
            <w:gridSpan w:val="2"/>
            <w:vMerge/>
            <w:tcBorders>
              <w:top w:val="single" w:sz="4" w:space="0" w:color="auto"/>
              <w:right w:val="single" w:sz="4" w:space="0" w:color="auto"/>
            </w:tcBorders>
          </w:tcPr>
          <w:p w14:paraId="5EE60C8F" w14:textId="77777777" w:rsidR="0048716C" w:rsidRPr="007A0E3E" w:rsidRDefault="0048716C" w:rsidP="001F3DEB">
            <w:pPr>
              <w:rPr>
                <w:rFonts w:ascii="Times New Roman" w:hAnsi="Times New Roman" w:cs="Times New Roman"/>
                <w:sz w:val="20"/>
                <w:szCs w:val="20"/>
              </w:rPr>
            </w:pPr>
          </w:p>
        </w:tc>
        <w:tc>
          <w:tcPr>
            <w:tcW w:w="1474" w:type="pct"/>
            <w:gridSpan w:val="4"/>
            <w:tcBorders>
              <w:top w:val="single" w:sz="4" w:space="0" w:color="auto"/>
              <w:left w:val="single" w:sz="4" w:space="0" w:color="auto"/>
              <w:bottom w:val="single" w:sz="4" w:space="0" w:color="auto"/>
              <w:right w:val="single" w:sz="4" w:space="0" w:color="auto"/>
            </w:tcBorders>
          </w:tcPr>
          <w:p w14:paraId="3A7CAB6E"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Total symptom score (N=423)</w:t>
            </w:r>
          </w:p>
        </w:tc>
        <w:tc>
          <w:tcPr>
            <w:tcW w:w="1427" w:type="pct"/>
            <w:gridSpan w:val="4"/>
            <w:tcBorders>
              <w:top w:val="single" w:sz="4" w:space="0" w:color="auto"/>
              <w:left w:val="single" w:sz="4" w:space="0" w:color="auto"/>
              <w:bottom w:val="single" w:sz="4" w:space="0" w:color="auto"/>
              <w:right w:val="single" w:sz="4" w:space="0" w:color="auto"/>
            </w:tcBorders>
          </w:tcPr>
          <w:p w14:paraId="5BC980DD"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Inattention symptoms (N=438)</w:t>
            </w:r>
          </w:p>
        </w:tc>
        <w:tc>
          <w:tcPr>
            <w:tcW w:w="1409" w:type="pct"/>
            <w:gridSpan w:val="4"/>
            <w:tcBorders>
              <w:top w:val="single" w:sz="4" w:space="0" w:color="auto"/>
              <w:left w:val="single" w:sz="4" w:space="0" w:color="auto"/>
              <w:bottom w:val="single" w:sz="4" w:space="0" w:color="auto"/>
            </w:tcBorders>
          </w:tcPr>
          <w:p w14:paraId="5C617952"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Hyperactivity-impulsivity symptoms (N=431)</w:t>
            </w:r>
          </w:p>
        </w:tc>
      </w:tr>
      <w:tr w:rsidR="0048716C" w:rsidRPr="007A0E3E" w14:paraId="28365690" w14:textId="77777777" w:rsidTr="001F3DEB">
        <w:trPr>
          <w:trHeight w:val="20"/>
        </w:trPr>
        <w:tc>
          <w:tcPr>
            <w:tcW w:w="321" w:type="pct"/>
            <w:tcBorders>
              <w:right w:val="single" w:sz="4" w:space="0" w:color="auto"/>
            </w:tcBorders>
          </w:tcPr>
          <w:p w14:paraId="78521C3F"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PRS PT</w:t>
            </w:r>
          </w:p>
        </w:tc>
        <w:tc>
          <w:tcPr>
            <w:tcW w:w="369" w:type="pct"/>
            <w:tcBorders>
              <w:top w:val="single" w:sz="4" w:space="0" w:color="auto"/>
              <w:left w:val="single" w:sz="4" w:space="0" w:color="auto"/>
              <w:bottom w:val="single" w:sz="4" w:space="0" w:color="auto"/>
              <w:right w:val="single" w:sz="4" w:space="0" w:color="auto"/>
            </w:tcBorders>
          </w:tcPr>
          <w:p w14:paraId="01129779"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 xml:space="preserve"># </w:t>
            </w:r>
            <w:proofErr w:type="gramStart"/>
            <w:r w:rsidRPr="007A0E3E">
              <w:rPr>
                <w:rFonts w:ascii="Times New Roman" w:hAnsi="Times New Roman" w:cs="Times New Roman"/>
                <w:sz w:val="20"/>
                <w:szCs w:val="20"/>
              </w:rPr>
              <w:t>of</w:t>
            </w:r>
            <w:proofErr w:type="gramEnd"/>
            <w:r w:rsidRPr="007A0E3E">
              <w:rPr>
                <w:rFonts w:ascii="Times New Roman" w:hAnsi="Times New Roman" w:cs="Times New Roman"/>
                <w:sz w:val="20"/>
                <w:szCs w:val="20"/>
              </w:rPr>
              <w:t xml:space="preserve"> SNPs</w:t>
            </w:r>
          </w:p>
        </w:tc>
        <w:tc>
          <w:tcPr>
            <w:tcW w:w="460" w:type="pct"/>
            <w:tcBorders>
              <w:top w:val="single" w:sz="4" w:space="0" w:color="auto"/>
              <w:left w:val="single" w:sz="4" w:space="0" w:color="auto"/>
              <w:bottom w:val="single" w:sz="4" w:space="0" w:color="auto"/>
              <w:right w:val="single" w:sz="4" w:space="0" w:color="auto"/>
            </w:tcBorders>
          </w:tcPr>
          <w:p w14:paraId="4149B6BA" w14:textId="77777777" w:rsidR="0048716C" w:rsidRPr="007A0E3E" w:rsidRDefault="0048716C" w:rsidP="001F3DEB">
            <w:pPr>
              <w:rPr>
                <w:rFonts w:ascii="Times New Roman" w:hAnsi="Times New Roman" w:cs="Times New Roman"/>
                <w:sz w:val="20"/>
                <w:szCs w:val="20"/>
              </w:rPr>
            </w:pPr>
            <w:r w:rsidRPr="007A0E3E">
              <w:rPr>
                <w:rFonts w:ascii="Times New Roman" w:eastAsia="Times New Roman" w:hAnsi="Times New Roman" w:cs="Times New Roman"/>
                <w:color w:val="000000"/>
                <w:sz w:val="20"/>
                <w:szCs w:val="20"/>
                <w:lang w:val="nl-NL" w:eastAsia="nl-NL"/>
              </w:rPr>
              <w:t>β (SE)</w:t>
            </w:r>
          </w:p>
        </w:tc>
        <w:tc>
          <w:tcPr>
            <w:tcW w:w="369" w:type="pct"/>
            <w:tcBorders>
              <w:top w:val="single" w:sz="4" w:space="0" w:color="auto"/>
              <w:left w:val="single" w:sz="4" w:space="0" w:color="auto"/>
              <w:bottom w:val="single" w:sz="4" w:space="0" w:color="auto"/>
              <w:right w:val="single" w:sz="4" w:space="0" w:color="auto"/>
            </w:tcBorders>
          </w:tcPr>
          <w:p w14:paraId="43F3D922"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p-</w:t>
            </w:r>
            <w:proofErr w:type="spellStart"/>
            <w:r w:rsidRPr="007A0E3E">
              <w:rPr>
                <w:rFonts w:ascii="Times New Roman" w:hAnsi="Times New Roman" w:cs="Times New Roman"/>
                <w:sz w:val="20"/>
                <w:szCs w:val="20"/>
              </w:rPr>
              <w:t>uncor</w:t>
            </w:r>
            <w:proofErr w:type="spellEnd"/>
          </w:p>
        </w:tc>
        <w:tc>
          <w:tcPr>
            <w:tcW w:w="322" w:type="pct"/>
            <w:tcBorders>
              <w:top w:val="single" w:sz="4" w:space="0" w:color="auto"/>
              <w:left w:val="single" w:sz="4" w:space="0" w:color="auto"/>
              <w:bottom w:val="single" w:sz="4" w:space="0" w:color="auto"/>
              <w:right w:val="single" w:sz="4" w:space="0" w:color="auto"/>
            </w:tcBorders>
          </w:tcPr>
          <w:p w14:paraId="7CDDD14D"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p-FDR</w:t>
            </w:r>
          </w:p>
        </w:tc>
        <w:tc>
          <w:tcPr>
            <w:tcW w:w="323" w:type="pct"/>
            <w:tcBorders>
              <w:top w:val="single" w:sz="4" w:space="0" w:color="auto"/>
              <w:left w:val="single" w:sz="4" w:space="0" w:color="auto"/>
              <w:right w:val="single" w:sz="4" w:space="0" w:color="auto"/>
            </w:tcBorders>
          </w:tcPr>
          <w:p w14:paraId="64B38303" w14:textId="77777777" w:rsidR="0048716C" w:rsidRPr="007A0E3E" w:rsidRDefault="0048716C" w:rsidP="001F3DEB">
            <w:pPr>
              <w:rPr>
                <w:rFonts w:ascii="Times New Roman" w:hAnsi="Times New Roman" w:cs="Times New Roman"/>
                <w:sz w:val="20"/>
                <w:szCs w:val="20"/>
              </w:rPr>
            </w:pPr>
            <w:r w:rsidRPr="007A0E3E">
              <w:rPr>
                <w:rFonts w:ascii="Times New Roman" w:eastAsia="Times New Roman" w:hAnsi="Times New Roman" w:cs="Times New Roman"/>
                <w:color w:val="000000"/>
                <w:sz w:val="20"/>
                <w:szCs w:val="20"/>
                <w:lang w:val="nl-NL" w:eastAsia="nl-NL"/>
              </w:rPr>
              <w:t>R</w:t>
            </w:r>
            <w:r w:rsidRPr="007A0E3E">
              <w:rPr>
                <w:rFonts w:ascii="Times New Roman" w:eastAsia="Times New Roman" w:hAnsi="Times New Roman" w:cs="Times New Roman"/>
                <w:color w:val="000000"/>
                <w:sz w:val="20"/>
                <w:szCs w:val="20"/>
                <w:vertAlign w:val="superscript"/>
                <w:lang w:val="nl-NL" w:eastAsia="nl-NL"/>
              </w:rPr>
              <w:t>2</w:t>
            </w:r>
            <w:r w:rsidRPr="007A0E3E">
              <w:rPr>
                <w:rFonts w:ascii="Times New Roman" w:eastAsia="Times New Roman" w:hAnsi="Times New Roman" w:cs="Times New Roman"/>
                <w:color w:val="000000"/>
                <w:sz w:val="20"/>
                <w:szCs w:val="20"/>
                <w:lang w:val="nl-NL" w:eastAsia="nl-NL"/>
              </w:rPr>
              <w:t>-PRS</w:t>
            </w:r>
          </w:p>
        </w:tc>
        <w:tc>
          <w:tcPr>
            <w:tcW w:w="460" w:type="pct"/>
            <w:tcBorders>
              <w:top w:val="single" w:sz="4" w:space="0" w:color="auto"/>
              <w:left w:val="single" w:sz="4" w:space="0" w:color="auto"/>
              <w:bottom w:val="single" w:sz="4" w:space="0" w:color="auto"/>
              <w:right w:val="single" w:sz="4" w:space="0" w:color="auto"/>
            </w:tcBorders>
          </w:tcPr>
          <w:p w14:paraId="55B5F6A9" w14:textId="77777777" w:rsidR="0048716C" w:rsidRPr="007A0E3E" w:rsidRDefault="0048716C" w:rsidP="001F3DEB">
            <w:pPr>
              <w:rPr>
                <w:rFonts w:ascii="Times New Roman" w:hAnsi="Times New Roman" w:cs="Times New Roman"/>
                <w:sz w:val="20"/>
                <w:szCs w:val="20"/>
              </w:rPr>
            </w:pPr>
            <w:r w:rsidRPr="007A0E3E">
              <w:rPr>
                <w:rFonts w:ascii="Times New Roman" w:eastAsia="Times New Roman" w:hAnsi="Times New Roman" w:cs="Times New Roman"/>
                <w:color w:val="000000"/>
                <w:sz w:val="20"/>
                <w:szCs w:val="20"/>
                <w:lang w:val="nl-NL" w:eastAsia="nl-NL"/>
              </w:rPr>
              <w:t>β (SE)</w:t>
            </w:r>
          </w:p>
        </w:tc>
        <w:tc>
          <w:tcPr>
            <w:tcW w:w="322" w:type="pct"/>
            <w:tcBorders>
              <w:top w:val="single" w:sz="4" w:space="0" w:color="auto"/>
              <w:left w:val="single" w:sz="4" w:space="0" w:color="auto"/>
              <w:bottom w:val="single" w:sz="4" w:space="0" w:color="auto"/>
              <w:right w:val="single" w:sz="4" w:space="0" w:color="auto"/>
            </w:tcBorders>
          </w:tcPr>
          <w:p w14:paraId="40C492CD"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p-</w:t>
            </w:r>
            <w:proofErr w:type="spellStart"/>
            <w:r w:rsidRPr="007A0E3E">
              <w:rPr>
                <w:rFonts w:ascii="Times New Roman" w:hAnsi="Times New Roman" w:cs="Times New Roman"/>
                <w:sz w:val="20"/>
                <w:szCs w:val="20"/>
              </w:rPr>
              <w:t>uncor</w:t>
            </w:r>
            <w:proofErr w:type="spellEnd"/>
          </w:p>
        </w:tc>
        <w:tc>
          <w:tcPr>
            <w:tcW w:w="323" w:type="pct"/>
            <w:tcBorders>
              <w:left w:val="single" w:sz="4" w:space="0" w:color="auto"/>
              <w:right w:val="single" w:sz="4" w:space="0" w:color="auto"/>
            </w:tcBorders>
          </w:tcPr>
          <w:p w14:paraId="5040A168"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p-FDR</w:t>
            </w:r>
          </w:p>
        </w:tc>
        <w:tc>
          <w:tcPr>
            <w:tcW w:w="322" w:type="pct"/>
            <w:tcBorders>
              <w:top w:val="single" w:sz="4" w:space="0" w:color="auto"/>
              <w:left w:val="single" w:sz="4" w:space="0" w:color="auto"/>
              <w:bottom w:val="single" w:sz="4" w:space="0" w:color="auto"/>
              <w:right w:val="single" w:sz="4" w:space="0" w:color="auto"/>
            </w:tcBorders>
          </w:tcPr>
          <w:p w14:paraId="5A7CF1F0" w14:textId="77777777" w:rsidR="0048716C" w:rsidRPr="007A0E3E" w:rsidRDefault="0048716C" w:rsidP="001F3DEB">
            <w:pPr>
              <w:rPr>
                <w:rFonts w:ascii="Times New Roman" w:hAnsi="Times New Roman" w:cs="Times New Roman"/>
                <w:sz w:val="20"/>
                <w:szCs w:val="20"/>
              </w:rPr>
            </w:pPr>
            <w:r w:rsidRPr="007A0E3E">
              <w:rPr>
                <w:rFonts w:ascii="Times New Roman" w:eastAsia="Times New Roman" w:hAnsi="Times New Roman" w:cs="Times New Roman"/>
                <w:color w:val="000000"/>
                <w:sz w:val="20"/>
                <w:szCs w:val="20"/>
                <w:lang w:val="nl-NL" w:eastAsia="nl-NL"/>
              </w:rPr>
              <w:t>R</w:t>
            </w:r>
            <w:r w:rsidRPr="007A0E3E">
              <w:rPr>
                <w:rFonts w:ascii="Times New Roman" w:eastAsia="Times New Roman" w:hAnsi="Times New Roman" w:cs="Times New Roman"/>
                <w:color w:val="000000"/>
                <w:sz w:val="20"/>
                <w:szCs w:val="20"/>
                <w:vertAlign w:val="superscript"/>
                <w:lang w:val="nl-NL" w:eastAsia="nl-NL"/>
              </w:rPr>
              <w:t>2</w:t>
            </w:r>
            <w:r w:rsidRPr="007A0E3E">
              <w:rPr>
                <w:rFonts w:ascii="Times New Roman" w:eastAsia="Times New Roman" w:hAnsi="Times New Roman" w:cs="Times New Roman"/>
                <w:color w:val="000000"/>
                <w:sz w:val="20"/>
                <w:szCs w:val="20"/>
                <w:lang w:val="nl-NL" w:eastAsia="nl-NL"/>
              </w:rPr>
              <w:t>-PRS</w:t>
            </w:r>
          </w:p>
        </w:tc>
        <w:tc>
          <w:tcPr>
            <w:tcW w:w="460" w:type="pct"/>
            <w:tcBorders>
              <w:top w:val="single" w:sz="4" w:space="0" w:color="auto"/>
              <w:left w:val="single" w:sz="4" w:space="0" w:color="auto"/>
              <w:bottom w:val="single" w:sz="4" w:space="0" w:color="auto"/>
              <w:right w:val="single" w:sz="4" w:space="0" w:color="auto"/>
            </w:tcBorders>
          </w:tcPr>
          <w:p w14:paraId="065A7841" w14:textId="77777777" w:rsidR="0048716C" w:rsidRPr="007A0E3E" w:rsidRDefault="0048716C" w:rsidP="001F3DEB">
            <w:pPr>
              <w:rPr>
                <w:rFonts w:ascii="Times New Roman" w:hAnsi="Times New Roman" w:cs="Times New Roman"/>
                <w:sz w:val="20"/>
                <w:szCs w:val="20"/>
              </w:rPr>
            </w:pPr>
            <w:r w:rsidRPr="007A0E3E">
              <w:rPr>
                <w:rFonts w:ascii="Times New Roman" w:eastAsia="Times New Roman" w:hAnsi="Times New Roman" w:cs="Times New Roman"/>
                <w:color w:val="000000"/>
                <w:sz w:val="20"/>
                <w:szCs w:val="20"/>
                <w:lang w:val="nl-NL" w:eastAsia="nl-NL"/>
              </w:rPr>
              <w:t>β (SE)</w:t>
            </w:r>
          </w:p>
        </w:tc>
        <w:tc>
          <w:tcPr>
            <w:tcW w:w="323" w:type="pct"/>
            <w:tcBorders>
              <w:top w:val="single" w:sz="4" w:space="0" w:color="auto"/>
              <w:left w:val="single" w:sz="4" w:space="0" w:color="auto"/>
              <w:bottom w:val="single" w:sz="4" w:space="0" w:color="auto"/>
              <w:right w:val="single" w:sz="4" w:space="0" w:color="auto"/>
            </w:tcBorders>
          </w:tcPr>
          <w:p w14:paraId="57C416F3"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p-</w:t>
            </w:r>
            <w:proofErr w:type="spellStart"/>
            <w:r w:rsidRPr="007A0E3E">
              <w:rPr>
                <w:rFonts w:ascii="Times New Roman" w:hAnsi="Times New Roman" w:cs="Times New Roman"/>
                <w:sz w:val="20"/>
                <w:szCs w:val="20"/>
              </w:rPr>
              <w:t>uncor</w:t>
            </w:r>
            <w:proofErr w:type="spellEnd"/>
          </w:p>
        </w:tc>
        <w:tc>
          <w:tcPr>
            <w:tcW w:w="323" w:type="pct"/>
            <w:tcBorders>
              <w:left w:val="single" w:sz="4" w:space="0" w:color="auto"/>
              <w:right w:val="single" w:sz="4" w:space="0" w:color="auto"/>
            </w:tcBorders>
          </w:tcPr>
          <w:p w14:paraId="18B1511B"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p-FDR</w:t>
            </w:r>
          </w:p>
        </w:tc>
        <w:tc>
          <w:tcPr>
            <w:tcW w:w="303" w:type="pct"/>
            <w:tcBorders>
              <w:top w:val="single" w:sz="4" w:space="0" w:color="auto"/>
              <w:left w:val="single" w:sz="4" w:space="0" w:color="auto"/>
              <w:bottom w:val="single" w:sz="4" w:space="0" w:color="auto"/>
            </w:tcBorders>
          </w:tcPr>
          <w:p w14:paraId="658130B4" w14:textId="77777777" w:rsidR="0048716C" w:rsidRPr="007A0E3E" w:rsidRDefault="0048716C" w:rsidP="001F3DEB">
            <w:pPr>
              <w:rPr>
                <w:rFonts w:ascii="Times New Roman" w:hAnsi="Times New Roman" w:cs="Times New Roman"/>
                <w:sz w:val="20"/>
                <w:szCs w:val="20"/>
              </w:rPr>
            </w:pPr>
            <w:r w:rsidRPr="007A0E3E">
              <w:rPr>
                <w:rFonts w:ascii="Times New Roman" w:eastAsia="Times New Roman" w:hAnsi="Times New Roman" w:cs="Times New Roman"/>
                <w:color w:val="000000"/>
                <w:sz w:val="20"/>
                <w:szCs w:val="20"/>
                <w:lang w:val="nl-NL" w:eastAsia="nl-NL"/>
              </w:rPr>
              <w:t>R</w:t>
            </w:r>
            <w:r w:rsidRPr="007A0E3E">
              <w:rPr>
                <w:rFonts w:ascii="Times New Roman" w:eastAsia="Times New Roman" w:hAnsi="Times New Roman" w:cs="Times New Roman"/>
                <w:color w:val="000000"/>
                <w:sz w:val="20"/>
                <w:szCs w:val="20"/>
                <w:vertAlign w:val="superscript"/>
                <w:lang w:val="nl-NL" w:eastAsia="nl-NL"/>
              </w:rPr>
              <w:t>2</w:t>
            </w:r>
            <w:r w:rsidRPr="007A0E3E">
              <w:rPr>
                <w:rFonts w:ascii="Times New Roman" w:eastAsia="Times New Roman" w:hAnsi="Times New Roman" w:cs="Times New Roman"/>
                <w:color w:val="000000"/>
                <w:sz w:val="20"/>
                <w:szCs w:val="20"/>
                <w:lang w:val="nl-NL" w:eastAsia="nl-NL"/>
              </w:rPr>
              <w:t>-PRS</w:t>
            </w:r>
          </w:p>
        </w:tc>
      </w:tr>
      <w:tr w:rsidR="0048716C" w:rsidRPr="007A0E3E" w14:paraId="2299F651" w14:textId="77777777" w:rsidTr="001F3DEB">
        <w:trPr>
          <w:trHeight w:val="20"/>
        </w:trPr>
        <w:tc>
          <w:tcPr>
            <w:tcW w:w="321" w:type="pct"/>
            <w:tcBorders>
              <w:right w:val="single" w:sz="4" w:space="0" w:color="auto"/>
            </w:tcBorders>
          </w:tcPr>
          <w:p w14:paraId="47A39EBD"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1</w:t>
            </w:r>
          </w:p>
        </w:tc>
        <w:tc>
          <w:tcPr>
            <w:tcW w:w="369" w:type="pct"/>
            <w:tcBorders>
              <w:top w:val="single" w:sz="4" w:space="0" w:color="auto"/>
              <w:left w:val="single" w:sz="4" w:space="0" w:color="auto"/>
              <w:bottom w:val="single" w:sz="4" w:space="0" w:color="auto"/>
              <w:right w:val="single" w:sz="4" w:space="0" w:color="auto"/>
            </w:tcBorders>
          </w:tcPr>
          <w:p w14:paraId="6B0D9CFD"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66,978</w:t>
            </w:r>
          </w:p>
        </w:tc>
        <w:tc>
          <w:tcPr>
            <w:tcW w:w="460" w:type="pct"/>
            <w:tcBorders>
              <w:top w:val="single" w:sz="4" w:space="0" w:color="auto"/>
              <w:left w:val="single" w:sz="4" w:space="0" w:color="auto"/>
              <w:bottom w:val="single" w:sz="4" w:space="0" w:color="auto"/>
              <w:right w:val="single" w:sz="4" w:space="0" w:color="auto"/>
            </w:tcBorders>
          </w:tcPr>
          <w:p w14:paraId="044C7812"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0.23 (0.047)</w:t>
            </w:r>
          </w:p>
        </w:tc>
        <w:tc>
          <w:tcPr>
            <w:tcW w:w="369" w:type="pct"/>
            <w:tcBorders>
              <w:top w:val="single" w:sz="4" w:space="0" w:color="auto"/>
              <w:left w:val="single" w:sz="4" w:space="0" w:color="auto"/>
              <w:bottom w:val="single" w:sz="4" w:space="0" w:color="auto"/>
              <w:right w:val="single" w:sz="4" w:space="0" w:color="auto"/>
            </w:tcBorders>
          </w:tcPr>
          <w:p w14:paraId="04A6FC38"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1.74x10</w:t>
            </w:r>
            <w:r w:rsidRPr="007A0E3E">
              <w:rPr>
                <w:rFonts w:ascii="Times New Roman" w:eastAsia="Times New Roman" w:hAnsi="Times New Roman" w:cs="Times New Roman"/>
                <w:sz w:val="20"/>
                <w:szCs w:val="20"/>
                <w:vertAlign w:val="superscript"/>
                <w:lang w:val="nl-NL" w:eastAsia="nl-NL"/>
              </w:rPr>
              <w:t>-6</w:t>
            </w:r>
          </w:p>
        </w:tc>
        <w:tc>
          <w:tcPr>
            <w:tcW w:w="322" w:type="pct"/>
            <w:tcBorders>
              <w:top w:val="single" w:sz="4" w:space="0" w:color="auto"/>
              <w:left w:val="single" w:sz="4" w:space="0" w:color="auto"/>
              <w:bottom w:val="single" w:sz="4" w:space="0" w:color="auto"/>
              <w:right w:val="single" w:sz="4" w:space="0" w:color="auto"/>
            </w:tcBorders>
          </w:tcPr>
          <w:p w14:paraId="1526B43B"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1.31x10</w:t>
            </w:r>
            <w:r w:rsidRPr="007A0E3E">
              <w:rPr>
                <w:rFonts w:ascii="Times New Roman" w:eastAsia="Times New Roman" w:hAnsi="Times New Roman" w:cs="Times New Roman"/>
                <w:sz w:val="20"/>
                <w:szCs w:val="20"/>
                <w:vertAlign w:val="superscript"/>
                <w:lang w:val="nl-NL" w:eastAsia="nl-NL"/>
              </w:rPr>
              <w:t>-5</w:t>
            </w:r>
          </w:p>
        </w:tc>
        <w:tc>
          <w:tcPr>
            <w:tcW w:w="323" w:type="pct"/>
            <w:tcBorders>
              <w:left w:val="single" w:sz="4" w:space="0" w:color="auto"/>
              <w:right w:val="single" w:sz="4" w:space="0" w:color="auto"/>
            </w:tcBorders>
          </w:tcPr>
          <w:p w14:paraId="08DD04A4"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0.051</w:t>
            </w:r>
          </w:p>
        </w:tc>
        <w:tc>
          <w:tcPr>
            <w:tcW w:w="460" w:type="pct"/>
            <w:tcBorders>
              <w:top w:val="single" w:sz="4" w:space="0" w:color="auto"/>
              <w:left w:val="single" w:sz="4" w:space="0" w:color="auto"/>
              <w:bottom w:val="single" w:sz="4" w:space="0" w:color="auto"/>
              <w:right w:val="single" w:sz="4" w:space="0" w:color="auto"/>
            </w:tcBorders>
          </w:tcPr>
          <w:p w14:paraId="2207CCD0"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0.204 (0.046)</w:t>
            </w:r>
          </w:p>
        </w:tc>
        <w:tc>
          <w:tcPr>
            <w:tcW w:w="322" w:type="pct"/>
            <w:tcBorders>
              <w:top w:val="single" w:sz="4" w:space="0" w:color="auto"/>
              <w:left w:val="single" w:sz="4" w:space="0" w:color="auto"/>
              <w:bottom w:val="single" w:sz="4" w:space="0" w:color="auto"/>
              <w:right w:val="single" w:sz="4" w:space="0" w:color="auto"/>
            </w:tcBorders>
          </w:tcPr>
          <w:p w14:paraId="20491B1C"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1.46x10</w:t>
            </w:r>
            <w:r w:rsidRPr="007A0E3E">
              <w:rPr>
                <w:rFonts w:ascii="Times New Roman" w:eastAsia="Times New Roman" w:hAnsi="Times New Roman" w:cs="Times New Roman"/>
                <w:sz w:val="20"/>
                <w:szCs w:val="20"/>
                <w:vertAlign w:val="superscript"/>
                <w:lang w:val="nl-NL" w:eastAsia="nl-NL"/>
              </w:rPr>
              <w:t>-5</w:t>
            </w:r>
          </w:p>
        </w:tc>
        <w:tc>
          <w:tcPr>
            <w:tcW w:w="323" w:type="pct"/>
            <w:tcBorders>
              <w:left w:val="single" w:sz="4" w:space="0" w:color="auto"/>
              <w:right w:val="single" w:sz="4" w:space="0" w:color="auto"/>
            </w:tcBorders>
          </w:tcPr>
          <w:p w14:paraId="2FA1C8F4"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2.92x10</w:t>
            </w:r>
            <w:r w:rsidRPr="007A0E3E">
              <w:rPr>
                <w:rFonts w:ascii="Times New Roman" w:eastAsia="Times New Roman" w:hAnsi="Times New Roman" w:cs="Times New Roman"/>
                <w:sz w:val="20"/>
                <w:szCs w:val="20"/>
                <w:vertAlign w:val="superscript"/>
                <w:lang w:val="nl-NL" w:eastAsia="nl-NL"/>
              </w:rPr>
              <w:t>-5</w:t>
            </w:r>
          </w:p>
        </w:tc>
        <w:tc>
          <w:tcPr>
            <w:tcW w:w="322" w:type="pct"/>
            <w:tcBorders>
              <w:top w:val="single" w:sz="4" w:space="0" w:color="auto"/>
              <w:left w:val="single" w:sz="4" w:space="0" w:color="auto"/>
              <w:bottom w:val="single" w:sz="4" w:space="0" w:color="auto"/>
              <w:right w:val="single" w:sz="4" w:space="0" w:color="auto"/>
            </w:tcBorders>
          </w:tcPr>
          <w:p w14:paraId="6CA712ED"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0.04</w:t>
            </w:r>
          </w:p>
        </w:tc>
        <w:tc>
          <w:tcPr>
            <w:tcW w:w="460" w:type="pct"/>
            <w:tcBorders>
              <w:top w:val="single" w:sz="4" w:space="0" w:color="auto"/>
              <w:left w:val="single" w:sz="4" w:space="0" w:color="auto"/>
              <w:bottom w:val="single" w:sz="4" w:space="0" w:color="auto"/>
              <w:right w:val="single" w:sz="4" w:space="0" w:color="auto"/>
            </w:tcBorders>
          </w:tcPr>
          <w:p w14:paraId="608E0994"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0.229 (0.048)</w:t>
            </w:r>
          </w:p>
        </w:tc>
        <w:tc>
          <w:tcPr>
            <w:tcW w:w="323" w:type="pct"/>
            <w:tcBorders>
              <w:top w:val="single" w:sz="4" w:space="0" w:color="auto"/>
              <w:left w:val="single" w:sz="4" w:space="0" w:color="auto"/>
              <w:bottom w:val="single" w:sz="4" w:space="0" w:color="auto"/>
              <w:right w:val="single" w:sz="4" w:space="0" w:color="auto"/>
            </w:tcBorders>
          </w:tcPr>
          <w:p w14:paraId="441259CB"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2.22x10</w:t>
            </w:r>
            <w:r w:rsidRPr="007A0E3E">
              <w:rPr>
                <w:rFonts w:ascii="Times New Roman" w:eastAsia="Times New Roman" w:hAnsi="Times New Roman" w:cs="Times New Roman"/>
                <w:sz w:val="20"/>
                <w:szCs w:val="20"/>
                <w:vertAlign w:val="superscript"/>
                <w:lang w:val="nl-NL" w:eastAsia="nl-NL"/>
              </w:rPr>
              <w:t>-6</w:t>
            </w:r>
          </w:p>
        </w:tc>
        <w:tc>
          <w:tcPr>
            <w:tcW w:w="323" w:type="pct"/>
            <w:tcBorders>
              <w:left w:val="single" w:sz="4" w:space="0" w:color="auto"/>
              <w:right w:val="single" w:sz="4" w:space="0" w:color="auto"/>
            </w:tcBorders>
          </w:tcPr>
          <w:p w14:paraId="0F0B9139"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9.51x10</w:t>
            </w:r>
            <w:r w:rsidRPr="007A0E3E">
              <w:rPr>
                <w:rFonts w:ascii="Times New Roman" w:eastAsia="Times New Roman" w:hAnsi="Times New Roman" w:cs="Times New Roman"/>
                <w:sz w:val="20"/>
                <w:szCs w:val="20"/>
                <w:vertAlign w:val="superscript"/>
                <w:lang w:val="nl-NL" w:eastAsia="nl-NL"/>
              </w:rPr>
              <w:t>-6</w:t>
            </w:r>
          </w:p>
        </w:tc>
        <w:tc>
          <w:tcPr>
            <w:tcW w:w="303" w:type="pct"/>
            <w:tcBorders>
              <w:top w:val="single" w:sz="4" w:space="0" w:color="auto"/>
              <w:left w:val="single" w:sz="4" w:space="0" w:color="auto"/>
              <w:bottom w:val="single" w:sz="4" w:space="0" w:color="auto"/>
            </w:tcBorders>
          </w:tcPr>
          <w:p w14:paraId="49CEEE54"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0.05</w:t>
            </w:r>
          </w:p>
        </w:tc>
      </w:tr>
      <w:tr w:rsidR="0048716C" w:rsidRPr="007A0E3E" w14:paraId="6C1B571A" w14:textId="77777777" w:rsidTr="001F3DEB">
        <w:trPr>
          <w:trHeight w:val="20"/>
        </w:trPr>
        <w:tc>
          <w:tcPr>
            <w:tcW w:w="321" w:type="pct"/>
            <w:tcBorders>
              <w:right w:val="single" w:sz="4" w:space="0" w:color="auto"/>
            </w:tcBorders>
          </w:tcPr>
          <w:p w14:paraId="078B4730"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0.5</w:t>
            </w:r>
          </w:p>
        </w:tc>
        <w:tc>
          <w:tcPr>
            <w:tcW w:w="369" w:type="pct"/>
            <w:tcBorders>
              <w:top w:val="single" w:sz="4" w:space="0" w:color="auto"/>
              <w:left w:val="single" w:sz="4" w:space="0" w:color="auto"/>
              <w:bottom w:val="single" w:sz="4" w:space="0" w:color="auto"/>
              <w:right w:val="single" w:sz="4" w:space="0" w:color="auto"/>
            </w:tcBorders>
          </w:tcPr>
          <w:p w14:paraId="0536B40A"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49,274</w:t>
            </w:r>
          </w:p>
        </w:tc>
        <w:tc>
          <w:tcPr>
            <w:tcW w:w="460" w:type="pct"/>
            <w:tcBorders>
              <w:top w:val="single" w:sz="4" w:space="0" w:color="auto"/>
              <w:left w:val="single" w:sz="4" w:space="0" w:color="auto"/>
              <w:bottom w:val="single" w:sz="4" w:space="0" w:color="auto"/>
              <w:right w:val="single" w:sz="4" w:space="0" w:color="auto"/>
            </w:tcBorders>
          </w:tcPr>
          <w:p w14:paraId="1EA58E92"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0.22 (0.048)</w:t>
            </w:r>
          </w:p>
        </w:tc>
        <w:tc>
          <w:tcPr>
            <w:tcW w:w="369" w:type="pct"/>
            <w:tcBorders>
              <w:top w:val="single" w:sz="4" w:space="0" w:color="auto"/>
              <w:left w:val="single" w:sz="4" w:space="0" w:color="auto"/>
              <w:bottom w:val="single" w:sz="4" w:space="0" w:color="auto"/>
              <w:right w:val="single" w:sz="4" w:space="0" w:color="auto"/>
            </w:tcBorders>
          </w:tcPr>
          <w:p w14:paraId="505B2D96"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5.1x10</w:t>
            </w:r>
            <w:r w:rsidRPr="007A0E3E">
              <w:rPr>
                <w:rFonts w:ascii="Times New Roman" w:eastAsia="Times New Roman" w:hAnsi="Times New Roman" w:cs="Times New Roman"/>
                <w:sz w:val="20"/>
                <w:szCs w:val="20"/>
                <w:vertAlign w:val="superscript"/>
                <w:lang w:val="nl-NL" w:eastAsia="nl-NL"/>
              </w:rPr>
              <w:t>-6</w:t>
            </w:r>
          </w:p>
        </w:tc>
        <w:tc>
          <w:tcPr>
            <w:tcW w:w="322" w:type="pct"/>
            <w:tcBorders>
              <w:top w:val="single" w:sz="4" w:space="0" w:color="auto"/>
              <w:left w:val="single" w:sz="4" w:space="0" w:color="auto"/>
              <w:bottom w:val="single" w:sz="4" w:space="0" w:color="auto"/>
              <w:right w:val="single" w:sz="4" w:space="0" w:color="auto"/>
            </w:tcBorders>
          </w:tcPr>
          <w:p w14:paraId="54F0B652"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1.53x10</w:t>
            </w:r>
            <w:r w:rsidRPr="007A0E3E">
              <w:rPr>
                <w:rFonts w:ascii="Times New Roman" w:eastAsia="Times New Roman" w:hAnsi="Times New Roman" w:cs="Times New Roman"/>
                <w:sz w:val="20"/>
                <w:szCs w:val="20"/>
                <w:vertAlign w:val="superscript"/>
                <w:lang w:val="nl-NL" w:eastAsia="nl-NL"/>
              </w:rPr>
              <w:t>-5</w:t>
            </w:r>
          </w:p>
        </w:tc>
        <w:tc>
          <w:tcPr>
            <w:tcW w:w="323" w:type="pct"/>
            <w:tcBorders>
              <w:left w:val="single" w:sz="4" w:space="0" w:color="auto"/>
              <w:right w:val="single" w:sz="4" w:space="0" w:color="auto"/>
            </w:tcBorders>
          </w:tcPr>
          <w:p w14:paraId="318F5808"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0.047</w:t>
            </w:r>
          </w:p>
        </w:tc>
        <w:tc>
          <w:tcPr>
            <w:tcW w:w="460" w:type="pct"/>
            <w:tcBorders>
              <w:top w:val="single" w:sz="4" w:space="0" w:color="auto"/>
              <w:left w:val="single" w:sz="4" w:space="0" w:color="auto"/>
              <w:bottom w:val="single" w:sz="4" w:space="0" w:color="auto"/>
              <w:right w:val="single" w:sz="4" w:space="0" w:color="auto"/>
            </w:tcBorders>
          </w:tcPr>
          <w:p w14:paraId="6331087D"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0.191 (0.047)</w:t>
            </w:r>
          </w:p>
        </w:tc>
        <w:tc>
          <w:tcPr>
            <w:tcW w:w="322" w:type="pct"/>
            <w:tcBorders>
              <w:top w:val="single" w:sz="4" w:space="0" w:color="auto"/>
              <w:left w:val="single" w:sz="4" w:space="0" w:color="auto"/>
              <w:bottom w:val="single" w:sz="4" w:space="0" w:color="auto"/>
              <w:right w:val="single" w:sz="4" w:space="0" w:color="auto"/>
            </w:tcBorders>
          </w:tcPr>
          <w:p w14:paraId="6B1F9E97"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4.91x10</w:t>
            </w:r>
            <w:r w:rsidRPr="007A0E3E">
              <w:rPr>
                <w:rFonts w:ascii="Times New Roman" w:eastAsia="Times New Roman" w:hAnsi="Times New Roman" w:cs="Times New Roman"/>
                <w:sz w:val="20"/>
                <w:szCs w:val="20"/>
                <w:vertAlign w:val="superscript"/>
                <w:lang w:val="nl-NL" w:eastAsia="nl-NL"/>
              </w:rPr>
              <w:t>-5</w:t>
            </w:r>
          </w:p>
        </w:tc>
        <w:tc>
          <w:tcPr>
            <w:tcW w:w="323" w:type="pct"/>
            <w:tcBorders>
              <w:left w:val="single" w:sz="4" w:space="0" w:color="auto"/>
              <w:right w:val="single" w:sz="4" w:space="0" w:color="auto"/>
            </w:tcBorders>
          </w:tcPr>
          <w:p w14:paraId="3713F85F"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7.75x10</w:t>
            </w:r>
            <w:r w:rsidRPr="007A0E3E">
              <w:rPr>
                <w:rFonts w:ascii="Times New Roman" w:eastAsia="Times New Roman" w:hAnsi="Times New Roman" w:cs="Times New Roman"/>
                <w:sz w:val="20"/>
                <w:szCs w:val="20"/>
                <w:vertAlign w:val="superscript"/>
                <w:lang w:val="nl-NL" w:eastAsia="nl-NL"/>
              </w:rPr>
              <w:t>-5</w:t>
            </w:r>
          </w:p>
        </w:tc>
        <w:tc>
          <w:tcPr>
            <w:tcW w:w="322" w:type="pct"/>
            <w:tcBorders>
              <w:top w:val="single" w:sz="4" w:space="0" w:color="auto"/>
              <w:left w:val="single" w:sz="4" w:space="0" w:color="auto"/>
              <w:bottom w:val="single" w:sz="4" w:space="0" w:color="auto"/>
              <w:right w:val="single" w:sz="4" w:space="0" w:color="auto"/>
            </w:tcBorders>
          </w:tcPr>
          <w:p w14:paraId="142C358C"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0.036</w:t>
            </w:r>
          </w:p>
        </w:tc>
        <w:tc>
          <w:tcPr>
            <w:tcW w:w="460" w:type="pct"/>
            <w:tcBorders>
              <w:top w:val="single" w:sz="4" w:space="0" w:color="auto"/>
              <w:left w:val="single" w:sz="4" w:space="0" w:color="auto"/>
              <w:bottom w:val="single" w:sz="4" w:space="0" w:color="auto"/>
              <w:right w:val="single" w:sz="4" w:space="0" w:color="auto"/>
            </w:tcBorders>
          </w:tcPr>
          <w:p w14:paraId="7F0EF7F3"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0.224 (0.048)</w:t>
            </w:r>
          </w:p>
        </w:tc>
        <w:tc>
          <w:tcPr>
            <w:tcW w:w="323" w:type="pct"/>
            <w:tcBorders>
              <w:top w:val="single" w:sz="4" w:space="0" w:color="auto"/>
              <w:left w:val="single" w:sz="4" w:space="0" w:color="auto"/>
              <w:bottom w:val="single" w:sz="4" w:space="0" w:color="auto"/>
              <w:right w:val="single" w:sz="4" w:space="0" w:color="auto"/>
            </w:tcBorders>
          </w:tcPr>
          <w:p w14:paraId="7C4B190A"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4.07x10</w:t>
            </w:r>
            <w:r w:rsidRPr="007A0E3E">
              <w:rPr>
                <w:rFonts w:ascii="Times New Roman" w:eastAsia="Times New Roman" w:hAnsi="Times New Roman" w:cs="Times New Roman"/>
                <w:sz w:val="20"/>
                <w:szCs w:val="20"/>
                <w:vertAlign w:val="superscript"/>
                <w:lang w:val="nl-NL" w:eastAsia="nl-NL"/>
              </w:rPr>
              <w:t>-6</w:t>
            </w:r>
          </w:p>
        </w:tc>
        <w:tc>
          <w:tcPr>
            <w:tcW w:w="323" w:type="pct"/>
            <w:tcBorders>
              <w:left w:val="single" w:sz="4" w:space="0" w:color="auto"/>
              <w:right w:val="single" w:sz="4" w:space="0" w:color="auto"/>
            </w:tcBorders>
          </w:tcPr>
          <w:p w14:paraId="680C86E5"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1.36x10</w:t>
            </w:r>
            <w:r w:rsidRPr="007A0E3E">
              <w:rPr>
                <w:rFonts w:ascii="Times New Roman" w:eastAsia="Times New Roman" w:hAnsi="Times New Roman" w:cs="Times New Roman"/>
                <w:sz w:val="20"/>
                <w:szCs w:val="20"/>
                <w:vertAlign w:val="superscript"/>
                <w:lang w:val="nl-NL" w:eastAsia="nl-NL"/>
              </w:rPr>
              <w:t>-5</w:t>
            </w:r>
          </w:p>
        </w:tc>
        <w:tc>
          <w:tcPr>
            <w:tcW w:w="303" w:type="pct"/>
            <w:tcBorders>
              <w:top w:val="single" w:sz="4" w:space="0" w:color="auto"/>
              <w:left w:val="single" w:sz="4" w:space="0" w:color="auto"/>
              <w:bottom w:val="single" w:sz="4" w:space="0" w:color="auto"/>
            </w:tcBorders>
          </w:tcPr>
          <w:p w14:paraId="439FFF8B"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0.048</w:t>
            </w:r>
          </w:p>
        </w:tc>
      </w:tr>
      <w:tr w:rsidR="0048716C" w:rsidRPr="007A0E3E" w14:paraId="10A02EF2" w14:textId="77777777" w:rsidTr="001F3DEB">
        <w:trPr>
          <w:trHeight w:val="20"/>
        </w:trPr>
        <w:tc>
          <w:tcPr>
            <w:tcW w:w="321" w:type="pct"/>
            <w:tcBorders>
              <w:right w:val="single" w:sz="4" w:space="0" w:color="auto"/>
            </w:tcBorders>
          </w:tcPr>
          <w:p w14:paraId="6FE977F4"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0.4</w:t>
            </w:r>
          </w:p>
        </w:tc>
        <w:tc>
          <w:tcPr>
            <w:tcW w:w="369" w:type="pct"/>
            <w:tcBorders>
              <w:top w:val="single" w:sz="4" w:space="0" w:color="auto"/>
              <w:left w:val="single" w:sz="4" w:space="0" w:color="auto"/>
              <w:bottom w:val="single" w:sz="4" w:space="0" w:color="auto"/>
              <w:right w:val="single" w:sz="4" w:space="0" w:color="auto"/>
            </w:tcBorders>
          </w:tcPr>
          <w:p w14:paraId="6AABC10D"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43,169</w:t>
            </w:r>
          </w:p>
        </w:tc>
        <w:tc>
          <w:tcPr>
            <w:tcW w:w="460" w:type="pct"/>
            <w:tcBorders>
              <w:top w:val="single" w:sz="4" w:space="0" w:color="auto"/>
              <w:left w:val="single" w:sz="4" w:space="0" w:color="auto"/>
              <w:bottom w:val="single" w:sz="4" w:space="0" w:color="auto"/>
              <w:right w:val="single" w:sz="4" w:space="0" w:color="auto"/>
            </w:tcBorders>
          </w:tcPr>
          <w:p w14:paraId="5A1A01D6"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0.223 (0.047)</w:t>
            </w:r>
          </w:p>
        </w:tc>
        <w:tc>
          <w:tcPr>
            <w:tcW w:w="369" w:type="pct"/>
            <w:tcBorders>
              <w:top w:val="single" w:sz="4" w:space="0" w:color="auto"/>
              <w:left w:val="single" w:sz="4" w:space="0" w:color="auto"/>
              <w:bottom w:val="single" w:sz="4" w:space="0" w:color="auto"/>
              <w:right w:val="single" w:sz="4" w:space="0" w:color="auto"/>
            </w:tcBorders>
          </w:tcPr>
          <w:p w14:paraId="32C56115"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3.83x10</w:t>
            </w:r>
            <w:r w:rsidRPr="007A0E3E">
              <w:rPr>
                <w:rFonts w:ascii="Times New Roman" w:eastAsia="Times New Roman" w:hAnsi="Times New Roman" w:cs="Times New Roman"/>
                <w:sz w:val="20"/>
                <w:szCs w:val="20"/>
                <w:vertAlign w:val="superscript"/>
                <w:lang w:val="nl-NL" w:eastAsia="nl-NL"/>
              </w:rPr>
              <w:t>-6</w:t>
            </w:r>
          </w:p>
        </w:tc>
        <w:tc>
          <w:tcPr>
            <w:tcW w:w="322" w:type="pct"/>
            <w:tcBorders>
              <w:top w:val="single" w:sz="4" w:space="0" w:color="auto"/>
              <w:left w:val="single" w:sz="4" w:space="0" w:color="auto"/>
              <w:bottom w:val="single" w:sz="4" w:space="0" w:color="auto"/>
              <w:right w:val="single" w:sz="4" w:space="0" w:color="auto"/>
            </w:tcBorders>
          </w:tcPr>
          <w:p w14:paraId="592A4383"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1.47x10</w:t>
            </w:r>
            <w:r w:rsidRPr="007A0E3E">
              <w:rPr>
                <w:rFonts w:ascii="Times New Roman" w:eastAsia="Times New Roman" w:hAnsi="Times New Roman" w:cs="Times New Roman"/>
                <w:sz w:val="20"/>
                <w:szCs w:val="20"/>
                <w:vertAlign w:val="superscript"/>
                <w:lang w:val="nl-NL" w:eastAsia="nl-NL"/>
              </w:rPr>
              <w:t>-5</w:t>
            </w:r>
          </w:p>
        </w:tc>
        <w:tc>
          <w:tcPr>
            <w:tcW w:w="323" w:type="pct"/>
            <w:tcBorders>
              <w:left w:val="single" w:sz="4" w:space="0" w:color="auto"/>
              <w:right w:val="single" w:sz="4" w:space="0" w:color="auto"/>
            </w:tcBorders>
          </w:tcPr>
          <w:p w14:paraId="456CCD1C"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0.048</w:t>
            </w:r>
          </w:p>
        </w:tc>
        <w:tc>
          <w:tcPr>
            <w:tcW w:w="460" w:type="pct"/>
            <w:tcBorders>
              <w:top w:val="single" w:sz="4" w:space="0" w:color="auto"/>
              <w:left w:val="single" w:sz="4" w:space="0" w:color="auto"/>
              <w:bottom w:val="single" w:sz="4" w:space="0" w:color="auto"/>
              <w:right w:val="single" w:sz="4" w:space="0" w:color="auto"/>
            </w:tcBorders>
          </w:tcPr>
          <w:p w14:paraId="7A0580D0"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0.192 (0.047)</w:t>
            </w:r>
          </w:p>
        </w:tc>
        <w:tc>
          <w:tcPr>
            <w:tcW w:w="322" w:type="pct"/>
            <w:tcBorders>
              <w:top w:val="single" w:sz="4" w:space="0" w:color="auto"/>
              <w:left w:val="single" w:sz="4" w:space="0" w:color="auto"/>
              <w:bottom w:val="single" w:sz="4" w:space="0" w:color="auto"/>
              <w:right w:val="single" w:sz="4" w:space="0" w:color="auto"/>
            </w:tcBorders>
          </w:tcPr>
          <w:p w14:paraId="402B9D01"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4.47x10</w:t>
            </w:r>
            <w:r w:rsidRPr="007A0E3E">
              <w:rPr>
                <w:rFonts w:ascii="Times New Roman" w:eastAsia="Times New Roman" w:hAnsi="Times New Roman" w:cs="Times New Roman"/>
                <w:sz w:val="20"/>
                <w:szCs w:val="20"/>
                <w:vertAlign w:val="superscript"/>
                <w:lang w:val="nl-NL" w:eastAsia="nl-NL"/>
              </w:rPr>
              <w:t>-5</w:t>
            </w:r>
          </w:p>
        </w:tc>
        <w:tc>
          <w:tcPr>
            <w:tcW w:w="323" w:type="pct"/>
            <w:tcBorders>
              <w:left w:val="single" w:sz="4" w:space="0" w:color="auto"/>
              <w:right w:val="single" w:sz="4" w:space="0" w:color="auto"/>
            </w:tcBorders>
          </w:tcPr>
          <w:p w14:paraId="64330980"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7.45x10</w:t>
            </w:r>
            <w:r w:rsidRPr="007A0E3E">
              <w:rPr>
                <w:rFonts w:ascii="Times New Roman" w:eastAsia="Times New Roman" w:hAnsi="Times New Roman" w:cs="Times New Roman"/>
                <w:sz w:val="20"/>
                <w:szCs w:val="20"/>
                <w:vertAlign w:val="superscript"/>
                <w:lang w:val="nl-NL" w:eastAsia="nl-NL"/>
              </w:rPr>
              <w:t>-5</w:t>
            </w:r>
          </w:p>
        </w:tc>
        <w:tc>
          <w:tcPr>
            <w:tcW w:w="322" w:type="pct"/>
            <w:tcBorders>
              <w:top w:val="single" w:sz="4" w:space="0" w:color="auto"/>
              <w:left w:val="single" w:sz="4" w:space="0" w:color="auto"/>
              <w:bottom w:val="single" w:sz="4" w:space="0" w:color="auto"/>
              <w:right w:val="single" w:sz="4" w:space="0" w:color="auto"/>
            </w:tcBorders>
          </w:tcPr>
          <w:p w14:paraId="1500610C"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0.036</w:t>
            </w:r>
          </w:p>
        </w:tc>
        <w:tc>
          <w:tcPr>
            <w:tcW w:w="460" w:type="pct"/>
            <w:tcBorders>
              <w:top w:val="single" w:sz="4" w:space="0" w:color="auto"/>
              <w:left w:val="single" w:sz="4" w:space="0" w:color="auto"/>
              <w:bottom w:val="single" w:sz="4" w:space="0" w:color="auto"/>
              <w:right w:val="single" w:sz="4" w:space="0" w:color="auto"/>
            </w:tcBorders>
          </w:tcPr>
          <w:p w14:paraId="4A97D244"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0.23 (0.048)</w:t>
            </w:r>
          </w:p>
        </w:tc>
        <w:tc>
          <w:tcPr>
            <w:tcW w:w="323" w:type="pct"/>
            <w:tcBorders>
              <w:top w:val="single" w:sz="4" w:space="0" w:color="auto"/>
              <w:left w:val="single" w:sz="4" w:space="0" w:color="auto"/>
              <w:bottom w:val="single" w:sz="4" w:space="0" w:color="auto"/>
              <w:right w:val="single" w:sz="4" w:space="0" w:color="auto"/>
            </w:tcBorders>
          </w:tcPr>
          <w:p w14:paraId="3D6A4A6D"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2.14x10</w:t>
            </w:r>
            <w:r w:rsidRPr="007A0E3E">
              <w:rPr>
                <w:rFonts w:ascii="Times New Roman" w:eastAsia="Times New Roman" w:hAnsi="Times New Roman" w:cs="Times New Roman"/>
                <w:sz w:val="20"/>
                <w:szCs w:val="20"/>
                <w:vertAlign w:val="superscript"/>
                <w:lang w:val="nl-NL" w:eastAsia="nl-NL"/>
              </w:rPr>
              <w:t>-6</w:t>
            </w:r>
          </w:p>
        </w:tc>
        <w:tc>
          <w:tcPr>
            <w:tcW w:w="323" w:type="pct"/>
            <w:tcBorders>
              <w:left w:val="single" w:sz="4" w:space="0" w:color="auto"/>
              <w:right w:val="single" w:sz="4" w:space="0" w:color="auto"/>
            </w:tcBorders>
          </w:tcPr>
          <w:p w14:paraId="31B61BA1"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1.07x10</w:t>
            </w:r>
            <w:r w:rsidRPr="007A0E3E">
              <w:rPr>
                <w:rFonts w:ascii="Times New Roman" w:eastAsia="Times New Roman" w:hAnsi="Times New Roman" w:cs="Times New Roman"/>
                <w:sz w:val="20"/>
                <w:szCs w:val="20"/>
                <w:vertAlign w:val="superscript"/>
                <w:lang w:val="nl-NL" w:eastAsia="nl-NL"/>
              </w:rPr>
              <w:t>-5</w:t>
            </w:r>
          </w:p>
        </w:tc>
        <w:tc>
          <w:tcPr>
            <w:tcW w:w="303" w:type="pct"/>
            <w:tcBorders>
              <w:top w:val="single" w:sz="4" w:space="0" w:color="auto"/>
              <w:left w:val="single" w:sz="4" w:space="0" w:color="auto"/>
              <w:bottom w:val="single" w:sz="4" w:space="0" w:color="auto"/>
            </w:tcBorders>
          </w:tcPr>
          <w:p w14:paraId="324EB5C6"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0.051</w:t>
            </w:r>
          </w:p>
        </w:tc>
      </w:tr>
      <w:tr w:rsidR="0048716C" w:rsidRPr="007A0E3E" w14:paraId="6DC1983B" w14:textId="77777777" w:rsidTr="001F3DEB">
        <w:trPr>
          <w:trHeight w:val="20"/>
        </w:trPr>
        <w:tc>
          <w:tcPr>
            <w:tcW w:w="321" w:type="pct"/>
            <w:tcBorders>
              <w:right w:val="single" w:sz="4" w:space="0" w:color="auto"/>
            </w:tcBorders>
          </w:tcPr>
          <w:p w14:paraId="6C35AE5D"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color w:val="000000"/>
                <w:sz w:val="20"/>
                <w:szCs w:val="20"/>
                <w:lang w:val="nl-NL" w:eastAsia="nl-NL"/>
              </w:rPr>
              <w:t>0.3</w:t>
            </w:r>
          </w:p>
        </w:tc>
        <w:tc>
          <w:tcPr>
            <w:tcW w:w="369" w:type="pct"/>
            <w:tcBorders>
              <w:top w:val="single" w:sz="4" w:space="0" w:color="auto"/>
              <w:left w:val="single" w:sz="4" w:space="0" w:color="auto"/>
              <w:bottom w:val="single" w:sz="4" w:space="0" w:color="auto"/>
              <w:right w:val="single" w:sz="4" w:space="0" w:color="auto"/>
            </w:tcBorders>
          </w:tcPr>
          <w:p w14:paraId="626F0551"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35,937</w:t>
            </w:r>
          </w:p>
        </w:tc>
        <w:tc>
          <w:tcPr>
            <w:tcW w:w="460" w:type="pct"/>
            <w:tcBorders>
              <w:top w:val="single" w:sz="4" w:space="0" w:color="auto"/>
              <w:left w:val="single" w:sz="4" w:space="0" w:color="auto"/>
              <w:bottom w:val="single" w:sz="4" w:space="0" w:color="auto"/>
              <w:right w:val="single" w:sz="4" w:space="0" w:color="auto"/>
            </w:tcBorders>
          </w:tcPr>
          <w:p w14:paraId="582BE50B"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0.23 (0.048)</w:t>
            </w:r>
          </w:p>
        </w:tc>
        <w:tc>
          <w:tcPr>
            <w:tcW w:w="369" w:type="pct"/>
            <w:tcBorders>
              <w:top w:val="single" w:sz="4" w:space="0" w:color="auto"/>
              <w:left w:val="single" w:sz="4" w:space="0" w:color="auto"/>
              <w:bottom w:val="single" w:sz="4" w:space="0" w:color="auto"/>
              <w:right w:val="single" w:sz="4" w:space="0" w:color="auto"/>
            </w:tcBorders>
          </w:tcPr>
          <w:p w14:paraId="26FEB110"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1.96x10</w:t>
            </w:r>
            <w:r w:rsidRPr="007A0E3E">
              <w:rPr>
                <w:rFonts w:ascii="Times New Roman" w:eastAsia="Times New Roman" w:hAnsi="Times New Roman" w:cs="Times New Roman"/>
                <w:sz w:val="20"/>
                <w:szCs w:val="20"/>
                <w:vertAlign w:val="superscript"/>
                <w:lang w:val="nl-NL" w:eastAsia="nl-NL"/>
              </w:rPr>
              <w:t>-6</w:t>
            </w:r>
          </w:p>
        </w:tc>
        <w:tc>
          <w:tcPr>
            <w:tcW w:w="322" w:type="pct"/>
            <w:tcBorders>
              <w:top w:val="single" w:sz="4" w:space="0" w:color="auto"/>
              <w:left w:val="single" w:sz="4" w:space="0" w:color="auto"/>
              <w:bottom w:val="single" w:sz="4" w:space="0" w:color="auto"/>
              <w:right w:val="single" w:sz="4" w:space="0" w:color="auto"/>
            </w:tcBorders>
          </w:tcPr>
          <w:p w14:paraId="13DB7307"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color w:val="000000"/>
                <w:sz w:val="20"/>
                <w:szCs w:val="20"/>
                <w:lang w:val="nl-NL" w:eastAsia="nl-NL"/>
              </w:rPr>
              <w:t>1.18</w:t>
            </w:r>
            <w:r w:rsidRPr="007A0E3E">
              <w:rPr>
                <w:rFonts w:ascii="Times New Roman" w:eastAsia="Times New Roman" w:hAnsi="Times New Roman" w:cs="Times New Roman"/>
                <w:sz w:val="20"/>
                <w:szCs w:val="20"/>
                <w:lang w:val="nl-NL" w:eastAsia="nl-NL"/>
              </w:rPr>
              <w:t>x10</w:t>
            </w:r>
            <w:r w:rsidRPr="007A0E3E">
              <w:rPr>
                <w:rFonts w:ascii="Times New Roman" w:eastAsia="Times New Roman" w:hAnsi="Times New Roman" w:cs="Times New Roman"/>
                <w:sz w:val="20"/>
                <w:szCs w:val="20"/>
                <w:vertAlign w:val="superscript"/>
                <w:lang w:val="nl-NL" w:eastAsia="nl-NL"/>
              </w:rPr>
              <w:t>-5</w:t>
            </w:r>
          </w:p>
        </w:tc>
        <w:tc>
          <w:tcPr>
            <w:tcW w:w="323" w:type="pct"/>
            <w:tcBorders>
              <w:left w:val="single" w:sz="4" w:space="0" w:color="auto"/>
              <w:right w:val="single" w:sz="4" w:space="0" w:color="auto"/>
            </w:tcBorders>
          </w:tcPr>
          <w:p w14:paraId="64D8A091"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color w:val="000000"/>
                <w:sz w:val="20"/>
                <w:szCs w:val="20"/>
                <w:lang w:val="nl-NL" w:eastAsia="nl-NL"/>
              </w:rPr>
              <w:t>0.051</w:t>
            </w:r>
          </w:p>
        </w:tc>
        <w:tc>
          <w:tcPr>
            <w:tcW w:w="460" w:type="pct"/>
            <w:tcBorders>
              <w:top w:val="single" w:sz="4" w:space="0" w:color="auto"/>
              <w:left w:val="single" w:sz="4" w:space="0" w:color="auto"/>
              <w:bottom w:val="single" w:sz="4" w:space="0" w:color="auto"/>
              <w:right w:val="single" w:sz="4" w:space="0" w:color="auto"/>
            </w:tcBorders>
          </w:tcPr>
          <w:p w14:paraId="6594D063"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0.202 (0.047)</w:t>
            </w:r>
          </w:p>
        </w:tc>
        <w:tc>
          <w:tcPr>
            <w:tcW w:w="322" w:type="pct"/>
            <w:tcBorders>
              <w:top w:val="single" w:sz="4" w:space="0" w:color="auto"/>
              <w:left w:val="single" w:sz="4" w:space="0" w:color="auto"/>
              <w:bottom w:val="single" w:sz="4" w:space="0" w:color="auto"/>
              <w:right w:val="single" w:sz="4" w:space="0" w:color="auto"/>
            </w:tcBorders>
          </w:tcPr>
          <w:p w14:paraId="190B4D85"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1.92x10</w:t>
            </w:r>
            <w:r w:rsidRPr="007A0E3E">
              <w:rPr>
                <w:rFonts w:ascii="Times New Roman" w:eastAsia="Times New Roman" w:hAnsi="Times New Roman" w:cs="Times New Roman"/>
                <w:sz w:val="20"/>
                <w:szCs w:val="20"/>
                <w:vertAlign w:val="superscript"/>
                <w:lang w:val="nl-NL" w:eastAsia="nl-NL"/>
              </w:rPr>
              <w:t>-5</w:t>
            </w:r>
          </w:p>
        </w:tc>
        <w:tc>
          <w:tcPr>
            <w:tcW w:w="323" w:type="pct"/>
            <w:tcBorders>
              <w:left w:val="single" w:sz="4" w:space="0" w:color="auto"/>
              <w:right w:val="single" w:sz="4" w:space="0" w:color="auto"/>
            </w:tcBorders>
          </w:tcPr>
          <w:p w14:paraId="61A99BD7"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3.6x10</w:t>
            </w:r>
            <w:r w:rsidRPr="007A0E3E">
              <w:rPr>
                <w:rFonts w:ascii="Times New Roman" w:eastAsia="Times New Roman" w:hAnsi="Times New Roman" w:cs="Times New Roman"/>
                <w:sz w:val="20"/>
                <w:szCs w:val="20"/>
                <w:vertAlign w:val="superscript"/>
                <w:lang w:val="nl-NL" w:eastAsia="nl-NL"/>
              </w:rPr>
              <w:t>-5</w:t>
            </w:r>
          </w:p>
        </w:tc>
        <w:tc>
          <w:tcPr>
            <w:tcW w:w="322" w:type="pct"/>
            <w:tcBorders>
              <w:top w:val="single" w:sz="4" w:space="0" w:color="auto"/>
              <w:left w:val="single" w:sz="4" w:space="0" w:color="auto"/>
              <w:bottom w:val="single" w:sz="4" w:space="0" w:color="auto"/>
              <w:right w:val="single" w:sz="4" w:space="0" w:color="auto"/>
            </w:tcBorders>
          </w:tcPr>
          <w:p w14:paraId="42CC6D9C"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0.039</w:t>
            </w:r>
          </w:p>
        </w:tc>
        <w:tc>
          <w:tcPr>
            <w:tcW w:w="460" w:type="pct"/>
            <w:tcBorders>
              <w:top w:val="single" w:sz="4" w:space="0" w:color="auto"/>
              <w:left w:val="single" w:sz="4" w:space="0" w:color="auto"/>
              <w:bottom w:val="single" w:sz="4" w:space="0" w:color="auto"/>
              <w:right w:val="single" w:sz="4" w:space="0" w:color="auto"/>
            </w:tcBorders>
          </w:tcPr>
          <w:p w14:paraId="3795BFBB"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0.234 (0.048)</w:t>
            </w:r>
          </w:p>
        </w:tc>
        <w:tc>
          <w:tcPr>
            <w:tcW w:w="323" w:type="pct"/>
            <w:tcBorders>
              <w:top w:val="single" w:sz="4" w:space="0" w:color="auto"/>
              <w:left w:val="single" w:sz="4" w:space="0" w:color="auto"/>
              <w:bottom w:val="single" w:sz="4" w:space="0" w:color="auto"/>
              <w:right w:val="single" w:sz="4" w:space="0" w:color="auto"/>
            </w:tcBorders>
          </w:tcPr>
          <w:p w14:paraId="06E93C68"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1.69x10</w:t>
            </w:r>
            <w:r w:rsidRPr="007A0E3E">
              <w:rPr>
                <w:rFonts w:ascii="Times New Roman" w:eastAsia="Times New Roman" w:hAnsi="Times New Roman" w:cs="Times New Roman"/>
                <w:sz w:val="20"/>
                <w:szCs w:val="20"/>
                <w:vertAlign w:val="superscript"/>
                <w:lang w:val="nl-NL" w:eastAsia="nl-NL"/>
              </w:rPr>
              <w:t>-6</w:t>
            </w:r>
          </w:p>
        </w:tc>
        <w:tc>
          <w:tcPr>
            <w:tcW w:w="323" w:type="pct"/>
            <w:tcBorders>
              <w:left w:val="single" w:sz="4" w:space="0" w:color="auto"/>
              <w:right w:val="single" w:sz="4" w:space="0" w:color="auto"/>
            </w:tcBorders>
          </w:tcPr>
          <w:p w14:paraId="3CBF2298"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1.69x10</w:t>
            </w:r>
            <w:r w:rsidRPr="007A0E3E">
              <w:rPr>
                <w:rFonts w:ascii="Times New Roman" w:eastAsia="Times New Roman" w:hAnsi="Times New Roman" w:cs="Times New Roman"/>
                <w:sz w:val="20"/>
                <w:szCs w:val="20"/>
                <w:vertAlign w:val="superscript"/>
                <w:lang w:val="nl-NL" w:eastAsia="nl-NL"/>
              </w:rPr>
              <w:t>-5</w:t>
            </w:r>
          </w:p>
        </w:tc>
        <w:tc>
          <w:tcPr>
            <w:tcW w:w="303" w:type="pct"/>
            <w:tcBorders>
              <w:top w:val="single" w:sz="4" w:space="0" w:color="auto"/>
              <w:left w:val="single" w:sz="4" w:space="0" w:color="auto"/>
              <w:bottom w:val="single" w:sz="4" w:space="0" w:color="auto"/>
            </w:tcBorders>
          </w:tcPr>
          <w:p w14:paraId="0B9EFFA2"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0.052</w:t>
            </w:r>
          </w:p>
        </w:tc>
      </w:tr>
      <w:tr w:rsidR="0048716C" w:rsidRPr="007A0E3E" w14:paraId="46370E83" w14:textId="77777777" w:rsidTr="001F3DEB">
        <w:trPr>
          <w:trHeight w:val="20"/>
        </w:trPr>
        <w:tc>
          <w:tcPr>
            <w:tcW w:w="321" w:type="pct"/>
            <w:tcBorders>
              <w:right w:val="single" w:sz="4" w:space="0" w:color="auto"/>
            </w:tcBorders>
          </w:tcPr>
          <w:p w14:paraId="36F9F9FC"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color w:val="000000"/>
                <w:sz w:val="20"/>
                <w:szCs w:val="20"/>
                <w:lang w:val="nl-NL" w:eastAsia="nl-NL"/>
              </w:rPr>
              <w:t>0.2</w:t>
            </w:r>
          </w:p>
        </w:tc>
        <w:tc>
          <w:tcPr>
            <w:tcW w:w="369" w:type="pct"/>
            <w:tcBorders>
              <w:top w:val="single" w:sz="4" w:space="0" w:color="auto"/>
              <w:left w:val="single" w:sz="4" w:space="0" w:color="auto"/>
              <w:bottom w:val="single" w:sz="4" w:space="0" w:color="auto"/>
              <w:right w:val="single" w:sz="4" w:space="0" w:color="auto"/>
            </w:tcBorders>
          </w:tcPr>
          <w:p w14:paraId="2EF7F76A"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27,386</w:t>
            </w:r>
          </w:p>
        </w:tc>
        <w:tc>
          <w:tcPr>
            <w:tcW w:w="460" w:type="pct"/>
            <w:tcBorders>
              <w:top w:val="single" w:sz="4" w:space="0" w:color="auto"/>
              <w:left w:val="single" w:sz="4" w:space="0" w:color="auto"/>
              <w:bottom w:val="single" w:sz="4" w:space="0" w:color="auto"/>
              <w:right w:val="single" w:sz="4" w:space="0" w:color="auto"/>
            </w:tcBorders>
          </w:tcPr>
          <w:p w14:paraId="79DB6031"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0.243 (0.047)</w:t>
            </w:r>
          </w:p>
        </w:tc>
        <w:tc>
          <w:tcPr>
            <w:tcW w:w="369" w:type="pct"/>
            <w:tcBorders>
              <w:top w:val="single" w:sz="4" w:space="0" w:color="auto"/>
              <w:left w:val="single" w:sz="4" w:space="0" w:color="auto"/>
              <w:bottom w:val="single" w:sz="4" w:space="0" w:color="auto"/>
              <w:right w:val="single" w:sz="4" w:space="0" w:color="auto"/>
            </w:tcBorders>
          </w:tcPr>
          <w:p w14:paraId="70062AF7"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4.67x10</w:t>
            </w:r>
            <w:r w:rsidRPr="007A0E3E">
              <w:rPr>
                <w:rFonts w:ascii="Times New Roman" w:eastAsia="Times New Roman" w:hAnsi="Times New Roman" w:cs="Times New Roman"/>
                <w:sz w:val="20"/>
                <w:szCs w:val="20"/>
                <w:vertAlign w:val="superscript"/>
                <w:lang w:val="nl-NL" w:eastAsia="nl-NL"/>
              </w:rPr>
              <w:t>-7</w:t>
            </w:r>
          </w:p>
        </w:tc>
        <w:tc>
          <w:tcPr>
            <w:tcW w:w="322" w:type="pct"/>
            <w:tcBorders>
              <w:top w:val="single" w:sz="4" w:space="0" w:color="auto"/>
              <w:left w:val="single" w:sz="4" w:space="0" w:color="auto"/>
              <w:bottom w:val="single" w:sz="4" w:space="0" w:color="auto"/>
              <w:right w:val="single" w:sz="4" w:space="0" w:color="auto"/>
            </w:tcBorders>
          </w:tcPr>
          <w:p w14:paraId="37AB269D"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color w:val="000000"/>
                <w:sz w:val="20"/>
                <w:szCs w:val="20"/>
                <w:lang w:val="nl-NL" w:eastAsia="nl-NL"/>
              </w:rPr>
              <w:t>7</w:t>
            </w:r>
            <w:r w:rsidRPr="007A0E3E">
              <w:rPr>
                <w:rFonts w:ascii="Times New Roman" w:eastAsia="Times New Roman" w:hAnsi="Times New Roman" w:cs="Times New Roman"/>
                <w:sz w:val="20"/>
                <w:szCs w:val="20"/>
                <w:lang w:val="nl-NL" w:eastAsia="nl-NL"/>
              </w:rPr>
              <w:t>x10</w:t>
            </w:r>
            <w:r w:rsidRPr="007A0E3E">
              <w:rPr>
                <w:rFonts w:ascii="Times New Roman" w:eastAsia="Times New Roman" w:hAnsi="Times New Roman" w:cs="Times New Roman"/>
                <w:sz w:val="20"/>
                <w:szCs w:val="20"/>
                <w:vertAlign w:val="superscript"/>
                <w:lang w:val="nl-NL" w:eastAsia="nl-NL"/>
              </w:rPr>
              <w:t>-6</w:t>
            </w:r>
          </w:p>
        </w:tc>
        <w:tc>
          <w:tcPr>
            <w:tcW w:w="323" w:type="pct"/>
            <w:tcBorders>
              <w:left w:val="single" w:sz="4" w:space="0" w:color="auto"/>
              <w:right w:val="single" w:sz="4" w:space="0" w:color="auto"/>
            </w:tcBorders>
          </w:tcPr>
          <w:p w14:paraId="3BF529A1"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color w:val="000000"/>
                <w:sz w:val="20"/>
                <w:szCs w:val="20"/>
                <w:lang w:val="nl-NL" w:eastAsia="nl-NL"/>
              </w:rPr>
              <w:t>0.057</w:t>
            </w:r>
          </w:p>
        </w:tc>
        <w:tc>
          <w:tcPr>
            <w:tcW w:w="460" w:type="pct"/>
            <w:tcBorders>
              <w:top w:val="single" w:sz="4" w:space="0" w:color="auto"/>
              <w:left w:val="single" w:sz="4" w:space="0" w:color="auto"/>
              <w:bottom w:val="single" w:sz="4" w:space="0" w:color="auto"/>
              <w:right w:val="single" w:sz="4" w:space="0" w:color="auto"/>
            </w:tcBorders>
          </w:tcPr>
          <w:p w14:paraId="474AE219"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0.205 (0.047)</w:t>
            </w:r>
          </w:p>
        </w:tc>
        <w:tc>
          <w:tcPr>
            <w:tcW w:w="322" w:type="pct"/>
            <w:tcBorders>
              <w:top w:val="single" w:sz="4" w:space="0" w:color="auto"/>
              <w:left w:val="single" w:sz="4" w:space="0" w:color="auto"/>
              <w:bottom w:val="single" w:sz="4" w:space="0" w:color="auto"/>
              <w:right w:val="single" w:sz="4" w:space="0" w:color="auto"/>
            </w:tcBorders>
          </w:tcPr>
          <w:p w14:paraId="1ED0C668"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1.39x10</w:t>
            </w:r>
            <w:r w:rsidRPr="007A0E3E">
              <w:rPr>
                <w:rFonts w:ascii="Times New Roman" w:eastAsia="Times New Roman" w:hAnsi="Times New Roman" w:cs="Times New Roman"/>
                <w:sz w:val="20"/>
                <w:szCs w:val="20"/>
                <w:vertAlign w:val="superscript"/>
                <w:lang w:val="nl-NL" w:eastAsia="nl-NL"/>
              </w:rPr>
              <w:t>-5</w:t>
            </w:r>
          </w:p>
        </w:tc>
        <w:tc>
          <w:tcPr>
            <w:tcW w:w="323" w:type="pct"/>
            <w:tcBorders>
              <w:left w:val="single" w:sz="4" w:space="0" w:color="auto"/>
              <w:right w:val="single" w:sz="4" w:space="0" w:color="auto"/>
            </w:tcBorders>
          </w:tcPr>
          <w:p w14:paraId="4A5837C8"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2.98x10</w:t>
            </w:r>
            <w:r w:rsidRPr="007A0E3E">
              <w:rPr>
                <w:rFonts w:ascii="Times New Roman" w:eastAsia="Times New Roman" w:hAnsi="Times New Roman" w:cs="Times New Roman"/>
                <w:sz w:val="20"/>
                <w:szCs w:val="20"/>
                <w:vertAlign w:val="superscript"/>
                <w:lang w:val="nl-NL" w:eastAsia="nl-NL"/>
              </w:rPr>
              <w:t>-5</w:t>
            </w:r>
          </w:p>
        </w:tc>
        <w:tc>
          <w:tcPr>
            <w:tcW w:w="322" w:type="pct"/>
            <w:tcBorders>
              <w:top w:val="single" w:sz="4" w:space="0" w:color="auto"/>
              <w:left w:val="single" w:sz="4" w:space="0" w:color="auto"/>
              <w:bottom w:val="single" w:sz="4" w:space="0" w:color="auto"/>
              <w:right w:val="single" w:sz="4" w:space="0" w:color="auto"/>
            </w:tcBorders>
          </w:tcPr>
          <w:p w14:paraId="3560CFBE"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0.041</w:t>
            </w:r>
          </w:p>
        </w:tc>
        <w:tc>
          <w:tcPr>
            <w:tcW w:w="460" w:type="pct"/>
            <w:tcBorders>
              <w:top w:val="single" w:sz="4" w:space="0" w:color="auto"/>
              <w:left w:val="single" w:sz="4" w:space="0" w:color="auto"/>
              <w:bottom w:val="single" w:sz="4" w:space="0" w:color="auto"/>
              <w:right w:val="single" w:sz="4" w:space="0" w:color="auto"/>
            </w:tcBorders>
          </w:tcPr>
          <w:p w14:paraId="5E0E8EED"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0.251 (0.048)</w:t>
            </w:r>
          </w:p>
        </w:tc>
        <w:tc>
          <w:tcPr>
            <w:tcW w:w="323" w:type="pct"/>
            <w:tcBorders>
              <w:top w:val="single" w:sz="4" w:space="0" w:color="auto"/>
              <w:left w:val="single" w:sz="4" w:space="0" w:color="auto"/>
              <w:bottom w:val="single" w:sz="4" w:space="0" w:color="auto"/>
              <w:right w:val="single" w:sz="4" w:space="0" w:color="auto"/>
            </w:tcBorders>
          </w:tcPr>
          <w:p w14:paraId="6F8E114E"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2.35x10</w:t>
            </w:r>
            <w:r w:rsidRPr="007A0E3E">
              <w:rPr>
                <w:rFonts w:ascii="Times New Roman" w:eastAsia="Times New Roman" w:hAnsi="Times New Roman" w:cs="Times New Roman"/>
                <w:sz w:val="20"/>
                <w:szCs w:val="20"/>
                <w:vertAlign w:val="superscript"/>
                <w:lang w:val="nl-NL" w:eastAsia="nl-NL"/>
              </w:rPr>
              <w:t>-7</w:t>
            </w:r>
          </w:p>
        </w:tc>
        <w:tc>
          <w:tcPr>
            <w:tcW w:w="323" w:type="pct"/>
            <w:tcBorders>
              <w:left w:val="single" w:sz="4" w:space="0" w:color="auto"/>
              <w:right w:val="single" w:sz="4" w:space="0" w:color="auto"/>
            </w:tcBorders>
          </w:tcPr>
          <w:p w14:paraId="383ADD2A"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7.05x10</w:t>
            </w:r>
            <w:r w:rsidRPr="007A0E3E">
              <w:rPr>
                <w:rFonts w:ascii="Times New Roman" w:eastAsia="Times New Roman" w:hAnsi="Times New Roman" w:cs="Times New Roman"/>
                <w:sz w:val="20"/>
                <w:szCs w:val="20"/>
                <w:vertAlign w:val="superscript"/>
                <w:lang w:val="nl-NL" w:eastAsia="nl-NL"/>
              </w:rPr>
              <w:t>-6</w:t>
            </w:r>
          </w:p>
        </w:tc>
        <w:tc>
          <w:tcPr>
            <w:tcW w:w="303" w:type="pct"/>
            <w:tcBorders>
              <w:top w:val="single" w:sz="4" w:space="0" w:color="auto"/>
              <w:left w:val="single" w:sz="4" w:space="0" w:color="auto"/>
              <w:bottom w:val="single" w:sz="4" w:space="0" w:color="auto"/>
            </w:tcBorders>
          </w:tcPr>
          <w:p w14:paraId="4543699A"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0.06</w:t>
            </w:r>
          </w:p>
        </w:tc>
      </w:tr>
      <w:tr w:rsidR="0048716C" w:rsidRPr="007A0E3E" w14:paraId="2B88E198" w14:textId="77777777" w:rsidTr="001F3DEB">
        <w:trPr>
          <w:trHeight w:val="20"/>
        </w:trPr>
        <w:tc>
          <w:tcPr>
            <w:tcW w:w="321" w:type="pct"/>
            <w:tcBorders>
              <w:right w:val="single" w:sz="4" w:space="0" w:color="auto"/>
            </w:tcBorders>
          </w:tcPr>
          <w:p w14:paraId="4934A210"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0.1</w:t>
            </w:r>
          </w:p>
        </w:tc>
        <w:tc>
          <w:tcPr>
            <w:tcW w:w="369" w:type="pct"/>
            <w:tcBorders>
              <w:top w:val="single" w:sz="4" w:space="0" w:color="auto"/>
              <w:left w:val="single" w:sz="4" w:space="0" w:color="auto"/>
              <w:bottom w:val="single" w:sz="4" w:space="0" w:color="auto"/>
              <w:right w:val="single" w:sz="4" w:space="0" w:color="auto"/>
            </w:tcBorders>
          </w:tcPr>
          <w:p w14:paraId="033A1DED"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16,756</w:t>
            </w:r>
          </w:p>
        </w:tc>
        <w:tc>
          <w:tcPr>
            <w:tcW w:w="460" w:type="pct"/>
            <w:tcBorders>
              <w:top w:val="single" w:sz="4" w:space="0" w:color="auto"/>
              <w:left w:val="single" w:sz="4" w:space="0" w:color="auto"/>
              <w:bottom w:val="single" w:sz="4" w:space="0" w:color="auto"/>
              <w:right w:val="single" w:sz="4" w:space="0" w:color="auto"/>
            </w:tcBorders>
          </w:tcPr>
          <w:p w14:paraId="679AC5F7"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0.212 (0.048)</w:t>
            </w:r>
          </w:p>
        </w:tc>
        <w:tc>
          <w:tcPr>
            <w:tcW w:w="369" w:type="pct"/>
            <w:tcBorders>
              <w:top w:val="single" w:sz="4" w:space="0" w:color="auto"/>
              <w:left w:val="single" w:sz="4" w:space="0" w:color="auto"/>
              <w:bottom w:val="single" w:sz="4" w:space="0" w:color="auto"/>
              <w:right w:val="single" w:sz="4" w:space="0" w:color="auto"/>
            </w:tcBorders>
          </w:tcPr>
          <w:p w14:paraId="37A98FC4"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1.2x10</w:t>
            </w:r>
            <w:r w:rsidRPr="007A0E3E">
              <w:rPr>
                <w:rFonts w:ascii="Times New Roman" w:eastAsia="Times New Roman" w:hAnsi="Times New Roman" w:cs="Times New Roman"/>
                <w:sz w:val="20"/>
                <w:szCs w:val="20"/>
                <w:vertAlign w:val="superscript"/>
                <w:lang w:val="nl-NL" w:eastAsia="nl-NL"/>
              </w:rPr>
              <w:t>-5</w:t>
            </w:r>
          </w:p>
        </w:tc>
        <w:tc>
          <w:tcPr>
            <w:tcW w:w="322" w:type="pct"/>
            <w:tcBorders>
              <w:top w:val="single" w:sz="4" w:space="0" w:color="auto"/>
              <w:left w:val="single" w:sz="4" w:space="0" w:color="auto"/>
              <w:bottom w:val="single" w:sz="4" w:space="0" w:color="auto"/>
              <w:right w:val="single" w:sz="4" w:space="0" w:color="auto"/>
            </w:tcBorders>
          </w:tcPr>
          <w:p w14:paraId="7EFD266B"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color w:val="000000"/>
                <w:sz w:val="20"/>
                <w:szCs w:val="20"/>
                <w:lang w:val="nl-NL" w:eastAsia="nl-NL"/>
              </w:rPr>
              <w:t>3</w:t>
            </w:r>
            <w:r w:rsidRPr="007A0E3E">
              <w:rPr>
                <w:rFonts w:ascii="Times New Roman" w:eastAsia="Times New Roman" w:hAnsi="Times New Roman" w:cs="Times New Roman"/>
                <w:sz w:val="20"/>
                <w:szCs w:val="20"/>
                <w:lang w:val="nl-NL" w:eastAsia="nl-NL"/>
              </w:rPr>
              <w:t>x10</w:t>
            </w:r>
            <w:r w:rsidRPr="007A0E3E">
              <w:rPr>
                <w:rFonts w:ascii="Times New Roman" w:eastAsia="Times New Roman" w:hAnsi="Times New Roman" w:cs="Times New Roman"/>
                <w:sz w:val="20"/>
                <w:szCs w:val="20"/>
                <w:vertAlign w:val="superscript"/>
                <w:lang w:val="nl-NL" w:eastAsia="nl-NL"/>
              </w:rPr>
              <w:t>-5</w:t>
            </w:r>
          </w:p>
        </w:tc>
        <w:tc>
          <w:tcPr>
            <w:tcW w:w="323" w:type="pct"/>
            <w:tcBorders>
              <w:left w:val="single" w:sz="4" w:space="0" w:color="auto"/>
              <w:right w:val="single" w:sz="4" w:space="0" w:color="auto"/>
            </w:tcBorders>
          </w:tcPr>
          <w:p w14:paraId="50B7DD5E"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color w:val="000000"/>
                <w:sz w:val="20"/>
                <w:szCs w:val="20"/>
                <w:lang w:val="nl-NL" w:eastAsia="nl-NL"/>
              </w:rPr>
              <w:t>0.044</w:t>
            </w:r>
          </w:p>
        </w:tc>
        <w:tc>
          <w:tcPr>
            <w:tcW w:w="460" w:type="pct"/>
            <w:tcBorders>
              <w:top w:val="single" w:sz="4" w:space="0" w:color="auto"/>
              <w:left w:val="single" w:sz="4" w:space="0" w:color="auto"/>
              <w:bottom w:val="single" w:sz="4" w:space="0" w:color="auto"/>
              <w:right w:val="single" w:sz="4" w:space="0" w:color="auto"/>
            </w:tcBorders>
          </w:tcPr>
          <w:p w14:paraId="38B43AC9"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0.179 (0.047)</w:t>
            </w:r>
          </w:p>
        </w:tc>
        <w:tc>
          <w:tcPr>
            <w:tcW w:w="322" w:type="pct"/>
            <w:tcBorders>
              <w:top w:val="single" w:sz="4" w:space="0" w:color="auto"/>
              <w:left w:val="single" w:sz="4" w:space="0" w:color="auto"/>
              <w:bottom w:val="single" w:sz="4" w:space="0" w:color="auto"/>
              <w:right w:val="single" w:sz="4" w:space="0" w:color="auto"/>
            </w:tcBorders>
          </w:tcPr>
          <w:p w14:paraId="7540107A"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1.59x10</w:t>
            </w:r>
            <w:r w:rsidRPr="007A0E3E">
              <w:rPr>
                <w:rFonts w:ascii="Times New Roman" w:eastAsia="Times New Roman" w:hAnsi="Times New Roman" w:cs="Times New Roman"/>
                <w:sz w:val="20"/>
                <w:szCs w:val="20"/>
                <w:vertAlign w:val="superscript"/>
                <w:lang w:val="nl-NL" w:eastAsia="nl-NL"/>
              </w:rPr>
              <w:t>-4</w:t>
            </w:r>
          </w:p>
        </w:tc>
        <w:tc>
          <w:tcPr>
            <w:tcW w:w="323" w:type="pct"/>
            <w:tcBorders>
              <w:left w:val="single" w:sz="4" w:space="0" w:color="auto"/>
              <w:right w:val="single" w:sz="4" w:space="0" w:color="auto"/>
            </w:tcBorders>
          </w:tcPr>
          <w:p w14:paraId="35C501E5"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2.38x10</w:t>
            </w:r>
            <w:r w:rsidRPr="007A0E3E">
              <w:rPr>
                <w:rFonts w:ascii="Times New Roman" w:eastAsia="Times New Roman" w:hAnsi="Times New Roman" w:cs="Times New Roman"/>
                <w:sz w:val="20"/>
                <w:szCs w:val="20"/>
                <w:vertAlign w:val="superscript"/>
                <w:lang w:val="nl-NL" w:eastAsia="nl-NL"/>
              </w:rPr>
              <w:t>-4</w:t>
            </w:r>
          </w:p>
        </w:tc>
        <w:tc>
          <w:tcPr>
            <w:tcW w:w="322" w:type="pct"/>
            <w:tcBorders>
              <w:top w:val="single" w:sz="4" w:space="0" w:color="auto"/>
              <w:left w:val="single" w:sz="4" w:space="0" w:color="auto"/>
              <w:bottom w:val="single" w:sz="4" w:space="0" w:color="auto"/>
              <w:right w:val="single" w:sz="4" w:space="0" w:color="auto"/>
            </w:tcBorders>
          </w:tcPr>
          <w:p w14:paraId="61E6857B"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0.032</w:t>
            </w:r>
          </w:p>
        </w:tc>
        <w:tc>
          <w:tcPr>
            <w:tcW w:w="460" w:type="pct"/>
            <w:tcBorders>
              <w:top w:val="single" w:sz="4" w:space="0" w:color="auto"/>
              <w:left w:val="single" w:sz="4" w:space="0" w:color="auto"/>
              <w:bottom w:val="single" w:sz="4" w:space="0" w:color="auto"/>
              <w:right w:val="single" w:sz="4" w:space="0" w:color="auto"/>
            </w:tcBorders>
          </w:tcPr>
          <w:p w14:paraId="639BB0F9"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0.218 (0.048)</w:t>
            </w:r>
          </w:p>
        </w:tc>
        <w:tc>
          <w:tcPr>
            <w:tcW w:w="323" w:type="pct"/>
            <w:tcBorders>
              <w:top w:val="single" w:sz="4" w:space="0" w:color="auto"/>
              <w:left w:val="single" w:sz="4" w:space="0" w:color="auto"/>
              <w:bottom w:val="single" w:sz="4" w:space="0" w:color="auto"/>
              <w:right w:val="single" w:sz="4" w:space="0" w:color="auto"/>
            </w:tcBorders>
          </w:tcPr>
          <w:p w14:paraId="66E132DF"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8.49x10</w:t>
            </w:r>
            <w:r w:rsidRPr="007A0E3E">
              <w:rPr>
                <w:rFonts w:ascii="Times New Roman" w:eastAsia="Times New Roman" w:hAnsi="Times New Roman" w:cs="Times New Roman"/>
                <w:sz w:val="20"/>
                <w:szCs w:val="20"/>
                <w:vertAlign w:val="superscript"/>
                <w:lang w:val="nl-NL" w:eastAsia="nl-NL"/>
              </w:rPr>
              <w:t>-6</w:t>
            </w:r>
          </w:p>
        </w:tc>
        <w:tc>
          <w:tcPr>
            <w:tcW w:w="323" w:type="pct"/>
            <w:tcBorders>
              <w:left w:val="single" w:sz="4" w:space="0" w:color="auto"/>
              <w:right w:val="single" w:sz="4" w:space="0" w:color="auto"/>
            </w:tcBorders>
          </w:tcPr>
          <w:p w14:paraId="68697CDC"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2.32x10</w:t>
            </w:r>
            <w:r w:rsidRPr="007A0E3E">
              <w:rPr>
                <w:rFonts w:ascii="Times New Roman" w:eastAsia="Times New Roman" w:hAnsi="Times New Roman" w:cs="Times New Roman"/>
                <w:sz w:val="20"/>
                <w:szCs w:val="20"/>
                <w:vertAlign w:val="superscript"/>
                <w:lang w:val="nl-NL" w:eastAsia="nl-NL"/>
              </w:rPr>
              <w:t>-5</w:t>
            </w:r>
          </w:p>
        </w:tc>
        <w:tc>
          <w:tcPr>
            <w:tcW w:w="303" w:type="pct"/>
            <w:tcBorders>
              <w:top w:val="single" w:sz="4" w:space="0" w:color="auto"/>
              <w:left w:val="single" w:sz="4" w:space="0" w:color="auto"/>
              <w:bottom w:val="single" w:sz="4" w:space="0" w:color="auto"/>
            </w:tcBorders>
          </w:tcPr>
          <w:p w14:paraId="31E7FAAF"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0.046</w:t>
            </w:r>
          </w:p>
        </w:tc>
      </w:tr>
      <w:tr w:rsidR="0048716C" w:rsidRPr="007A0E3E" w14:paraId="404B5D0C" w14:textId="77777777" w:rsidTr="001F3DEB">
        <w:trPr>
          <w:trHeight w:val="20"/>
        </w:trPr>
        <w:tc>
          <w:tcPr>
            <w:tcW w:w="321" w:type="pct"/>
            <w:tcBorders>
              <w:right w:val="single" w:sz="4" w:space="0" w:color="auto"/>
            </w:tcBorders>
          </w:tcPr>
          <w:p w14:paraId="3D434BC7"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0.05</w:t>
            </w:r>
          </w:p>
        </w:tc>
        <w:tc>
          <w:tcPr>
            <w:tcW w:w="369" w:type="pct"/>
            <w:tcBorders>
              <w:top w:val="single" w:sz="4" w:space="0" w:color="auto"/>
              <w:left w:val="single" w:sz="4" w:space="0" w:color="auto"/>
              <w:bottom w:val="single" w:sz="4" w:space="0" w:color="auto"/>
              <w:right w:val="single" w:sz="4" w:space="0" w:color="auto"/>
            </w:tcBorders>
          </w:tcPr>
          <w:p w14:paraId="59BED6AD"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10,133</w:t>
            </w:r>
          </w:p>
        </w:tc>
        <w:tc>
          <w:tcPr>
            <w:tcW w:w="460" w:type="pct"/>
            <w:tcBorders>
              <w:top w:val="single" w:sz="4" w:space="0" w:color="auto"/>
              <w:left w:val="single" w:sz="4" w:space="0" w:color="auto"/>
              <w:bottom w:val="single" w:sz="4" w:space="0" w:color="auto"/>
              <w:right w:val="single" w:sz="4" w:space="0" w:color="auto"/>
            </w:tcBorders>
          </w:tcPr>
          <w:p w14:paraId="093E8C55"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0.206 (0.048)</w:t>
            </w:r>
          </w:p>
        </w:tc>
        <w:tc>
          <w:tcPr>
            <w:tcW w:w="369" w:type="pct"/>
            <w:tcBorders>
              <w:top w:val="single" w:sz="4" w:space="0" w:color="auto"/>
              <w:left w:val="single" w:sz="4" w:space="0" w:color="auto"/>
              <w:bottom w:val="single" w:sz="4" w:space="0" w:color="auto"/>
              <w:right w:val="single" w:sz="4" w:space="0" w:color="auto"/>
            </w:tcBorders>
          </w:tcPr>
          <w:p w14:paraId="3F9A586B"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2.51x10</w:t>
            </w:r>
            <w:r w:rsidRPr="007A0E3E">
              <w:rPr>
                <w:rFonts w:ascii="Times New Roman" w:eastAsia="Times New Roman" w:hAnsi="Times New Roman" w:cs="Times New Roman"/>
                <w:sz w:val="20"/>
                <w:szCs w:val="20"/>
                <w:vertAlign w:val="superscript"/>
                <w:lang w:val="nl-NL" w:eastAsia="nl-NL"/>
              </w:rPr>
              <w:t>-5</w:t>
            </w:r>
          </w:p>
        </w:tc>
        <w:tc>
          <w:tcPr>
            <w:tcW w:w="322" w:type="pct"/>
            <w:tcBorders>
              <w:top w:val="single" w:sz="4" w:space="0" w:color="auto"/>
              <w:left w:val="single" w:sz="4" w:space="0" w:color="auto"/>
              <w:bottom w:val="single" w:sz="4" w:space="0" w:color="auto"/>
              <w:right w:val="single" w:sz="4" w:space="0" w:color="auto"/>
            </w:tcBorders>
          </w:tcPr>
          <w:p w14:paraId="1F3EDBE9"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color w:val="000000"/>
                <w:sz w:val="20"/>
                <w:szCs w:val="20"/>
                <w:lang w:val="nl-NL" w:eastAsia="nl-NL"/>
              </w:rPr>
              <w:t>4.43</w:t>
            </w:r>
            <w:r w:rsidRPr="007A0E3E">
              <w:rPr>
                <w:rFonts w:ascii="Times New Roman" w:eastAsia="Times New Roman" w:hAnsi="Times New Roman" w:cs="Times New Roman"/>
                <w:sz w:val="20"/>
                <w:szCs w:val="20"/>
                <w:lang w:val="nl-NL" w:eastAsia="nl-NL"/>
              </w:rPr>
              <w:t>x10</w:t>
            </w:r>
            <w:r w:rsidRPr="007A0E3E">
              <w:rPr>
                <w:rFonts w:ascii="Times New Roman" w:eastAsia="Times New Roman" w:hAnsi="Times New Roman" w:cs="Times New Roman"/>
                <w:sz w:val="20"/>
                <w:szCs w:val="20"/>
                <w:vertAlign w:val="superscript"/>
                <w:lang w:val="nl-NL" w:eastAsia="nl-NL"/>
              </w:rPr>
              <w:t>-5</w:t>
            </w:r>
          </w:p>
        </w:tc>
        <w:tc>
          <w:tcPr>
            <w:tcW w:w="323" w:type="pct"/>
            <w:tcBorders>
              <w:left w:val="single" w:sz="4" w:space="0" w:color="auto"/>
              <w:right w:val="single" w:sz="4" w:space="0" w:color="auto"/>
            </w:tcBorders>
          </w:tcPr>
          <w:p w14:paraId="498747B8"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color w:val="000000"/>
                <w:sz w:val="20"/>
                <w:szCs w:val="20"/>
                <w:lang w:val="nl-NL" w:eastAsia="nl-NL"/>
              </w:rPr>
              <w:t>0.042</w:t>
            </w:r>
          </w:p>
        </w:tc>
        <w:tc>
          <w:tcPr>
            <w:tcW w:w="460" w:type="pct"/>
            <w:tcBorders>
              <w:top w:val="single" w:sz="4" w:space="0" w:color="auto"/>
              <w:left w:val="single" w:sz="4" w:space="0" w:color="auto"/>
              <w:bottom w:val="single" w:sz="4" w:space="0" w:color="auto"/>
              <w:right w:val="single" w:sz="4" w:space="0" w:color="auto"/>
            </w:tcBorders>
          </w:tcPr>
          <w:p w14:paraId="65D74205"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0.176 (0.047)</w:t>
            </w:r>
          </w:p>
        </w:tc>
        <w:tc>
          <w:tcPr>
            <w:tcW w:w="322" w:type="pct"/>
            <w:tcBorders>
              <w:top w:val="single" w:sz="4" w:space="0" w:color="auto"/>
              <w:left w:val="single" w:sz="4" w:space="0" w:color="auto"/>
              <w:bottom w:val="single" w:sz="4" w:space="0" w:color="auto"/>
              <w:right w:val="single" w:sz="4" w:space="0" w:color="auto"/>
            </w:tcBorders>
          </w:tcPr>
          <w:p w14:paraId="0E0CB467"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2.32x10</w:t>
            </w:r>
            <w:r w:rsidRPr="007A0E3E">
              <w:rPr>
                <w:rFonts w:ascii="Times New Roman" w:eastAsia="Times New Roman" w:hAnsi="Times New Roman" w:cs="Times New Roman"/>
                <w:sz w:val="20"/>
                <w:szCs w:val="20"/>
                <w:vertAlign w:val="superscript"/>
                <w:lang w:val="nl-NL" w:eastAsia="nl-NL"/>
              </w:rPr>
              <w:t>-4</w:t>
            </w:r>
          </w:p>
        </w:tc>
        <w:tc>
          <w:tcPr>
            <w:tcW w:w="323" w:type="pct"/>
            <w:tcBorders>
              <w:left w:val="single" w:sz="4" w:space="0" w:color="auto"/>
              <w:right w:val="single" w:sz="4" w:space="0" w:color="auto"/>
            </w:tcBorders>
          </w:tcPr>
          <w:p w14:paraId="18718D31"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3.31x10</w:t>
            </w:r>
            <w:r w:rsidRPr="007A0E3E">
              <w:rPr>
                <w:rFonts w:ascii="Times New Roman" w:eastAsia="Times New Roman" w:hAnsi="Times New Roman" w:cs="Times New Roman"/>
                <w:sz w:val="20"/>
                <w:szCs w:val="20"/>
                <w:vertAlign w:val="superscript"/>
                <w:lang w:val="nl-NL" w:eastAsia="nl-NL"/>
              </w:rPr>
              <w:t>-4</w:t>
            </w:r>
          </w:p>
        </w:tc>
        <w:tc>
          <w:tcPr>
            <w:tcW w:w="322" w:type="pct"/>
            <w:tcBorders>
              <w:top w:val="single" w:sz="4" w:space="0" w:color="auto"/>
              <w:left w:val="single" w:sz="4" w:space="0" w:color="auto"/>
              <w:bottom w:val="single" w:sz="4" w:space="0" w:color="auto"/>
              <w:right w:val="single" w:sz="4" w:space="0" w:color="auto"/>
            </w:tcBorders>
          </w:tcPr>
          <w:p w14:paraId="57424600"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0.032</w:t>
            </w:r>
          </w:p>
        </w:tc>
        <w:tc>
          <w:tcPr>
            <w:tcW w:w="460" w:type="pct"/>
            <w:tcBorders>
              <w:top w:val="single" w:sz="4" w:space="0" w:color="auto"/>
              <w:left w:val="single" w:sz="4" w:space="0" w:color="auto"/>
              <w:bottom w:val="single" w:sz="4" w:space="0" w:color="auto"/>
              <w:right w:val="single" w:sz="4" w:space="0" w:color="auto"/>
            </w:tcBorders>
          </w:tcPr>
          <w:p w14:paraId="2484467E"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0.214 (0.049)</w:t>
            </w:r>
          </w:p>
        </w:tc>
        <w:tc>
          <w:tcPr>
            <w:tcW w:w="323" w:type="pct"/>
            <w:tcBorders>
              <w:top w:val="single" w:sz="4" w:space="0" w:color="auto"/>
              <w:left w:val="single" w:sz="4" w:space="0" w:color="auto"/>
              <w:bottom w:val="single" w:sz="4" w:space="0" w:color="auto"/>
              <w:right w:val="single" w:sz="4" w:space="0" w:color="auto"/>
            </w:tcBorders>
          </w:tcPr>
          <w:p w14:paraId="0191171C"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1.3x10</w:t>
            </w:r>
            <w:r w:rsidRPr="007A0E3E">
              <w:rPr>
                <w:rFonts w:ascii="Times New Roman" w:eastAsia="Times New Roman" w:hAnsi="Times New Roman" w:cs="Times New Roman"/>
                <w:sz w:val="20"/>
                <w:szCs w:val="20"/>
                <w:vertAlign w:val="superscript"/>
                <w:lang w:val="nl-NL" w:eastAsia="nl-NL"/>
              </w:rPr>
              <w:t>-5</w:t>
            </w:r>
          </w:p>
        </w:tc>
        <w:tc>
          <w:tcPr>
            <w:tcW w:w="323" w:type="pct"/>
            <w:tcBorders>
              <w:left w:val="single" w:sz="4" w:space="0" w:color="auto"/>
              <w:right w:val="single" w:sz="4" w:space="0" w:color="auto"/>
            </w:tcBorders>
          </w:tcPr>
          <w:p w14:paraId="36303DA7"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2.99x10</w:t>
            </w:r>
            <w:r w:rsidRPr="007A0E3E">
              <w:rPr>
                <w:rFonts w:ascii="Times New Roman" w:eastAsia="Times New Roman" w:hAnsi="Times New Roman" w:cs="Times New Roman"/>
                <w:sz w:val="20"/>
                <w:szCs w:val="20"/>
                <w:vertAlign w:val="superscript"/>
                <w:lang w:val="nl-NL" w:eastAsia="nl-NL"/>
              </w:rPr>
              <w:t>-5</w:t>
            </w:r>
          </w:p>
        </w:tc>
        <w:tc>
          <w:tcPr>
            <w:tcW w:w="303" w:type="pct"/>
            <w:tcBorders>
              <w:top w:val="single" w:sz="4" w:space="0" w:color="auto"/>
              <w:left w:val="single" w:sz="4" w:space="0" w:color="auto"/>
              <w:bottom w:val="single" w:sz="4" w:space="0" w:color="auto"/>
            </w:tcBorders>
          </w:tcPr>
          <w:p w14:paraId="73B9F726"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0.045</w:t>
            </w:r>
          </w:p>
        </w:tc>
      </w:tr>
      <w:tr w:rsidR="0048716C" w:rsidRPr="007A0E3E" w14:paraId="031456C4" w14:textId="77777777" w:rsidTr="001F3DEB">
        <w:trPr>
          <w:trHeight w:val="20"/>
        </w:trPr>
        <w:tc>
          <w:tcPr>
            <w:tcW w:w="321" w:type="pct"/>
            <w:tcBorders>
              <w:right w:val="single" w:sz="4" w:space="0" w:color="auto"/>
            </w:tcBorders>
          </w:tcPr>
          <w:p w14:paraId="263D7319"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0.01</w:t>
            </w:r>
          </w:p>
        </w:tc>
        <w:tc>
          <w:tcPr>
            <w:tcW w:w="369" w:type="pct"/>
            <w:tcBorders>
              <w:top w:val="single" w:sz="4" w:space="0" w:color="auto"/>
              <w:left w:val="single" w:sz="4" w:space="0" w:color="auto"/>
              <w:bottom w:val="single" w:sz="4" w:space="0" w:color="auto"/>
              <w:right w:val="single" w:sz="4" w:space="0" w:color="auto"/>
            </w:tcBorders>
          </w:tcPr>
          <w:p w14:paraId="1E75427A"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2,898</w:t>
            </w:r>
          </w:p>
        </w:tc>
        <w:tc>
          <w:tcPr>
            <w:tcW w:w="460" w:type="pct"/>
            <w:tcBorders>
              <w:top w:val="single" w:sz="4" w:space="0" w:color="auto"/>
              <w:left w:val="single" w:sz="4" w:space="0" w:color="auto"/>
              <w:bottom w:val="single" w:sz="4" w:space="0" w:color="auto"/>
              <w:right w:val="single" w:sz="4" w:space="0" w:color="auto"/>
            </w:tcBorders>
          </w:tcPr>
          <w:p w14:paraId="1384053C"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0.122 (0.049)</w:t>
            </w:r>
          </w:p>
        </w:tc>
        <w:tc>
          <w:tcPr>
            <w:tcW w:w="369" w:type="pct"/>
            <w:tcBorders>
              <w:top w:val="single" w:sz="4" w:space="0" w:color="auto"/>
              <w:left w:val="single" w:sz="4" w:space="0" w:color="auto"/>
              <w:bottom w:val="single" w:sz="4" w:space="0" w:color="auto"/>
              <w:right w:val="single" w:sz="4" w:space="0" w:color="auto"/>
            </w:tcBorders>
          </w:tcPr>
          <w:p w14:paraId="4AC98A24"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0.013</w:t>
            </w:r>
          </w:p>
        </w:tc>
        <w:tc>
          <w:tcPr>
            <w:tcW w:w="322" w:type="pct"/>
            <w:tcBorders>
              <w:top w:val="single" w:sz="4" w:space="0" w:color="auto"/>
              <w:left w:val="single" w:sz="4" w:space="0" w:color="auto"/>
              <w:bottom w:val="single" w:sz="4" w:space="0" w:color="auto"/>
              <w:right w:val="single" w:sz="4" w:space="0" w:color="auto"/>
            </w:tcBorders>
          </w:tcPr>
          <w:p w14:paraId="30C55B86"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color w:val="000000"/>
                <w:sz w:val="20"/>
                <w:szCs w:val="20"/>
                <w:lang w:val="nl-NL" w:eastAsia="nl-NL"/>
              </w:rPr>
              <w:t>0.017</w:t>
            </w:r>
          </w:p>
        </w:tc>
        <w:tc>
          <w:tcPr>
            <w:tcW w:w="323" w:type="pct"/>
            <w:tcBorders>
              <w:left w:val="single" w:sz="4" w:space="0" w:color="auto"/>
              <w:right w:val="single" w:sz="4" w:space="0" w:color="auto"/>
            </w:tcBorders>
          </w:tcPr>
          <w:p w14:paraId="1E54F25B"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color w:val="000000"/>
                <w:sz w:val="20"/>
                <w:szCs w:val="20"/>
                <w:lang w:val="nl-NL" w:eastAsia="nl-NL"/>
              </w:rPr>
              <w:t>0.016</w:t>
            </w:r>
          </w:p>
        </w:tc>
        <w:tc>
          <w:tcPr>
            <w:tcW w:w="460" w:type="pct"/>
            <w:tcBorders>
              <w:top w:val="single" w:sz="4" w:space="0" w:color="auto"/>
              <w:left w:val="single" w:sz="4" w:space="0" w:color="auto"/>
              <w:bottom w:val="single" w:sz="4" w:space="0" w:color="auto"/>
              <w:right w:val="single" w:sz="4" w:space="0" w:color="auto"/>
            </w:tcBorders>
          </w:tcPr>
          <w:p w14:paraId="3BE25C42"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0.084 (0.048)</w:t>
            </w:r>
          </w:p>
        </w:tc>
        <w:tc>
          <w:tcPr>
            <w:tcW w:w="322" w:type="pct"/>
            <w:tcBorders>
              <w:top w:val="single" w:sz="4" w:space="0" w:color="auto"/>
              <w:left w:val="single" w:sz="4" w:space="0" w:color="auto"/>
              <w:bottom w:val="single" w:sz="4" w:space="0" w:color="auto"/>
              <w:right w:val="single" w:sz="4" w:space="0" w:color="auto"/>
            </w:tcBorders>
          </w:tcPr>
          <w:p w14:paraId="75FA2996"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0.08</w:t>
            </w:r>
          </w:p>
        </w:tc>
        <w:tc>
          <w:tcPr>
            <w:tcW w:w="323" w:type="pct"/>
            <w:tcBorders>
              <w:left w:val="single" w:sz="4" w:space="0" w:color="auto"/>
              <w:right w:val="single" w:sz="4" w:space="0" w:color="auto"/>
            </w:tcBorders>
          </w:tcPr>
          <w:p w14:paraId="191A68FD"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0.1</w:t>
            </w:r>
          </w:p>
        </w:tc>
        <w:tc>
          <w:tcPr>
            <w:tcW w:w="322" w:type="pct"/>
            <w:tcBorders>
              <w:top w:val="single" w:sz="4" w:space="0" w:color="auto"/>
              <w:left w:val="single" w:sz="4" w:space="0" w:color="auto"/>
              <w:bottom w:val="single" w:sz="4" w:space="0" w:color="auto"/>
              <w:right w:val="single" w:sz="4" w:space="0" w:color="auto"/>
            </w:tcBorders>
          </w:tcPr>
          <w:p w14:paraId="253A7160"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0.008</w:t>
            </w:r>
          </w:p>
        </w:tc>
        <w:tc>
          <w:tcPr>
            <w:tcW w:w="460" w:type="pct"/>
            <w:tcBorders>
              <w:top w:val="single" w:sz="4" w:space="0" w:color="auto"/>
              <w:left w:val="single" w:sz="4" w:space="0" w:color="auto"/>
              <w:bottom w:val="single" w:sz="4" w:space="0" w:color="auto"/>
              <w:right w:val="single" w:sz="4" w:space="0" w:color="auto"/>
            </w:tcBorders>
          </w:tcPr>
          <w:p w14:paraId="4E1C43F2"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color w:val="000000"/>
                <w:sz w:val="20"/>
                <w:szCs w:val="20"/>
                <w:lang w:val="nl-NL" w:eastAsia="nl-NL"/>
              </w:rPr>
              <w:t xml:space="preserve">0.142 </w:t>
            </w:r>
            <w:r w:rsidRPr="007A0E3E">
              <w:rPr>
                <w:rFonts w:ascii="Times New Roman" w:eastAsia="Times New Roman" w:hAnsi="Times New Roman" w:cs="Times New Roman"/>
                <w:sz w:val="20"/>
                <w:szCs w:val="20"/>
                <w:lang w:val="nl-NL" w:eastAsia="nl-NL"/>
              </w:rPr>
              <w:t>(0.049)</w:t>
            </w:r>
          </w:p>
        </w:tc>
        <w:tc>
          <w:tcPr>
            <w:tcW w:w="323" w:type="pct"/>
            <w:tcBorders>
              <w:top w:val="single" w:sz="4" w:space="0" w:color="auto"/>
              <w:left w:val="single" w:sz="4" w:space="0" w:color="auto"/>
              <w:bottom w:val="single" w:sz="4" w:space="0" w:color="auto"/>
              <w:right w:val="single" w:sz="4" w:space="0" w:color="auto"/>
            </w:tcBorders>
          </w:tcPr>
          <w:p w14:paraId="2D676D1D"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0.004</w:t>
            </w:r>
          </w:p>
        </w:tc>
        <w:tc>
          <w:tcPr>
            <w:tcW w:w="323" w:type="pct"/>
            <w:tcBorders>
              <w:left w:val="single" w:sz="4" w:space="0" w:color="auto"/>
              <w:right w:val="single" w:sz="4" w:space="0" w:color="auto"/>
            </w:tcBorders>
          </w:tcPr>
          <w:p w14:paraId="73D1AEF9"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color w:val="000000"/>
                <w:sz w:val="20"/>
                <w:szCs w:val="20"/>
                <w:lang w:val="nl-NL" w:eastAsia="nl-NL"/>
              </w:rPr>
              <w:t>0.005</w:t>
            </w:r>
          </w:p>
        </w:tc>
        <w:tc>
          <w:tcPr>
            <w:tcW w:w="303" w:type="pct"/>
            <w:tcBorders>
              <w:top w:val="single" w:sz="4" w:space="0" w:color="auto"/>
              <w:left w:val="single" w:sz="4" w:space="0" w:color="auto"/>
              <w:bottom w:val="single" w:sz="4" w:space="0" w:color="auto"/>
            </w:tcBorders>
          </w:tcPr>
          <w:p w14:paraId="4E328490"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color w:val="000000"/>
                <w:sz w:val="20"/>
                <w:szCs w:val="20"/>
                <w:lang w:val="nl-NL" w:eastAsia="nl-NL"/>
              </w:rPr>
              <w:t>0.02</w:t>
            </w:r>
          </w:p>
        </w:tc>
      </w:tr>
      <w:tr w:rsidR="0048716C" w:rsidRPr="007A0E3E" w14:paraId="1815260D" w14:textId="77777777" w:rsidTr="001F3DEB">
        <w:trPr>
          <w:trHeight w:val="20"/>
        </w:trPr>
        <w:tc>
          <w:tcPr>
            <w:tcW w:w="321" w:type="pct"/>
            <w:tcBorders>
              <w:bottom w:val="single" w:sz="4" w:space="0" w:color="auto"/>
              <w:right w:val="single" w:sz="4" w:space="0" w:color="auto"/>
            </w:tcBorders>
          </w:tcPr>
          <w:p w14:paraId="3E51577F"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1x10</w:t>
            </w:r>
            <w:r w:rsidRPr="007A0E3E">
              <w:rPr>
                <w:rFonts w:ascii="Times New Roman" w:eastAsia="Times New Roman" w:hAnsi="Times New Roman" w:cs="Times New Roman"/>
                <w:sz w:val="20"/>
                <w:szCs w:val="20"/>
                <w:vertAlign w:val="superscript"/>
                <w:lang w:val="nl-NL" w:eastAsia="nl-NL"/>
              </w:rPr>
              <w:t>-4</w:t>
            </w:r>
          </w:p>
        </w:tc>
        <w:tc>
          <w:tcPr>
            <w:tcW w:w="369" w:type="pct"/>
            <w:tcBorders>
              <w:top w:val="single" w:sz="4" w:space="0" w:color="auto"/>
              <w:left w:val="single" w:sz="4" w:space="0" w:color="auto"/>
              <w:bottom w:val="single" w:sz="4" w:space="0" w:color="auto"/>
              <w:right w:val="single" w:sz="4" w:space="0" w:color="auto"/>
            </w:tcBorders>
          </w:tcPr>
          <w:p w14:paraId="5196891E"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79</w:t>
            </w:r>
          </w:p>
        </w:tc>
        <w:tc>
          <w:tcPr>
            <w:tcW w:w="460" w:type="pct"/>
            <w:tcBorders>
              <w:top w:val="single" w:sz="4" w:space="0" w:color="auto"/>
              <w:left w:val="single" w:sz="4" w:space="0" w:color="auto"/>
              <w:bottom w:val="single" w:sz="4" w:space="0" w:color="auto"/>
              <w:right w:val="single" w:sz="4" w:space="0" w:color="auto"/>
            </w:tcBorders>
          </w:tcPr>
          <w:p w14:paraId="1717168C"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0.009 (0.049)</w:t>
            </w:r>
          </w:p>
        </w:tc>
        <w:tc>
          <w:tcPr>
            <w:tcW w:w="369" w:type="pct"/>
            <w:tcBorders>
              <w:top w:val="single" w:sz="4" w:space="0" w:color="auto"/>
              <w:left w:val="single" w:sz="4" w:space="0" w:color="auto"/>
              <w:bottom w:val="single" w:sz="4" w:space="0" w:color="auto"/>
              <w:right w:val="single" w:sz="4" w:space="0" w:color="auto"/>
            </w:tcBorders>
          </w:tcPr>
          <w:p w14:paraId="6BC8B9BF"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0.86</w:t>
            </w:r>
          </w:p>
        </w:tc>
        <w:tc>
          <w:tcPr>
            <w:tcW w:w="322" w:type="pct"/>
            <w:tcBorders>
              <w:top w:val="single" w:sz="4" w:space="0" w:color="auto"/>
              <w:left w:val="single" w:sz="4" w:space="0" w:color="auto"/>
              <w:bottom w:val="single" w:sz="4" w:space="0" w:color="auto"/>
              <w:right w:val="single" w:sz="4" w:space="0" w:color="auto"/>
            </w:tcBorders>
          </w:tcPr>
          <w:p w14:paraId="0E8AB9C5"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color w:val="000000"/>
                <w:sz w:val="20"/>
                <w:szCs w:val="20"/>
                <w:lang w:val="nl-NL" w:eastAsia="nl-NL"/>
              </w:rPr>
              <w:t>0.86</w:t>
            </w:r>
          </w:p>
        </w:tc>
        <w:tc>
          <w:tcPr>
            <w:tcW w:w="323" w:type="pct"/>
            <w:tcBorders>
              <w:left w:val="single" w:sz="4" w:space="0" w:color="auto"/>
              <w:bottom w:val="single" w:sz="4" w:space="0" w:color="auto"/>
              <w:right w:val="single" w:sz="4" w:space="0" w:color="auto"/>
            </w:tcBorders>
          </w:tcPr>
          <w:p w14:paraId="7B0564E6"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color w:val="000000"/>
                <w:sz w:val="20"/>
                <w:szCs w:val="20"/>
                <w:lang w:val="nl-NL" w:eastAsia="nl-NL"/>
              </w:rPr>
              <w:t>1</w:t>
            </w:r>
            <w:r w:rsidRPr="007A0E3E">
              <w:rPr>
                <w:rFonts w:ascii="Times New Roman" w:eastAsia="Times New Roman" w:hAnsi="Times New Roman" w:cs="Times New Roman"/>
                <w:sz w:val="20"/>
                <w:szCs w:val="20"/>
                <w:lang w:val="nl-NL" w:eastAsia="nl-NL"/>
              </w:rPr>
              <w:t>x10</w:t>
            </w:r>
            <w:r w:rsidRPr="007A0E3E">
              <w:rPr>
                <w:rFonts w:ascii="Times New Roman" w:eastAsia="Times New Roman" w:hAnsi="Times New Roman" w:cs="Times New Roman"/>
                <w:sz w:val="20"/>
                <w:szCs w:val="20"/>
                <w:vertAlign w:val="superscript"/>
                <w:lang w:val="nl-NL" w:eastAsia="nl-NL"/>
              </w:rPr>
              <w:t>-4</w:t>
            </w:r>
          </w:p>
        </w:tc>
        <w:tc>
          <w:tcPr>
            <w:tcW w:w="460" w:type="pct"/>
            <w:tcBorders>
              <w:top w:val="single" w:sz="4" w:space="0" w:color="auto"/>
              <w:left w:val="single" w:sz="4" w:space="0" w:color="auto"/>
              <w:bottom w:val="single" w:sz="4" w:space="0" w:color="auto"/>
              <w:right w:val="single" w:sz="4" w:space="0" w:color="auto"/>
            </w:tcBorders>
          </w:tcPr>
          <w:p w14:paraId="18FCBD73" w14:textId="77777777" w:rsidR="0048716C" w:rsidRPr="007A0E3E" w:rsidRDefault="0048716C" w:rsidP="001F3DEB">
            <w:pPr>
              <w:jc w:val="right"/>
              <w:rPr>
                <w:rFonts w:ascii="Times New Roman" w:eastAsia="Times New Roman" w:hAnsi="Times New Roman" w:cs="Times New Roman"/>
                <w:sz w:val="20"/>
                <w:szCs w:val="20"/>
                <w:lang w:val="nl-NL" w:eastAsia="nl-NL"/>
              </w:rPr>
            </w:pPr>
            <w:r w:rsidRPr="007A0E3E">
              <w:rPr>
                <w:rFonts w:ascii="Times New Roman" w:eastAsia="Times New Roman" w:hAnsi="Times New Roman" w:cs="Times New Roman"/>
                <w:sz w:val="20"/>
                <w:szCs w:val="20"/>
                <w:lang w:val="nl-NL" w:eastAsia="nl-NL"/>
              </w:rPr>
              <w:t>0.02 (0.048)</w:t>
            </w:r>
          </w:p>
        </w:tc>
        <w:tc>
          <w:tcPr>
            <w:tcW w:w="322" w:type="pct"/>
            <w:tcBorders>
              <w:top w:val="single" w:sz="4" w:space="0" w:color="auto"/>
              <w:left w:val="single" w:sz="4" w:space="0" w:color="auto"/>
              <w:bottom w:val="single" w:sz="4" w:space="0" w:color="auto"/>
              <w:right w:val="single" w:sz="4" w:space="0" w:color="auto"/>
            </w:tcBorders>
          </w:tcPr>
          <w:p w14:paraId="32FC9BDA"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0.674</w:t>
            </w:r>
          </w:p>
        </w:tc>
        <w:tc>
          <w:tcPr>
            <w:tcW w:w="323" w:type="pct"/>
            <w:tcBorders>
              <w:left w:val="single" w:sz="4" w:space="0" w:color="auto"/>
              <w:bottom w:val="single" w:sz="4" w:space="0" w:color="auto"/>
              <w:right w:val="single" w:sz="4" w:space="0" w:color="auto"/>
            </w:tcBorders>
          </w:tcPr>
          <w:p w14:paraId="1FF3C114"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0.749</w:t>
            </w:r>
          </w:p>
        </w:tc>
        <w:tc>
          <w:tcPr>
            <w:tcW w:w="322" w:type="pct"/>
            <w:tcBorders>
              <w:top w:val="single" w:sz="4" w:space="0" w:color="auto"/>
              <w:left w:val="single" w:sz="4" w:space="0" w:color="auto"/>
              <w:bottom w:val="single" w:sz="4" w:space="0" w:color="auto"/>
              <w:right w:val="single" w:sz="4" w:space="0" w:color="auto"/>
            </w:tcBorders>
          </w:tcPr>
          <w:p w14:paraId="6542EFA9"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4x10</w:t>
            </w:r>
            <w:r w:rsidRPr="007A0E3E">
              <w:rPr>
                <w:rFonts w:ascii="Times New Roman" w:eastAsia="Times New Roman" w:hAnsi="Times New Roman" w:cs="Times New Roman"/>
                <w:sz w:val="20"/>
                <w:szCs w:val="20"/>
                <w:vertAlign w:val="superscript"/>
                <w:lang w:val="nl-NL" w:eastAsia="nl-NL"/>
              </w:rPr>
              <w:t>-4</w:t>
            </w:r>
          </w:p>
        </w:tc>
        <w:tc>
          <w:tcPr>
            <w:tcW w:w="460" w:type="pct"/>
            <w:tcBorders>
              <w:top w:val="single" w:sz="4" w:space="0" w:color="auto"/>
              <w:left w:val="single" w:sz="4" w:space="0" w:color="auto"/>
              <w:bottom w:val="single" w:sz="4" w:space="0" w:color="auto"/>
              <w:right w:val="single" w:sz="4" w:space="0" w:color="auto"/>
            </w:tcBorders>
          </w:tcPr>
          <w:p w14:paraId="53F1069A"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color w:val="000000"/>
                <w:sz w:val="20"/>
                <w:szCs w:val="20"/>
                <w:lang w:val="nl-NL" w:eastAsia="nl-NL"/>
              </w:rPr>
              <w:t xml:space="preserve">0.024 </w:t>
            </w:r>
            <w:r w:rsidRPr="007A0E3E">
              <w:rPr>
                <w:rFonts w:ascii="Times New Roman" w:eastAsia="Times New Roman" w:hAnsi="Times New Roman" w:cs="Times New Roman"/>
                <w:sz w:val="20"/>
                <w:szCs w:val="20"/>
                <w:lang w:val="nl-NL" w:eastAsia="nl-NL"/>
              </w:rPr>
              <w:t>(0.049)</w:t>
            </w:r>
          </w:p>
        </w:tc>
        <w:tc>
          <w:tcPr>
            <w:tcW w:w="323" w:type="pct"/>
            <w:tcBorders>
              <w:top w:val="single" w:sz="4" w:space="0" w:color="auto"/>
              <w:left w:val="single" w:sz="4" w:space="0" w:color="auto"/>
              <w:bottom w:val="single" w:sz="4" w:space="0" w:color="auto"/>
              <w:right w:val="single" w:sz="4" w:space="0" w:color="auto"/>
            </w:tcBorders>
          </w:tcPr>
          <w:p w14:paraId="60972479"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0.631</w:t>
            </w:r>
          </w:p>
        </w:tc>
        <w:tc>
          <w:tcPr>
            <w:tcW w:w="323" w:type="pct"/>
            <w:tcBorders>
              <w:left w:val="single" w:sz="4" w:space="0" w:color="auto"/>
              <w:bottom w:val="single" w:sz="4" w:space="0" w:color="auto"/>
              <w:right w:val="single" w:sz="4" w:space="0" w:color="auto"/>
            </w:tcBorders>
          </w:tcPr>
          <w:p w14:paraId="215F30B1"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color w:val="000000"/>
                <w:sz w:val="20"/>
                <w:szCs w:val="20"/>
                <w:lang w:val="nl-NL" w:eastAsia="nl-NL"/>
              </w:rPr>
              <w:t>0.728</w:t>
            </w:r>
          </w:p>
        </w:tc>
        <w:tc>
          <w:tcPr>
            <w:tcW w:w="303" w:type="pct"/>
            <w:tcBorders>
              <w:top w:val="single" w:sz="4" w:space="0" w:color="auto"/>
              <w:left w:val="single" w:sz="4" w:space="0" w:color="auto"/>
              <w:bottom w:val="single" w:sz="4" w:space="0" w:color="auto"/>
            </w:tcBorders>
          </w:tcPr>
          <w:p w14:paraId="5BDBBE01"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7x10</w:t>
            </w:r>
            <w:r w:rsidRPr="007A0E3E">
              <w:rPr>
                <w:rFonts w:ascii="Times New Roman" w:eastAsia="Times New Roman" w:hAnsi="Times New Roman" w:cs="Times New Roman"/>
                <w:sz w:val="20"/>
                <w:szCs w:val="20"/>
                <w:vertAlign w:val="superscript"/>
                <w:lang w:val="nl-NL" w:eastAsia="nl-NL"/>
              </w:rPr>
              <w:t>-4</w:t>
            </w:r>
          </w:p>
        </w:tc>
      </w:tr>
      <w:tr w:rsidR="0048716C" w:rsidRPr="007A0E3E" w14:paraId="393990AB" w14:textId="77777777" w:rsidTr="001F3DEB">
        <w:trPr>
          <w:trHeight w:val="20"/>
        </w:trPr>
        <w:tc>
          <w:tcPr>
            <w:tcW w:w="321" w:type="pct"/>
            <w:tcBorders>
              <w:top w:val="single" w:sz="4" w:space="0" w:color="auto"/>
              <w:bottom w:val="single" w:sz="4" w:space="0" w:color="auto"/>
              <w:right w:val="single" w:sz="4" w:space="0" w:color="auto"/>
            </w:tcBorders>
          </w:tcPr>
          <w:p w14:paraId="7E617398"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1x10</w:t>
            </w:r>
            <w:r w:rsidRPr="007A0E3E">
              <w:rPr>
                <w:rFonts w:ascii="Times New Roman" w:eastAsia="Times New Roman" w:hAnsi="Times New Roman" w:cs="Times New Roman"/>
                <w:sz w:val="20"/>
                <w:szCs w:val="20"/>
                <w:vertAlign w:val="superscript"/>
                <w:lang w:val="nl-NL" w:eastAsia="nl-NL"/>
              </w:rPr>
              <w:t>-6</w:t>
            </w:r>
          </w:p>
        </w:tc>
        <w:tc>
          <w:tcPr>
            <w:tcW w:w="369" w:type="pct"/>
            <w:tcBorders>
              <w:top w:val="single" w:sz="4" w:space="0" w:color="auto"/>
              <w:left w:val="single" w:sz="4" w:space="0" w:color="auto"/>
              <w:bottom w:val="single" w:sz="4" w:space="0" w:color="auto"/>
              <w:right w:val="single" w:sz="4" w:space="0" w:color="auto"/>
            </w:tcBorders>
          </w:tcPr>
          <w:p w14:paraId="7B9C9B3B"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1</w:t>
            </w:r>
          </w:p>
        </w:tc>
        <w:tc>
          <w:tcPr>
            <w:tcW w:w="460" w:type="pct"/>
            <w:tcBorders>
              <w:top w:val="single" w:sz="4" w:space="0" w:color="auto"/>
              <w:left w:val="single" w:sz="4" w:space="0" w:color="auto"/>
              <w:bottom w:val="single" w:sz="4" w:space="0" w:color="auto"/>
              <w:right w:val="single" w:sz="4" w:space="0" w:color="auto"/>
            </w:tcBorders>
          </w:tcPr>
          <w:p w14:paraId="41FC20F1"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-0.014 (0.048)</w:t>
            </w:r>
          </w:p>
        </w:tc>
        <w:tc>
          <w:tcPr>
            <w:tcW w:w="369" w:type="pct"/>
            <w:tcBorders>
              <w:top w:val="single" w:sz="4" w:space="0" w:color="auto"/>
              <w:left w:val="single" w:sz="4" w:space="0" w:color="auto"/>
              <w:bottom w:val="single" w:sz="4" w:space="0" w:color="auto"/>
              <w:right w:val="single" w:sz="4" w:space="0" w:color="auto"/>
            </w:tcBorders>
          </w:tcPr>
          <w:p w14:paraId="008896CB"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0.777</w:t>
            </w:r>
          </w:p>
        </w:tc>
        <w:tc>
          <w:tcPr>
            <w:tcW w:w="322" w:type="pct"/>
            <w:tcBorders>
              <w:top w:val="single" w:sz="4" w:space="0" w:color="auto"/>
              <w:left w:val="single" w:sz="4" w:space="0" w:color="auto"/>
              <w:bottom w:val="single" w:sz="4" w:space="0" w:color="auto"/>
              <w:right w:val="single" w:sz="4" w:space="0" w:color="auto"/>
            </w:tcBorders>
          </w:tcPr>
          <w:p w14:paraId="130DAA0A"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color w:val="000000"/>
                <w:sz w:val="20"/>
                <w:szCs w:val="20"/>
                <w:lang w:val="nl-NL" w:eastAsia="nl-NL"/>
              </w:rPr>
              <w:t>0.804</w:t>
            </w:r>
          </w:p>
        </w:tc>
        <w:tc>
          <w:tcPr>
            <w:tcW w:w="323" w:type="pct"/>
            <w:tcBorders>
              <w:top w:val="single" w:sz="4" w:space="0" w:color="auto"/>
              <w:left w:val="single" w:sz="4" w:space="0" w:color="auto"/>
              <w:bottom w:val="single" w:sz="4" w:space="0" w:color="auto"/>
              <w:right w:val="single" w:sz="4" w:space="0" w:color="auto"/>
            </w:tcBorders>
          </w:tcPr>
          <w:p w14:paraId="0E40EF45"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color w:val="000000"/>
                <w:sz w:val="20"/>
                <w:szCs w:val="20"/>
                <w:lang w:val="nl-NL" w:eastAsia="nl-NL"/>
              </w:rPr>
              <w:t>3</w:t>
            </w:r>
            <w:r w:rsidRPr="007A0E3E">
              <w:rPr>
                <w:rFonts w:ascii="Times New Roman" w:eastAsia="Times New Roman" w:hAnsi="Times New Roman" w:cs="Times New Roman"/>
                <w:sz w:val="20"/>
                <w:szCs w:val="20"/>
                <w:lang w:val="nl-NL" w:eastAsia="nl-NL"/>
              </w:rPr>
              <w:t>x10</w:t>
            </w:r>
            <w:r w:rsidRPr="007A0E3E">
              <w:rPr>
                <w:rFonts w:ascii="Times New Roman" w:eastAsia="Times New Roman" w:hAnsi="Times New Roman" w:cs="Times New Roman"/>
                <w:sz w:val="20"/>
                <w:szCs w:val="20"/>
                <w:vertAlign w:val="superscript"/>
                <w:lang w:val="nl-NL" w:eastAsia="nl-NL"/>
              </w:rPr>
              <w:t>-4</w:t>
            </w:r>
          </w:p>
        </w:tc>
        <w:tc>
          <w:tcPr>
            <w:tcW w:w="460" w:type="pct"/>
            <w:tcBorders>
              <w:top w:val="single" w:sz="4" w:space="0" w:color="auto"/>
              <w:left w:val="single" w:sz="4" w:space="0" w:color="auto"/>
              <w:bottom w:val="single" w:sz="4" w:space="0" w:color="auto"/>
              <w:right w:val="single" w:sz="4" w:space="0" w:color="auto"/>
            </w:tcBorders>
          </w:tcPr>
          <w:p w14:paraId="6C27DA6E"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-0.016 (0.047)</w:t>
            </w:r>
          </w:p>
        </w:tc>
        <w:tc>
          <w:tcPr>
            <w:tcW w:w="322" w:type="pct"/>
            <w:tcBorders>
              <w:top w:val="single" w:sz="4" w:space="0" w:color="auto"/>
              <w:left w:val="single" w:sz="4" w:space="0" w:color="auto"/>
              <w:bottom w:val="single" w:sz="4" w:space="0" w:color="auto"/>
              <w:right w:val="single" w:sz="4" w:space="0" w:color="auto"/>
            </w:tcBorders>
          </w:tcPr>
          <w:p w14:paraId="4FF3A489"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0.733</w:t>
            </w:r>
          </w:p>
        </w:tc>
        <w:tc>
          <w:tcPr>
            <w:tcW w:w="323" w:type="pct"/>
            <w:tcBorders>
              <w:top w:val="single" w:sz="4" w:space="0" w:color="auto"/>
              <w:left w:val="single" w:sz="4" w:space="0" w:color="auto"/>
              <w:bottom w:val="single" w:sz="4" w:space="0" w:color="auto"/>
              <w:right w:val="single" w:sz="4" w:space="0" w:color="auto"/>
            </w:tcBorders>
          </w:tcPr>
          <w:p w14:paraId="50FBF3A9"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0.785</w:t>
            </w:r>
          </w:p>
        </w:tc>
        <w:tc>
          <w:tcPr>
            <w:tcW w:w="322" w:type="pct"/>
            <w:tcBorders>
              <w:top w:val="single" w:sz="4" w:space="0" w:color="auto"/>
              <w:left w:val="single" w:sz="4" w:space="0" w:color="auto"/>
              <w:bottom w:val="single" w:sz="4" w:space="0" w:color="auto"/>
              <w:right w:val="single" w:sz="4" w:space="0" w:color="auto"/>
            </w:tcBorders>
          </w:tcPr>
          <w:p w14:paraId="6CBF76B4"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3x10</w:t>
            </w:r>
            <w:r w:rsidRPr="007A0E3E">
              <w:rPr>
                <w:rFonts w:ascii="Times New Roman" w:eastAsia="Times New Roman" w:hAnsi="Times New Roman" w:cs="Times New Roman"/>
                <w:sz w:val="20"/>
                <w:szCs w:val="20"/>
                <w:vertAlign w:val="superscript"/>
                <w:lang w:val="nl-NL" w:eastAsia="nl-NL"/>
              </w:rPr>
              <w:t>-4</w:t>
            </w:r>
          </w:p>
        </w:tc>
        <w:tc>
          <w:tcPr>
            <w:tcW w:w="460" w:type="pct"/>
            <w:tcBorders>
              <w:top w:val="single" w:sz="4" w:space="0" w:color="auto"/>
              <w:left w:val="single" w:sz="4" w:space="0" w:color="auto"/>
              <w:bottom w:val="single" w:sz="4" w:space="0" w:color="auto"/>
              <w:right w:val="single" w:sz="4" w:space="0" w:color="auto"/>
            </w:tcBorders>
          </w:tcPr>
          <w:p w14:paraId="0839CF34"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color w:val="000000"/>
                <w:sz w:val="20"/>
                <w:szCs w:val="20"/>
                <w:lang w:val="nl-NL" w:eastAsia="nl-NL"/>
              </w:rPr>
              <w:t xml:space="preserve">-0.026 </w:t>
            </w:r>
            <w:r w:rsidRPr="007A0E3E">
              <w:rPr>
                <w:rFonts w:ascii="Times New Roman" w:eastAsia="Times New Roman" w:hAnsi="Times New Roman" w:cs="Times New Roman"/>
                <w:sz w:val="20"/>
                <w:szCs w:val="20"/>
                <w:lang w:val="nl-NL" w:eastAsia="nl-NL"/>
              </w:rPr>
              <w:t>(0.049)</w:t>
            </w:r>
          </w:p>
        </w:tc>
        <w:tc>
          <w:tcPr>
            <w:tcW w:w="323" w:type="pct"/>
            <w:tcBorders>
              <w:top w:val="single" w:sz="4" w:space="0" w:color="auto"/>
              <w:left w:val="single" w:sz="4" w:space="0" w:color="auto"/>
              <w:bottom w:val="single" w:sz="4" w:space="0" w:color="auto"/>
              <w:right w:val="single" w:sz="4" w:space="0" w:color="auto"/>
            </w:tcBorders>
          </w:tcPr>
          <w:p w14:paraId="2CCEC274"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0.586</w:t>
            </w:r>
          </w:p>
        </w:tc>
        <w:tc>
          <w:tcPr>
            <w:tcW w:w="323" w:type="pct"/>
            <w:tcBorders>
              <w:top w:val="single" w:sz="4" w:space="0" w:color="auto"/>
              <w:left w:val="single" w:sz="4" w:space="0" w:color="auto"/>
              <w:bottom w:val="single" w:sz="4" w:space="0" w:color="auto"/>
              <w:right w:val="single" w:sz="4" w:space="0" w:color="auto"/>
            </w:tcBorders>
          </w:tcPr>
          <w:p w14:paraId="13069756"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color w:val="000000"/>
                <w:sz w:val="20"/>
                <w:szCs w:val="20"/>
                <w:lang w:val="nl-NL" w:eastAsia="nl-NL"/>
              </w:rPr>
              <w:t>0.703</w:t>
            </w:r>
          </w:p>
        </w:tc>
        <w:tc>
          <w:tcPr>
            <w:tcW w:w="303" w:type="pct"/>
            <w:tcBorders>
              <w:top w:val="single" w:sz="4" w:space="0" w:color="auto"/>
              <w:left w:val="single" w:sz="4" w:space="0" w:color="auto"/>
              <w:bottom w:val="single" w:sz="4" w:space="0" w:color="auto"/>
            </w:tcBorders>
          </w:tcPr>
          <w:p w14:paraId="7EE884BF" w14:textId="77777777" w:rsidR="0048716C" w:rsidRPr="007A0E3E" w:rsidRDefault="0048716C" w:rsidP="001F3DEB">
            <w:pPr>
              <w:jc w:val="right"/>
              <w:rPr>
                <w:rFonts w:ascii="Times New Roman" w:hAnsi="Times New Roman" w:cs="Times New Roman"/>
                <w:sz w:val="20"/>
                <w:szCs w:val="20"/>
              </w:rPr>
            </w:pPr>
            <w:r w:rsidRPr="007A0E3E">
              <w:rPr>
                <w:rFonts w:ascii="Times New Roman" w:eastAsia="Times New Roman" w:hAnsi="Times New Roman" w:cs="Times New Roman"/>
                <w:sz w:val="20"/>
                <w:szCs w:val="20"/>
                <w:lang w:val="nl-NL" w:eastAsia="nl-NL"/>
              </w:rPr>
              <w:t>8x10</w:t>
            </w:r>
            <w:r w:rsidRPr="007A0E3E">
              <w:rPr>
                <w:rFonts w:ascii="Times New Roman" w:eastAsia="Times New Roman" w:hAnsi="Times New Roman" w:cs="Times New Roman"/>
                <w:sz w:val="20"/>
                <w:szCs w:val="20"/>
                <w:vertAlign w:val="superscript"/>
                <w:lang w:val="nl-NL" w:eastAsia="nl-NL"/>
              </w:rPr>
              <w:t>-4</w:t>
            </w:r>
          </w:p>
        </w:tc>
      </w:tr>
    </w:tbl>
    <w:p w14:paraId="706FBE92" w14:textId="77777777" w:rsidR="0048716C" w:rsidRPr="007A0E3E" w:rsidRDefault="0048716C" w:rsidP="0048716C">
      <w:pPr>
        <w:rPr>
          <w:rFonts w:ascii="Times New Roman" w:hAnsi="Times New Roman" w:cs="Times New Roman"/>
          <w:sz w:val="20"/>
          <w:szCs w:val="20"/>
        </w:rPr>
      </w:pPr>
      <w:r w:rsidRPr="007A0E3E">
        <w:rPr>
          <w:rFonts w:ascii="Times New Roman" w:hAnsi="Times New Roman" w:cs="Times New Roman"/>
          <w:sz w:val="20"/>
          <w:szCs w:val="20"/>
        </w:rPr>
        <w:t>N, number of participants with data available; PRS PT, p-value threshold of PRS-ADHD; # of SNPS, number of SNPs used to calculate PRS-ADHD at corresponding p-value threshold; β, standardized regression coefficients; SE, standard error; p-</w:t>
      </w:r>
      <w:proofErr w:type="spellStart"/>
      <w:r w:rsidRPr="007A0E3E">
        <w:rPr>
          <w:rFonts w:ascii="Times New Roman" w:hAnsi="Times New Roman" w:cs="Times New Roman"/>
          <w:sz w:val="20"/>
          <w:szCs w:val="20"/>
        </w:rPr>
        <w:t>uncor</w:t>
      </w:r>
      <w:proofErr w:type="spellEnd"/>
      <w:r w:rsidRPr="007A0E3E">
        <w:rPr>
          <w:rFonts w:ascii="Times New Roman" w:hAnsi="Times New Roman" w:cs="Times New Roman"/>
          <w:sz w:val="20"/>
          <w:szCs w:val="20"/>
        </w:rPr>
        <w:t>, uncorrected p-value; p-FDR, FDR-corrected p-value; R</w:t>
      </w:r>
      <w:r w:rsidRPr="007A0E3E">
        <w:rPr>
          <w:rFonts w:ascii="Times New Roman" w:hAnsi="Times New Roman" w:cs="Times New Roman"/>
          <w:sz w:val="20"/>
          <w:szCs w:val="20"/>
          <w:vertAlign w:val="superscript"/>
        </w:rPr>
        <w:t>2</w:t>
      </w:r>
      <w:r w:rsidRPr="007A0E3E">
        <w:rPr>
          <w:rFonts w:ascii="Times New Roman" w:hAnsi="Times New Roman" w:cs="Times New Roman"/>
          <w:sz w:val="20"/>
          <w:szCs w:val="20"/>
        </w:rPr>
        <w:t>-PRS, the proportion of variance explained by PRS-ADHD.</w:t>
      </w:r>
    </w:p>
    <w:p w14:paraId="09EEC7B3" w14:textId="77777777" w:rsidR="0048716C" w:rsidRPr="007A0E3E" w:rsidRDefault="0048716C" w:rsidP="0048716C">
      <w:pPr>
        <w:rPr>
          <w:rFonts w:ascii="Times New Roman" w:hAnsi="Times New Roman" w:cs="Times New Roman"/>
          <w:sz w:val="20"/>
          <w:szCs w:val="20"/>
        </w:rPr>
      </w:pPr>
    </w:p>
    <w:p w14:paraId="286FDDCB" w14:textId="77777777" w:rsidR="0048716C" w:rsidRPr="007A0E3E" w:rsidRDefault="0048716C" w:rsidP="0048716C">
      <w:pPr>
        <w:rPr>
          <w:rFonts w:ascii="Times New Roman" w:hAnsi="Times New Roman" w:cs="Times New Roman"/>
          <w:i/>
          <w:iCs/>
          <w:sz w:val="20"/>
          <w:szCs w:val="20"/>
        </w:rPr>
      </w:pPr>
      <w:r w:rsidRPr="007A0E3E">
        <w:rPr>
          <w:rFonts w:ascii="Times New Roman" w:hAnsi="Times New Roman" w:cs="Times New Roman"/>
          <w:i/>
          <w:iCs/>
          <w:sz w:val="20"/>
          <w:szCs w:val="20"/>
        </w:rPr>
        <w:br w:type="page"/>
      </w:r>
    </w:p>
    <w:p w14:paraId="669C7E53" w14:textId="2A9200F0" w:rsidR="0048716C" w:rsidRPr="007A0E3E" w:rsidRDefault="0048716C" w:rsidP="0048716C">
      <w:pPr>
        <w:rPr>
          <w:rFonts w:ascii="Times New Roman" w:hAnsi="Times New Roman" w:cs="Times New Roman"/>
          <w:sz w:val="20"/>
          <w:szCs w:val="20"/>
        </w:rPr>
      </w:pPr>
      <w:r w:rsidRPr="007A0E3E">
        <w:rPr>
          <w:rFonts w:ascii="Times New Roman" w:hAnsi="Times New Roman" w:cs="Times New Roman"/>
          <w:sz w:val="20"/>
          <w:szCs w:val="20"/>
        </w:rPr>
        <w:lastRenderedPageBreak/>
        <w:t>Supplementary Table 3 Location, maximum z-value, size and p-value of the clusters correlating with PRS-ADHD.</w:t>
      </w:r>
    </w:p>
    <w:tbl>
      <w:tblPr>
        <w:tblStyle w:val="TableGrid"/>
        <w:tblW w:w="5080" w:type="pct"/>
        <w:tblBorders>
          <w:top w:val="none" w:sz="0" w:space="0" w:color="auto"/>
          <w:left w:val="none" w:sz="0" w:space="0" w:color="auto"/>
          <w:bottom w:val="none" w:sz="0" w:space="0" w:color="auto"/>
          <w:right w:val="none" w:sz="0" w:space="0" w:color="auto"/>
          <w:insideV w:val="none" w:sz="0" w:space="0" w:color="auto"/>
        </w:tblBorders>
        <w:tblLook w:val="0600" w:firstRow="0" w:lastRow="0" w:firstColumn="0" w:lastColumn="0" w:noHBand="1" w:noVBand="1"/>
      </w:tblPr>
      <w:tblGrid>
        <w:gridCol w:w="1983"/>
        <w:gridCol w:w="1418"/>
        <w:gridCol w:w="766"/>
        <w:gridCol w:w="1506"/>
        <w:gridCol w:w="1273"/>
        <w:gridCol w:w="7235"/>
      </w:tblGrid>
      <w:tr w:rsidR="0048716C" w:rsidRPr="007A0E3E" w14:paraId="45817558" w14:textId="77777777" w:rsidTr="001F3DEB">
        <w:trPr>
          <w:trHeight w:val="20"/>
        </w:trPr>
        <w:tc>
          <w:tcPr>
            <w:tcW w:w="699" w:type="pct"/>
            <w:tcBorders>
              <w:top w:val="single" w:sz="4" w:space="0" w:color="auto"/>
              <w:bottom w:val="single" w:sz="4" w:space="0" w:color="auto"/>
            </w:tcBorders>
            <w:hideMark/>
          </w:tcPr>
          <w:p w14:paraId="1CA71E3B"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Association with PRS-ADHD</w:t>
            </w:r>
          </w:p>
        </w:tc>
        <w:tc>
          <w:tcPr>
            <w:tcW w:w="500" w:type="pct"/>
            <w:tcBorders>
              <w:top w:val="single" w:sz="4" w:space="0" w:color="auto"/>
              <w:bottom w:val="single" w:sz="4" w:space="0" w:color="auto"/>
            </w:tcBorders>
            <w:hideMark/>
          </w:tcPr>
          <w:p w14:paraId="523F7C5F"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x, y, z (MNI)</w:t>
            </w:r>
          </w:p>
        </w:tc>
        <w:tc>
          <w:tcPr>
            <w:tcW w:w="270" w:type="pct"/>
            <w:tcBorders>
              <w:top w:val="single" w:sz="4" w:space="0" w:color="auto"/>
              <w:bottom w:val="single" w:sz="4" w:space="0" w:color="auto"/>
            </w:tcBorders>
            <w:hideMark/>
          </w:tcPr>
          <w:p w14:paraId="68933887"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Z-value</w:t>
            </w:r>
          </w:p>
        </w:tc>
        <w:tc>
          <w:tcPr>
            <w:tcW w:w="531" w:type="pct"/>
            <w:tcBorders>
              <w:top w:val="single" w:sz="4" w:space="0" w:color="auto"/>
              <w:bottom w:val="single" w:sz="4" w:space="0" w:color="auto"/>
            </w:tcBorders>
            <w:hideMark/>
          </w:tcPr>
          <w:p w14:paraId="72EC8215"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Cluster size (in voxels)</w:t>
            </w:r>
          </w:p>
        </w:tc>
        <w:tc>
          <w:tcPr>
            <w:tcW w:w="449" w:type="pct"/>
            <w:tcBorders>
              <w:top w:val="single" w:sz="4" w:space="0" w:color="auto"/>
              <w:bottom w:val="single" w:sz="4" w:space="0" w:color="auto"/>
            </w:tcBorders>
            <w:hideMark/>
          </w:tcPr>
          <w:p w14:paraId="7647672C"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p-FWER</w:t>
            </w:r>
          </w:p>
        </w:tc>
        <w:tc>
          <w:tcPr>
            <w:tcW w:w="2551" w:type="pct"/>
            <w:tcBorders>
              <w:top w:val="single" w:sz="4" w:space="0" w:color="auto"/>
              <w:bottom w:val="single" w:sz="4" w:space="0" w:color="auto"/>
            </w:tcBorders>
            <w:hideMark/>
          </w:tcPr>
          <w:p w14:paraId="2C4DF374"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Brain regions</w:t>
            </w:r>
          </w:p>
        </w:tc>
      </w:tr>
      <w:tr w:rsidR="0048716C" w:rsidRPr="007A0E3E" w14:paraId="406D6AD9" w14:textId="77777777" w:rsidTr="001F3DEB">
        <w:trPr>
          <w:trHeight w:val="20"/>
        </w:trPr>
        <w:tc>
          <w:tcPr>
            <w:tcW w:w="5000" w:type="pct"/>
            <w:gridSpan w:val="6"/>
            <w:tcBorders>
              <w:top w:val="single" w:sz="4" w:space="0" w:color="auto"/>
            </w:tcBorders>
          </w:tcPr>
          <w:p w14:paraId="127F8065"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Successful inhibition – go</w:t>
            </w:r>
          </w:p>
        </w:tc>
      </w:tr>
      <w:tr w:rsidR="0048716C" w:rsidRPr="007A0E3E" w14:paraId="45E5F2B6" w14:textId="77777777" w:rsidTr="001F3DEB">
        <w:trPr>
          <w:trHeight w:val="20"/>
        </w:trPr>
        <w:tc>
          <w:tcPr>
            <w:tcW w:w="699" w:type="pct"/>
            <w:hideMark/>
          </w:tcPr>
          <w:p w14:paraId="40A8DD99"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Negative</w:t>
            </w:r>
          </w:p>
        </w:tc>
        <w:tc>
          <w:tcPr>
            <w:tcW w:w="500" w:type="pct"/>
            <w:hideMark/>
          </w:tcPr>
          <w:p w14:paraId="294A1D76"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-34, -10, -2</w:t>
            </w:r>
          </w:p>
        </w:tc>
        <w:tc>
          <w:tcPr>
            <w:tcW w:w="270" w:type="pct"/>
            <w:hideMark/>
          </w:tcPr>
          <w:p w14:paraId="1B58FA68"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4.7</w:t>
            </w:r>
          </w:p>
        </w:tc>
        <w:tc>
          <w:tcPr>
            <w:tcW w:w="531" w:type="pct"/>
            <w:hideMark/>
          </w:tcPr>
          <w:p w14:paraId="3F8B26A5"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855</w:t>
            </w:r>
          </w:p>
        </w:tc>
        <w:tc>
          <w:tcPr>
            <w:tcW w:w="449" w:type="pct"/>
            <w:hideMark/>
          </w:tcPr>
          <w:p w14:paraId="585670FD"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6.25x10</w:t>
            </w:r>
            <w:r w:rsidRPr="007A0E3E">
              <w:rPr>
                <w:rFonts w:ascii="Times New Roman" w:hAnsi="Times New Roman" w:cs="Times New Roman"/>
                <w:sz w:val="20"/>
                <w:szCs w:val="20"/>
                <w:vertAlign w:val="superscript"/>
                <w:lang w:val="nl-NL"/>
              </w:rPr>
              <w:t>-4</w:t>
            </w:r>
          </w:p>
        </w:tc>
        <w:tc>
          <w:tcPr>
            <w:tcW w:w="2551" w:type="pct"/>
            <w:hideMark/>
          </w:tcPr>
          <w:p w14:paraId="07398D14"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 xml:space="preserve">Left insular and central opercular cortices, putamen, anterior superior temporal gyrus, precentral gyrus, inferior frontal gyrus pars </w:t>
            </w:r>
            <w:proofErr w:type="spellStart"/>
            <w:r w:rsidRPr="007A0E3E">
              <w:rPr>
                <w:rFonts w:ascii="Times New Roman" w:hAnsi="Times New Roman" w:cs="Times New Roman"/>
                <w:sz w:val="20"/>
                <w:szCs w:val="20"/>
              </w:rPr>
              <w:t>opercularis</w:t>
            </w:r>
            <w:proofErr w:type="spellEnd"/>
          </w:p>
        </w:tc>
      </w:tr>
      <w:tr w:rsidR="0048716C" w:rsidRPr="007A0E3E" w14:paraId="1EBC62E3" w14:textId="77777777" w:rsidTr="001F3DEB">
        <w:trPr>
          <w:trHeight w:val="20"/>
        </w:trPr>
        <w:tc>
          <w:tcPr>
            <w:tcW w:w="5000" w:type="pct"/>
            <w:gridSpan w:val="6"/>
          </w:tcPr>
          <w:p w14:paraId="219CFDAC"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Failed inhibition – go</w:t>
            </w:r>
          </w:p>
        </w:tc>
      </w:tr>
      <w:tr w:rsidR="0048716C" w:rsidRPr="007A0E3E" w14:paraId="17DE88AA" w14:textId="77777777" w:rsidTr="001F3DEB">
        <w:trPr>
          <w:trHeight w:val="20"/>
        </w:trPr>
        <w:tc>
          <w:tcPr>
            <w:tcW w:w="699" w:type="pct"/>
          </w:tcPr>
          <w:p w14:paraId="3C2A692B"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 xml:space="preserve">Positive </w:t>
            </w:r>
          </w:p>
        </w:tc>
        <w:tc>
          <w:tcPr>
            <w:tcW w:w="500" w:type="pct"/>
          </w:tcPr>
          <w:p w14:paraId="42117422"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-36, 16, -28</w:t>
            </w:r>
          </w:p>
        </w:tc>
        <w:tc>
          <w:tcPr>
            <w:tcW w:w="270" w:type="pct"/>
          </w:tcPr>
          <w:p w14:paraId="32A10A34"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4.28</w:t>
            </w:r>
          </w:p>
        </w:tc>
        <w:tc>
          <w:tcPr>
            <w:tcW w:w="531" w:type="pct"/>
          </w:tcPr>
          <w:p w14:paraId="67113C2A"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438</w:t>
            </w:r>
          </w:p>
        </w:tc>
        <w:tc>
          <w:tcPr>
            <w:tcW w:w="449" w:type="pct"/>
          </w:tcPr>
          <w:p w14:paraId="1B3DF7D8"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2.68x10</w:t>
            </w:r>
            <w:r w:rsidRPr="007A0E3E">
              <w:rPr>
                <w:rFonts w:ascii="Times New Roman" w:hAnsi="Times New Roman" w:cs="Times New Roman"/>
                <w:sz w:val="20"/>
                <w:szCs w:val="20"/>
                <w:vertAlign w:val="superscript"/>
                <w:lang w:val="nl-NL"/>
              </w:rPr>
              <w:t>-2</w:t>
            </w:r>
          </w:p>
        </w:tc>
        <w:tc>
          <w:tcPr>
            <w:tcW w:w="2551" w:type="pct"/>
          </w:tcPr>
          <w:p w14:paraId="3359D21E"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lang w:val="pt-BR"/>
              </w:rPr>
              <w:t>Left temporal pole, anterior parahippocampal gyrus</w:t>
            </w:r>
          </w:p>
        </w:tc>
      </w:tr>
      <w:tr w:rsidR="0048716C" w:rsidRPr="007A0E3E" w14:paraId="1D9CC8AC" w14:textId="77777777" w:rsidTr="001F3DEB">
        <w:trPr>
          <w:trHeight w:val="20"/>
        </w:trPr>
        <w:tc>
          <w:tcPr>
            <w:tcW w:w="699" w:type="pct"/>
          </w:tcPr>
          <w:p w14:paraId="4F2DAB56"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 xml:space="preserve">Positive </w:t>
            </w:r>
          </w:p>
        </w:tc>
        <w:tc>
          <w:tcPr>
            <w:tcW w:w="500" w:type="pct"/>
          </w:tcPr>
          <w:p w14:paraId="2612EA52"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22, 16, 2</w:t>
            </w:r>
          </w:p>
        </w:tc>
        <w:tc>
          <w:tcPr>
            <w:tcW w:w="270" w:type="pct"/>
          </w:tcPr>
          <w:p w14:paraId="3EB40ABB"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4.38</w:t>
            </w:r>
          </w:p>
        </w:tc>
        <w:tc>
          <w:tcPr>
            <w:tcW w:w="531" w:type="pct"/>
          </w:tcPr>
          <w:p w14:paraId="1C0C7197"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428</w:t>
            </w:r>
          </w:p>
        </w:tc>
        <w:tc>
          <w:tcPr>
            <w:tcW w:w="449" w:type="pct"/>
          </w:tcPr>
          <w:p w14:paraId="246E768A"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3.04x10</w:t>
            </w:r>
            <w:r w:rsidRPr="007A0E3E">
              <w:rPr>
                <w:rFonts w:ascii="Times New Roman" w:hAnsi="Times New Roman" w:cs="Times New Roman"/>
                <w:sz w:val="20"/>
                <w:szCs w:val="20"/>
                <w:vertAlign w:val="superscript"/>
                <w:lang w:val="nl-NL"/>
              </w:rPr>
              <w:t>-2</w:t>
            </w:r>
          </w:p>
        </w:tc>
        <w:tc>
          <w:tcPr>
            <w:tcW w:w="2551" w:type="pct"/>
          </w:tcPr>
          <w:p w14:paraId="3CC646F4"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lang w:val="nl-NL"/>
              </w:rPr>
              <w:t>Right putamen</w:t>
            </w:r>
          </w:p>
        </w:tc>
      </w:tr>
      <w:tr w:rsidR="0048716C" w:rsidRPr="007A0E3E" w14:paraId="68890D84" w14:textId="77777777" w:rsidTr="001F3DEB">
        <w:trPr>
          <w:trHeight w:val="20"/>
        </w:trPr>
        <w:tc>
          <w:tcPr>
            <w:tcW w:w="5000" w:type="pct"/>
            <w:gridSpan w:val="6"/>
          </w:tcPr>
          <w:p w14:paraId="22CB33A5"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Failed – successful inhibition</w:t>
            </w:r>
          </w:p>
        </w:tc>
      </w:tr>
      <w:tr w:rsidR="0048716C" w:rsidRPr="007A0E3E" w14:paraId="429C886C" w14:textId="77777777" w:rsidTr="001F3DEB">
        <w:trPr>
          <w:trHeight w:val="20"/>
        </w:trPr>
        <w:tc>
          <w:tcPr>
            <w:tcW w:w="699" w:type="pct"/>
            <w:tcBorders>
              <w:bottom w:val="single" w:sz="4" w:space="0" w:color="auto"/>
            </w:tcBorders>
          </w:tcPr>
          <w:p w14:paraId="6CD87337"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 xml:space="preserve">Positive </w:t>
            </w:r>
          </w:p>
        </w:tc>
        <w:tc>
          <w:tcPr>
            <w:tcW w:w="500" w:type="pct"/>
            <w:tcBorders>
              <w:bottom w:val="single" w:sz="4" w:space="0" w:color="auto"/>
            </w:tcBorders>
          </w:tcPr>
          <w:p w14:paraId="46C90542"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-58, 8, 12</w:t>
            </w:r>
          </w:p>
        </w:tc>
        <w:tc>
          <w:tcPr>
            <w:tcW w:w="270" w:type="pct"/>
            <w:tcBorders>
              <w:bottom w:val="single" w:sz="4" w:space="0" w:color="auto"/>
            </w:tcBorders>
          </w:tcPr>
          <w:p w14:paraId="28DB8D9E"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4.15</w:t>
            </w:r>
          </w:p>
        </w:tc>
        <w:tc>
          <w:tcPr>
            <w:tcW w:w="531" w:type="pct"/>
            <w:tcBorders>
              <w:bottom w:val="single" w:sz="4" w:space="0" w:color="auto"/>
            </w:tcBorders>
          </w:tcPr>
          <w:p w14:paraId="09D4BBAC"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2033</w:t>
            </w:r>
          </w:p>
        </w:tc>
        <w:tc>
          <w:tcPr>
            <w:tcW w:w="449" w:type="pct"/>
            <w:tcBorders>
              <w:bottom w:val="single" w:sz="4" w:space="0" w:color="auto"/>
            </w:tcBorders>
          </w:tcPr>
          <w:p w14:paraId="41305DB9"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1.79x10</w:t>
            </w:r>
            <w:r w:rsidRPr="007A0E3E">
              <w:rPr>
                <w:rFonts w:ascii="Times New Roman" w:hAnsi="Times New Roman" w:cs="Times New Roman"/>
                <w:sz w:val="20"/>
                <w:szCs w:val="20"/>
                <w:vertAlign w:val="superscript"/>
                <w:lang w:val="nl-NL"/>
              </w:rPr>
              <w:t>-7</w:t>
            </w:r>
          </w:p>
        </w:tc>
        <w:tc>
          <w:tcPr>
            <w:tcW w:w="2551" w:type="pct"/>
            <w:tcBorders>
              <w:bottom w:val="single" w:sz="4" w:space="0" w:color="auto"/>
            </w:tcBorders>
          </w:tcPr>
          <w:p w14:paraId="77884A6F"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 xml:space="preserve">Left precentral gyrus, inferior frontal gyrus pars </w:t>
            </w:r>
            <w:proofErr w:type="spellStart"/>
            <w:r w:rsidRPr="007A0E3E">
              <w:rPr>
                <w:rFonts w:ascii="Times New Roman" w:hAnsi="Times New Roman" w:cs="Times New Roman"/>
                <w:sz w:val="20"/>
                <w:szCs w:val="20"/>
              </w:rPr>
              <w:t>opercularis</w:t>
            </w:r>
            <w:proofErr w:type="spellEnd"/>
            <w:r w:rsidRPr="007A0E3E">
              <w:rPr>
                <w:rFonts w:ascii="Times New Roman" w:hAnsi="Times New Roman" w:cs="Times New Roman"/>
                <w:sz w:val="20"/>
                <w:szCs w:val="20"/>
              </w:rPr>
              <w:t xml:space="preserve">, insular and central opercular cortices, putamen, anterior superior temporal gyrus, temporal pole, anterior </w:t>
            </w:r>
            <w:proofErr w:type="spellStart"/>
            <w:r w:rsidRPr="007A0E3E">
              <w:rPr>
                <w:rFonts w:ascii="Times New Roman" w:hAnsi="Times New Roman" w:cs="Times New Roman"/>
                <w:sz w:val="20"/>
                <w:szCs w:val="20"/>
              </w:rPr>
              <w:t>parahippocampal</w:t>
            </w:r>
            <w:proofErr w:type="spellEnd"/>
            <w:r w:rsidRPr="007A0E3E">
              <w:rPr>
                <w:rFonts w:ascii="Times New Roman" w:hAnsi="Times New Roman" w:cs="Times New Roman"/>
                <w:sz w:val="20"/>
                <w:szCs w:val="20"/>
              </w:rPr>
              <w:t xml:space="preserve"> gyrus</w:t>
            </w:r>
          </w:p>
        </w:tc>
      </w:tr>
      <w:tr w:rsidR="0048716C" w:rsidRPr="007A0E3E" w14:paraId="3A7095A3" w14:textId="77777777" w:rsidTr="001F3DEB">
        <w:trPr>
          <w:trHeight w:val="20"/>
        </w:trPr>
        <w:tc>
          <w:tcPr>
            <w:tcW w:w="699" w:type="pct"/>
            <w:tcBorders>
              <w:top w:val="single" w:sz="4" w:space="0" w:color="auto"/>
              <w:bottom w:val="single" w:sz="4" w:space="0" w:color="auto"/>
            </w:tcBorders>
          </w:tcPr>
          <w:p w14:paraId="0A2A7A12"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 xml:space="preserve">Positive </w:t>
            </w:r>
          </w:p>
        </w:tc>
        <w:tc>
          <w:tcPr>
            <w:tcW w:w="500" w:type="pct"/>
            <w:tcBorders>
              <w:top w:val="single" w:sz="4" w:space="0" w:color="auto"/>
              <w:bottom w:val="single" w:sz="4" w:space="0" w:color="auto"/>
            </w:tcBorders>
          </w:tcPr>
          <w:p w14:paraId="1A99A80F"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8, 2, 6</w:t>
            </w:r>
          </w:p>
        </w:tc>
        <w:tc>
          <w:tcPr>
            <w:tcW w:w="270" w:type="pct"/>
            <w:tcBorders>
              <w:top w:val="single" w:sz="4" w:space="0" w:color="auto"/>
              <w:bottom w:val="single" w:sz="4" w:space="0" w:color="auto"/>
            </w:tcBorders>
          </w:tcPr>
          <w:p w14:paraId="13D0FEAD"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3.81</w:t>
            </w:r>
          </w:p>
        </w:tc>
        <w:tc>
          <w:tcPr>
            <w:tcW w:w="531" w:type="pct"/>
            <w:tcBorders>
              <w:top w:val="single" w:sz="4" w:space="0" w:color="auto"/>
              <w:bottom w:val="single" w:sz="4" w:space="0" w:color="auto"/>
            </w:tcBorders>
          </w:tcPr>
          <w:p w14:paraId="53C6E14D"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609</w:t>
            </w:r>
          </w:p>
        </w:tc>
        <w:tc>
          <w:tcPr>
            <w:tcW w:w="449" w:type="pct"/>
            <w:tcBorders>
              <w:top w:val="single" w:sz="4" w:space="0" w:color="auto"/>
              <w:bottom w:val="single" w:sz="4" w:space="0" w:color="auto"/>
            </w:tcBorders>
          </w:tcPr>
          <w:p w14:paraId="0FBE387E" w14:textId="77777777" w:rsidR="0048716C" w:rsidRPr="007A0E3E" w:rsidRDefault="0048716C" w:rsidP="001F3DEB">
            <w:pPr>
              <w:rPr>
                <w:rFonts w:ascii="Times New Roman" w:hAnsi="Times New Roman" w:cs="Times New Roman"/>
                <w:sz w:val="20"/>
                <w:szCs w:val="20"/>
                <w:lang w:val="nl-NL"/>
              </w:rPr>
            </w:pPr>
            <w:r w:rsidRPr="007A0E3E">
              <w:rPr>
                <w:rFonts w:ascii="Times New Roman" w:hAnsi="Times New Roman" w:cs="Times New Roman"/>
                <w:sz w:val="20"/>
                <w:szCs w:val="20"/>
                <w:lang w:val="nl-NL"/>
              </w:rPr>
              <w:t>1.01x10</w:t>
            </w:r>
            <w:r w:rsidRPr="007A0E3E">
              <w:rPr>
                <w:rFonts w:ascii="Times New Roman" w:hAnsi="Times New Roman" w:cs="Times New Roman"/>
                <w:sz w:val="20"/>
                <w:szCs w:val="20"/>
                <w:vertAlign w:val="superscript"/>
                <w:lang w:val="nl-NL"/>
              </w:rPr>
              <w:t>-2</w:t>
            </w:r>
          </w:p>
        </w:tc>
        <w:tc>
          <w:tcPr>
            <w:tcW w:w="2551" w:type="pct"/>
            <w:tcBorders>
              <w:top w:val="single" w:sz="4" w:space="0" w:color="auto"/>
              <w:bottom w:val="single" w:sz="4" w:space="0" w:color="auto"/>
            </w:tcBorders>
          </w:tcPr>
          <w:p w14:paraId="0F89F45F"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Right caudate, thalamus, putamen, pallidum</w:t>
            </w:r>
          </w:p>
        </w:tc>
      </w:tr>
    </w:tbl>
    <w:p w14:paraId="0C295FBE" w14:textId="77777777" w:rsidR="0048716C" w:rsidRPr="007A0E3E" w:rsidRDefault="0048716C" w:rsidP="0048716C">
      <w:pPr>
        <w:rPr>
          <w:rFonts w:ascii="Times New Roman" w:hAnsi="Times New Roman" w:cs="Times New Roman"/>
          <w:sz w:val="20"/>
          <w:szCs w:val="20"/>
        </w:rPr>
      </w:pPr>
    </w:p>
    <w:p w14:paraId="2A4AA11D" w14:textId="77777777" w:rsidR="0048716C" w:rsidRPr="007A0E3E" w:rsidRDefault="0048716C" w:rsidP="0048716C">
      <w:pPr>
        <w:rPr>
          <w:rFonts w:ascii="Times New Roman" w:hAnsi="Times New Roman" w:cs="Times New Roman"/>
          <w:i/>
          <w:iCs/>
          <w:sz w:val="20"/>
          <w:szCs w:val="20"/>
        </w:rPr>
      </w:pPr>
    </w:p>
    <w:p w14:paraId="0C13AC02" w14:textId="77777777" w:rsidR="0048716C" w:rsidRPr="007A0E3E" w:rsidRDefault="0048716C" w:rsidP="0048716C">
      <w:pPr>
        <w:rPr>
          <w:rFonts w:ascii="Times New Roman" w:hAnsi="Times New Roman" w:cs="Times New Roman"/>
          <w:i/>
          <w:iCs/>
          <w:sz w:val="20"/>
          <w:szCs w:val="20"/>
        </w:rPr>
      </w:pPr>
      <w:r w:rsidRPr="007A0E3E">
        <w:rPr>
          <w:rFonts w:ascii="Times New Roman" w:hAnsi="Times New Roman" w:cs="Times New Roman"/>
          <w:i/>
          <w:iCs/>
          <w:sz w:val="20"/>
          <w:szCs w:val="20"/>
        </w:rPr>
        <w:br w:type="page"/>
      </w:r>
    </w:p>
    <w:p w14:paraId="69BA6D5D" w14:textId="3E3AB84D" w:rsidR="0048716C" w:rsidRPr="007A0E3E" w:rsidRDefault="0048716C" w:rsidP="0048716C">
      <w:pPr>
        <w:rPr>
          <w:rFonts w:ascii="Times New Roman" w:hAnsi="Times New Roman" w:cs="Times New Roman"/>
          <w:sz w:val="20"/>
          <w:szCs w:val="20"/>
        </w:rPr>
      </w:pPr>
      <w:r w:rsidRPr="007A0E3E">
        <w:rPr>
          <w:rFonts w:ascii="Times New Roman" w:hAnsi="Times New Roman" w:cs="Times New Roman"/>
          <w:sz w:val="20"/>
          <w:szCs w:val="20"/>
        </w:rPr>
        <w:lastRenderedPageBreak/>
        <w:t xml:space="preserve">Supplementary Table 4 </w:t>
      </w:r>
      <w:bookmarkStart w:id="1" w:name="_Hlk80328550"/>
      <w:r w:rsidRPr="007A0E3E">
        <w:rPr>
          <w:rFonts w:ascii="Times New Roman" w:hAnsi="Times New Roman" w:cs="Times New Roman"/>
          <w:sz w:val="20"/>
          <w:szCs w:val="20"/>
        </w:rPr>
        <w:t>The associations between behavioral correlates of response inhibition and ADHD symptoms, controlling for PRS-ADHD.</w:t>
      </w:r>
    </w:p>
    <w:bookmarkEnd w:id="1"/>
    <w:tbl>
      <w:tblPr>
        <w:tblStyle w:val="TableGrid"/>
        <w:tblW w:w="5000" w:type="pct"/>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2264"/>
        <w:gridCol w:w="1703"/>
        <w:gridCol w:w="1287"/>
        <w:gridCol w:w="1753"/>
        <w:gridCol w:w="1075"/>
        <w:gridCol w:w="1574"/>
        <w:gridCol w:w="1533"/>
        <w:gridCol w:w="1535"/>
        <w:gridCol w:w="1234"/>
      </w:tblGrid>
      <w:tr w:rsidR="0048716C" w:rsidRPr="007A0E3E" w14:paraId="59B04077" w14:textId="77777777" w:rsidTr="001F3DEB">
        <w:tc>
          <w:tcPr>
            <w:tcW w:w="811" w:type="pct"/>
            <w:vMerge w:val="restart"/>
            <w:tcBorders>
              <w:top w:val="single" w:sz="4" w:space="0" w:color="auto"/>
            </w:tcBorders>
          </w:tcPr>
          <w:p w14:paraId="3002822C" w14:textId="77777777" w:rsidR="0048716C" w:rsidRPr="007A0E3E" w:rsidRDefault="0048716C" w:rsidP="001F3DEB">
            <w:pPr>
              <w:rPr>
                <w:rFonts w:ascii="Times New Roman" w:hAnsi="Times New Roman" w:cs="Times New Roman"/>
                <w:sz w:val="20"/>
                <w:szCs w:val="20"/>
              </w:rPr>
            </w:pPr>
          </w:p>
        </w:tc>
        <w:tc>
          <w:tcPr>
            <w:tcW w:w="4189" w:type="pct"/>
            <w:gridSpan w:val="8"/>
            <w:tcBorders>
              <w:top w:val="single" w:sz="4" w:space="0" w:color="auto"/>
              <w:bottom w:val="single" w:sz="4" w:space="0" w:color="auto"/>
            </w:tcBorders>
          </w:tcPr>
          <w:p w14:paraId="6B488F59"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Regressing dependent variable on independent variable and mediator</w:t>
            </w:r>
          </w:p>
        </w:tc>
      </w:tr>
      <w:tr w:rsidR="0048716C" w:rsidRPr="007A0E3E" w14:paraId="79094B4D" w14:textId="77777777" w:rsidTr="001F3DEB">
        <w:tc>
          <w:tcPr>
            <w:tcW w:w="811" w:type="pct"/>
            <w:vMerge/>
          </w:tcPr>
          <w:p w14:paraId="59A60E3D" w14:textId="77777777" w:rsidR="0048716C" w:rsidRPr="007A0E3E" w:rsidRDefault="0048716C" w:rsidP="001F3DEB">
            <w:pPr>
              <w:rPr>
                <w:rFonts w:ascii="Times New Roman" w:hAnsi="Times New Roman" w:cs="Times New Roman"/>
                <w:sz w:val="20"/>
                <w:szCs w:val="20"/>
              </w:rPr>
            </w:pPr>
          </w:p>
        </w:tc>
        <w:tc>
          <w:tcPr>
            <w:tcW w:w="2084" w:type="pct"/>
            <w:gridSpan w:val="4"/>
            <w:tcBorders>
              <w:top w:val="single" w:sz="4" w:space="0" w:color="auto"/>
            </w:tcBorders>
          </w:tcPr>
          <w:p w14:paraId="527D2169"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Independent variable (IV): PRS PT1</w:t>
            </w:r>
          </w:p>
        </w:tc>
        <w:tc>
          <w:tcPr>
            <w:tcW w:w="2105" w:type="pct"/>
            <w:gridSpan w:val="4"/>
            <w:tcBorders>
              <w:top w:val="single" w:sz="4" w:space="0" w:color="auto"/>
            </w:tcBorders>
          </w:tcPr>
          <w:p w14:paraId="25779E86"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Mediator (M): MRT</w:t>
            </w:r>
          </w:p>
        </w:tc>
      </w:tr>
      <w:tr w:rsidR="0048716C" w:rsidRPr="007A0E3E" w14:paraId="2781A374" w14:textId="77777777" w:rsidTr="001F3DEB">
        <w:tc>
          <w:tcPr>
            <w:tcW w:w="811" w:type="pct"/>
          </w:tcPr>
          <w:p w14:paraId="749AB3E4"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Dependent variable</w:t>
            </w:r>
          </w:p>
        </w:tc>
        <w:tc>
          <w:tcPr>
            <w:tcW w:w="610" w:type="pct"/>
          </w:tcPr>
          <w:p w14:paraId="6DF439D2" w14:textId="77777777" w:rsidR="0048716C" w:rsidRPr="007A0E3E" w:rsidRDefault="0048716C" w:rsidP="001F3DEB">
            <w:pPr>
              <w:rPr>
                <w:rFonts w:ascii="Times New Roman" w:hAnsi="Times New Roman" w:cs="Times New Roman"/>
                <w:sz w:val="20"/>
                <w:szCs w:val="20"/>
              </w:rPr>
            </w:pPr>
            <w:r w:rsidRPr="007A0E3E">
              <w:rPr>
                <w:rFonts w:ascii="Times New Roman" w:eastAsia="Times New Roman" w:hAnsi="Times New Roman" w:cs="Times New Roman"/>
                <w:color w:val="000000"/>
                <w:sz w:val="20"/>
                <w:szCs w:val="20"/>
                <w:lang w:val="nl-NL" w:eastAsia="nl-NL"/>
              </w:rPr>
              <w:t>β (SE)</w:t>
            </w:r>
          </w:p>
        </w:tc>
        <w:tc>
          <w:tcPr>
            <w:tcW w:w="461" w:type="pct"/>
          </w:tcPr>
          <w:p w14:paraId="4D5B2134"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p-</w:t>
            </w:r>
            <w:proofErr w:type="spellStart"/>
            <w:r w:rsidRPr="007A0E3E">
              <w:rPr>
                <w:rFonts w:ascii="Times New Roman" w:hAnsi="Times New Roman" w:cs="Times New Roman"/>
                <w:sz w:val="20"/>
                <w:szCs w:val="20"/>
              </w:rPr>
              <w:t>uncor</w:t>
            </w:r>
            <w:proofErr w:type="spellEnd"/>
          </w:p>
        </w:tc>
        <w:tc>
          <w:tcPr>
            <w:tcW w:w="628" w:type="pct"/>
          </w:tcPr>
          <w:p w14:paraId="3C15A1BB"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p-FDR</w:t>
            </w:r>
          </w:p>
        </w:tc>
        <w:tc>
          <w:tcPr>
            <w:tcW w:w="385" w:type="pct"/>
          </w:tcPr>
          <w:p w14:paraId="24EA549B"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R</w:t>
            </w:r>
            <w:r w:rsidRPr="007A0E3E">
              <w:rPr>
                <w:rFonts w:ascii="Times New Roman" w:hAnsi="Times New Roman" w:cs="Times New Roman"/>
                <w:sz w:val="20"/>
                <w:szCs w:val="20"/>
                <w:vertAlign w:val="superscript"/>
              </w:rPr>
              <w:t>2</w:t>
            </w:r>
            <w:r w:rsidRPr="007A0E3E">
              <w:rPr>
                <w:rFonts w:ascii="Times New Roman" w:hAnsi="Times New Roman" w:cs="Times New Roman"/>
                <w:sz w:val="20"/>
                <w:szCs w:val="20"/>
              </w:rPr>
              <w:t>-IV</w:t>
            </w:r>
          </w:p>
        </w:tc>
        <w:tc>
          <w:tcPr>
            <w:tcW w:w="564" w:type="pct"/>
          </w:tcPr>
          <w:p w14:paraId="4CBC97B3" w14:textId="77777777" w:rsidR="0048716C" w:rsidRPr="007A0E3E" w:rsidRDefault="0048716C" w:rsidP="001F3DEB">
            <w:pPr>
              <w:rPr>
                <w:rFonts w:ascii="Times New Roman" w:hAnsi="Times New Roman" w:cs="Times New Roman"/>
                <w:sz w:val="20"/>
                <w:szCs w:val="20"/>
              </w:rPr>
            </w:pPr>
            <w:r w:rsidRPr="007A0E3E">
              <w:rPr>
                <w:rFonts w:ascii="Times New Roman" w:eastAsia="Times New Roman" w:hAnsi="Times New Roman" w:cs="Times New Roman"/>
                <w:color w:val="000000"/>
                <w:sz w:val="20"/>
                <w:szCs w:val="20"/>
                <w:lang w:val="nl-NL" w:eastAsia="nl-NL"/>
              </w:rPr>
              <w:t>β (SE)</w:t>
            </w:r>
          </w:p>
        </w:tc>
        <w:tc>
          <w:tcPr>
            <w:tcW w:w="549" w:type="pct"/>
          </w:tcPr>
          <w:p w14:paraId="7A147C40"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p-</w:t>
            </w:r>
            <w:proofErr w:type="spellStart"/>
            <w:r w:rsidRPr="007A0E3E">
              <w:rPr>
                <w:rFonts w:ascii="Times New Roman" w:hAnsi="Times New Roman" w:cs="Times New Roman"/>
                <w:sz w:val="20"/>
                <w:szCs w:val="20"/>
              </w:rPr>
              <w:t>uncor</w:t>
            </w:r>
            <w:proofErr w:type="spellEnd"/>
          </w:p>
        </w:tc>
        <w:tc>
          <w:tcPr>
            <w:tcW w:w="550" w:type="pct"/>
          </w:tcPr>
          <w:p w14:paraId="7EEF955D"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p-FDR</w:t>
            </w:r>
          </w:p>
        </w:tc>
        <w:tc>
          <w:tcPr>
            <w:tcW w:w="442" w:type="pct"/>
          </w:tcPr>
          <w:p w14:paraId="48420333"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R</w:t>
            </w:r>
            <w:r w:rsidRPr="007A0E3E">
              <w:rPr>
                <w:rFonts w:ascii="Times New Roman" w:hAnsi="Times New Roman" w:cs="Times New Roman"/>
                <w:sz w:val="20"/>
                <w:szCs w:val="20"/>
                <w:vertAlign w:val="superscript"/>
              </w:rPr>
              <w:t>2</w:t>
            </w:r>
            <w:r w:rsidRPr="007A0E3E">
              <w:rPr>
                <w:rFonts w:ascii="Times New Roman" w:hAnsi="Times New Roman" w:cs="Times New Roman"/>
                <w:sz w:val="20"/>
                <w:szCs w:val="20"/>
              </w:rPr>
              <w:t>-M</w:t>
            </w:r>
          </w:p>
        </w:tc>
      </w:tr>
      <w:tr w:rsidR="0048716C" w:rsidRPr="007A0E3E" w14:paraId="3D1A056B" w14:textId="77777777" w:rsidTr="001F3DEB">
        <w:tc>
          <w:tcPr>
            <w:tcW w:w="811" w:type="pct"/>
          </w:tcPr>
          <w:p w14:paraId="33687082"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Total symptoms</w:t>
            </w:r>
          </w:p>
        </w:tc>
        <w:tc>
          <w:tcPr>
            <w:tcW w:w="610" w:type="pct"/>
          </w:tcPr>
          <w:p w14:paraId="48B0FD1F"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0.21 (0.047)</w:t>
            </w:r>
          </w:p>
        </w:tc>
        <w:tc>
          <w:tcPr>
            <w:tcW w:w="461" w:type="pct"/>
          </w:tcPr>
          <w:p w14:paraId="48EB7C8E"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1.35x10</w:t>
            </w:r>
            <w:r w:rsidRPr="007A0E3E">
              <w:rPr>
                <w:rFonts w:ascii="Times New Roman" w:hAnsi="Times New Roman" w:cs="Times New Roman"/>
                <w:sz w:val="20"/>
                <w:szCs w:val="20"/>
                <w:vertAlign w:val="superscript"/>
              </w:rPr>
              <w:t>-5</w:t>
            </w:r>
          </w:p>
        </w:tc>
        <w:tc>
          <w:tcPr>
            <w:tcW w:w="628" w:type="pct"/>
          </w:tcPr>
          <w:p w14:paraId="0D163BD1"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4.05x10</w:t>
            </w:r>
            <w:r w:rsidRPr="007A0E3E">
              <w:rPr>
                <w:rFonts w:ascii="Times New Roman" w:hAnsi="Times New Roman" w:cs="Times New Roman"/>
                <w:sz w:val="20"/>
                <w:szCs w:val="20"/>
                <w:vertAlign w:val="superscript"/>
              </w:rPr>
              <w:t>-5</w:t>
            </w:r>
          </w:p>
        </w:tc>
        <w:tc>
          <w:tcPr>
            <w:tcW w:w="385" w:type="pct"/>
          </w:tcPr>
          <w:p w14:paraId="29016771"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0.042</w:t>
            </w:r>
          </w:p>
        </w:tc>
        <w:tc>
          <w:tcPr>
            <w:tcW w:w="564" w:type="pct"/>
          </w:tcPr>
          <w:p w14:paraId="35EA1B77"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0.146 (0.048)</w:t>
            </w:r>
          </w:p>
        </w:tc>
        <w:tc>
          <w:tcPr>
            <w:tcW w:w="549" w:type="pct"/>
          </w:tcPr>
          <w:p w14:paraId="712C6DA8"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0.002</w:t>
            </w:r>
          </w:p>
        </w:tc>
        <w:tc>
          <w:tcPr>
            <w:tcW w:w="550" w:type="pct"/>
          </w:tcPr>
          <w:p w14:paraId="5077C688"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0.002</w:t>
            </w:r>
          </w:p>
        </w:tc>
        <w:tc>
          <w:tcPr>
            <w:tcW w:w="442" w:type="pct"/>
          </w:tcPr>
          <w:p w14:paraId="1E083D07"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0.019</w:t>
            </w:r>
          </w:p>
        </w:tc>
      </w:tr>
      <w:tr w:rsidR="0048716C" w:rsidRPr="007A0E3E" w14:paraId="7A8351EA" w14:textId="77777777" w:rsidTr="001F3DEB">
        <w:tc>
          <w:tcPr>
            <w:tcW w:w="811" w:type="pct"/>
          </w:tcPr>
          <w:p w14:paraId="2A4EA57A"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IA symptoms</w:t>
            </w:r>
          </w:p>
        </w:tc>
        <w:tc>
          <w:tcPr>
            <w:tcW w:w="610" w:type="pct"/>
          </w:tcPr>
          <w:p w14:paraId="262EF75D"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0.189 (0.047)</w:t>
            </w:r>
          </w:p>
        </w:tc>
        <w:tc>
          <w:tcPr>
            <w:tcW w:w="461" w:type="pct"/>
          </w:tcPr>
          <w:p w14:paraId="72D46D8B"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6.83x10</w:t>
            </w:r>
            <w:r w:rsidRPr="007A0E3E">
              <w:rPr>
                <w:rFonts w:ascii="Times New Roman" w:hAnsi="Times New Roman" w:cs="Times New Roman"/>
                <w:sz w:val="20"/>
                <w:szCs w:val="20"/>
                <w:vertAlign w:val="superscript"/>
              </w:rPr>
              <w:t>-5</w:t>
            </w:r>
          </w:p>
        </w:tc>
        <w:tc>
          <w:tcPr>
            <w:tcW w:w="628" w:type="pct"/>
          </w:tcPr>
          <w:p w14:paraId="5A7B67A1"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1.02x10</w:t>
            </w:r>
            <w:r w:rsidRPr="007A0E3E">
              <w:rPr>
                <w:rFonts w:ascii="Times New Roman" w:hAnsi="Times New Roman" w:cs="Times New Roman"/>
                <w:sz w:val="20"/>
                <w:szCs w:val="20"/>
                <w:vertAlign w:val="superscript"/>
              </w:rPr>
              <w:t>-4</w:t>
            </w:r>
          </w:p>
        </w:tc>
        <w:tc>
          <w:tcPr>
            <w:tcW w:w="385" w:type="pct"/>
          </w:tcPr>
          <w:p w14:paraId="4B436853"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0.034</w:t>
            </w:r>
          </w:p>
        </w:tc>
        <w:tc>
          <w:tcPr>
            <w:tcW w:w="564" w:type="pct"/>
          </w:tcPr>
          <w:p w14:paraId="74061403"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0.121 (0.047)</w:t>
            </w:r>
          </w:p>
        </w:tc>
        <w:tc>
          <w:tcPr>
            <w:tcW w:w="549" w:type="pct"/>
          </w:tcPr>
          <w:p w14:paraId="283AAB75"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0.01</w:t>
            </w:r>
          </w:p>
        </w:tc>
        <w:tc>
          <w:tcPr>
            <w:tcW w:w="550" w:type="pct"/>
          </w:tcPr>
          <w:p w14:paraId="6DD05E6D"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0.01</w:t>
            </w:r>
          </w:p>
        </w:tc>
        <w:tc>
          <w:tcPr>
            <w:tcW w:w="442" w:type="pct"/>
          </w:tcPr>
          <w:p w14:paraId="6DC35AE7"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0.013</w:t>
            </w:r>
          </w:p>
        </w:tc>
      </w:tr>
      <w:tr w:rsidR="0048716C" w:rsidRPr="007A0E3E" w14:paraId="67B56B42" w14:textId="77777777" w:rsidTr="001F3DEB">
        <w:tc>
          <w:tcPr>
            <w:tcW w:w="811" w:type="pct"/>
          </w:tcPr>
          <w:p w14:paraId="1AEA83E8"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HI symptoms</w:t>
            </w:r>
          </w:p>
        </w:tc>
        <w:tc>
          <w:tcPr>
            <w:tcW w:w="610" w:type="pct"/>
          </w:tcPr>
          <w:p w14:paraId="31D32589"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0.207 (0.047)</w:t>
            </w:r>
          </w:p>
        </w:tc>
        <w:tc>
          <w:tcPr>
            <w:tcW w:w="461" w:type="pct"/>
          </w:tcPr>
          <w:p w14:paraId="0C53D2D6"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1.67x10</w:t>
            </w:r>
            <w:r w:rsidRPr="007A0E3E">
              <w:rPr>
                <w:rFonts w:ascii="Times New Roman" w:hAnsi="Times New Roman" w:cs="Times New Roman"/>
                <w:sz w:val="20"/>
                <w:szCs w:val="20"/>
                <w:vertAlign w:val="superscript"/>
              </w:rPr>
              <w:t>-5</w:t>
            </w:r>
          </w:p>
        </w:tc>
        <w:tc>
          <w:tcPr>
            <w:tcW w:w="628" w:type="pct"/>
          </w:tcPr>
          <w:p w14:paraId="06CC1BF6"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4.01x10</w:t>
            </w:r>
            <w:r w:rsidRPr="007A0E3E">
              <w:rPr>
                <w:rFonts w:ascii="Times New Roman" w:hAnsi="Times New Roman" w:cs="Times New Roman"/>
                <w:sz w:val="20"/>
                <w:szCs w:val="20"/>
                <w:vertAlign w:val="superscript"/>
              </w:rPr>
              <w:t>-5</w:t>
            </w:r>
          </w:p>
        </w:tc>
        <w:tc>
          <w:tcPr>
            <w:tcW w:w="385" w:type="pct"/>
          </w:tcPr>
          <w:p w14:paraId="5F595307"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0.041</w:t>
            </w:r>
          </w:p>
        </w:tc>
        <w:tc>
          <w:tcPr>
            <w:tcW w:w="564" w:type="pct"/>
          </w:tcPr>
          <w:p w14:paraId="00D32942"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0.141 (0.048)</w:t>
            </w:r>
          </w:p>
        </w:tc>
        <w:tc>
          <w:tcPr>
            <w:tcW w:w="549" w:type="pct"/>
          </w:tcPr>
          <w:p w14:paraId="3FE28A2A"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0.003</w:t>
            </w:r>
          </w:p>
        </w:tc>
        <w:tc>
          <w:tcPr>
            <w:tcW w:w="550" w:type="pct"/>
          </w:tcPr>
          <w:p w14:paraId="70DB4825"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0.003</w:t>
            </w:r>
          </w:p>
        </w:tc>
        <w:tc>
          <w:tcPr>
            <w:tcW w:w="442" w:type="pct"/>
          </w:tcPr>
          <w:p w14:paraId="276BA569"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0.016</w:t>
            </w:r>
          </w:p>
        </w:tc>
      </w:tr>
      <w:tr w:rsidR="0048716C" w:rsidRPr="007A0E3E" w14:paraId="3DDF9FE7" w14:textId="77777777" w:rsidTr="001F3DEB">
        <w:tc>
          <w:tcPr>
            <w:tcW w:w="811" w:type="pct"/>
          </w:tcPr>
          <w:p w14:paraId="35E0B312" w14:textId="77777777" w:rsidR="0048716C" w:rsidRPr="007A0E3E" w:rsidRDefault="0048716C" w:rsidP="001F3DEB">
            <w:pPr>
              <w:rPr>
                <w:rFonts w:ascii="Times New Roman" w:hAnsi="Times New Roman" w:cs="Times New Roman"/>
                <w:sz w:val="20"/>
                <w:szCs w:val="20"/>
              </w:rPr>
            </w:pPr>
          </w:p>
        </w:tc>
        <w:tc>
          <w:tcPr>
            <w:tcW w:w="2084" w:type="pct"/>
            <w:gridSpan w:val="4"/>
          </w:tcPr>
          <w:p w14:paraId="08428931"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Independent variable (IV): PRS PT1</w:t>
            </w:r>
          </w:p>
        </w:tc>
        <w:tc>
          <w:tcPr>
            <w:tcW w:w="2105" w:type="pct"/>
            <w:gridSpan w:val="4"/>
          </w:tcPr>
          <w:p w14:paraId="7B95D37F"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Mediator (M): IRT</w:t>
            </w:r>
          </w:p>
        </w:tc>
      </w:tr>
      <w:tr w:rsidR="0048716C" w:rsidRPr="007A0E3E" w14:paraId="7603F7BA" w14:textId="77777777" w:rsidTr="001F3DEB">
        <w:tc>
          <w:tcPr>
            <w:tcW w:w="811" w:type="pct"/>
          </w:tcPr>
          <w:p w14:paraId="470648FE"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Dependent variable</w:t>
            </w:r>
          </w:p>
        </w:tc>
        <w:tc>
          <w:tcPr>
            <w:tcW w:w="610" w:type="pct"/>
          </w:tcPr>
          <w:p w14:paraId="572B1D93" w14:textId="77777777" w:rsidR="0048716C" w:rsidRPr="007A0E3E" w:rsidRDefault="0048716C" w:rsidP="001F3DEB">
            <w:pPr>
              <w:rPr>
                <w:rFonts w:ascii="Times New Roman" w:hAnsi="Times New Roman" w:cs="Times New Roman"/>
                <w:sz w:val="20"/>
                <w:szCs w:val="20"/>
              </w:rPr>
            </w:pPr>
            <w:r w:rsidRPr="007A0E3E">
              <w:rPr>
                <w:rFonts w:ascii="Times New Roman" w:eastAsia="Times New Roman" w:hAnsi="Times New Roman" w:cs="Times New Roman"/>
                <w:color w:val="000000"/>
                <w:sz w:val="20"/>
                <w:szCs w:val="20"/>
                <w:lang w:val="nl-NL" w:eastAsia="nl-NL"/>
              </w:rPr>
              <w:t>β (SE)</w:t>
            </w:r>
          </w:p>
        </w:tc>
        <w:tc>
          <w:tcPr>
            <w:tcW w:w="461" w:type="pct"/>
          </w:tcPr>
          <w:p w14:paraId="2C1A806C"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p-</w:t>
            </w:r>
            <w:proofErr w:type="spellStart"/>
            <w:r w:rsidRPr="007A0E3E">
              <w:rPr>
                <w:rFonts w:ascii="Times New Roman" w:hAnsi="Times New Roman" w:cs="Times New Roman"/>
                <w:sz w:val="20"/>
                <w:szCs w:val="20"/>
              </w:rPr>
              <w:t>uncor</w:t>
            </w:r>
            <w:proofErr w:type="spellEnd"/>
          </w:p>
        </w:tc>
        <w:tc>
          <w:tcPr>
            <w:tcW w:w="628" w:type="pct"/>
          </w:tcPr>
          <w:p w14:paraId="0FBD77EB"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p-FDR</w:t>
            </w:r>
          </w:p>
        </w:tc>
        <w:tc>
          <w:tcPr>
            <w:tcW w:w="385" w:type="pct"/>
          </w:tcPr>
          <w:p w14:paraId="72AE2D30"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R</w:t>
            </w:r>
            <w:r w:rsidRPr="007A0E3E">
              <w:rPr>
                <w:rFonts w:ascii="Times New Roman" w:hAnsi="Times New Roman" w:cs="Times New Roman"/>
                <w:sz w:val="20"/>
                <w:szCs w:val="20"/>
                <w:vertAlign w:val="superscript"/>
              </w:rPr>
              <w:t>2</w:t>
            </w:r>
            <w:r w:rsidRPr="007A0E3E">
              <w:rPr>
                <w:rFonts w:ascii="Times New Roman" w:hAnsi="Times New Roman" w:cs="Times New Roman"/>
                <w:sz w:val="20"/>
                <w:szCs w:val="20"/>
              </w:rPr>
              <w:t>-IV</w:t>
            </w:r>
          </w:p>
        </w:tc>
        <w:tc>
          <w:tcPr>
            <w:tcW w:w="564" w:type="pct"/>
          </w:tcPr>
          <w:p w14:paraId="1F087AD5" w14:textId="77777777" w:rsidR="0048716C" w:rsidRPr="007A0E3E" w:rsidRDefault="0048716C" w:rsidP="001F3DEB">
            <w:pPr>
              <w:rPr>
                <w:rFonts w:ascii="Times New Roman" w:hAnsi="Times New Roman" w:cs="Times New Roman"/>
                <w:sz w:val="20"/>
                <w:szCs w:val="20"/>
              </w:rPr>
            </w:pPr>
            <w:r w:rsidRPr="007A0E3E">
              <w:rPr>
                <w:rFonts w:ascii="Times New Roman" w:eastAsia="Times New Roman" w:hAnsi="Times New Roman" w:cs="Times New Roman"/>
                <w:color w:val="000000"/>
                <w:sz w:val="20"/>
                <w:szCs w:val="20"/>
                <w:lang w:val="nl-NL" w:eastAsia="nl-NL"/>
              </w:rPr>
              <w:t>β (SE)</w:t>
            </w:r>
          </w:p>
        </w:tc>
        <w:tc>
          <w:tcPr>
            <w:tcW w:w="549" w:type="pct"/>
          </w:tcPr>
          <w:p w14:paraId="235D028A"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p-</w:t>
            </w:r>
            <w:proofErr w:type="spellStart"/>
            <w:r w:rsidRPr="007A0E3E">
              <w:rPr>
                <w:rFonts w:ascii="Times New Roman" w:hAnsi="Times New Roman" w:cs="Times New Roman"/>
                <w:sz w:val="20"/>
                <w:szCs w:val="20"/>
              </w:rPr>
              <w:t>uncor</w:t>
            </w:r>
            <w:proofErr w:type="spellEnd"/>
          </w:p>
        </w:tc>
        <w:tc>
          <w:tcPr>
            <w:tcW w:w="550" w:type="pct"/>
          </w:tcPr>
          <w:p w14:paraId="423734B6"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p-FDR</w:t>
            </w:r>
          </w:p>
        </w:tc>
        <w:tc>
          <w:tcPr>
            <w:tcW w:w="442" w:type="pct"/>
          </w:tcPr>
          <w:p w14:paraId="5AEDF605"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R</w:t>
            </w:r>
            <w:r w:rsidRPr="007A0E3E">
              <w:rPr>
                <w:rFonts w:ascii="Times New Roman" w:hAnsi="Times New Roman" w:cs="Times New Roman"/>
                <w:sz w:val="20"/>
                <w:szCs w:val="20"/>
                <w:vertAlign w:val="superscript"/>
              </w:rPr>
              <w:t>2</w:t>
            </w:r>
            <w:r w:rsidRPr="007A0E3E">
              <w:rPr>
                <w:rFonts w:ascii="Times New Roman" w:hAnsi="Times New Roman" w:cs="Times New Roman"/>
                <w:sz w:val="20"/>
                <w:szCs w:val="20"/>
              </w:rPr>
              <w:t>-M</w:t>
            </w:r>
          </w:p>
        </w:tc>
      </w:tr>
      <w:tr w:rsidR="0048716C" w:rsidRPr="007A0E3E" w14:paraId="48356954" w14:textId="77777777" w:rsidTr="001F3DEB">
        <w:tc>
          <w:tcPr>
            <w:tcW w:w="811" w:type="pct"/>
          </w:tcPr>
          <w:p w14:paraId="11439994"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Total symptoms</w:t>
            </w:r>
          </w:p>
        </w:tc>
        <w:tc>
          <w:tcPr>
            <w:tcW w:w="610" w:type="pct"/>
          </w:tcPr>
          <w:p w14:paraId="696771BE"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0.194 (0.046)</w:t>
            </w:r>
          </w:p>
        </w:tc>
        <w:tc>
          <w:tcPr>
            <w:tcW w:w="461" w:type="pct"/>
          </w:tcPr>
          <w:p w14:paraId="408381F5"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3.13x10</w:t>
            </w:r>
            <w:r w:rsidRPr="007A0E3E">
              <w:rPr>
                <w:rFonts w:ascii="Times New Roman" w:hAnsi="Times New Roman" w:cs="Times New Roman"/>
                <w:sz w:val="20"/>
                <w:szCs w:val="20"/>
                <w:vertAlign w:val="superscript"/>
              </w:rPr>
              <w:t>-5</w:t>
            </w:r>
          </w:p>
        </w:tc>
        <w:tc>
          <w:tcPr>
            <w:tcW w:w="628" w:type="pct"/>
          </w:tcPr>
          <w:p w14:paraId="101D581E"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6.26x10</w:t>
            </w:r>
            <w:r w:rsidRPr="007A0E3E">
              <w:rPr>
                <w:rFonts w:ascii="Times New Roman" w:hAnsi="Times New Roman" w:cs="Times New Roman"/>
                <w:sz w:val="20"/>
                <w:szCs w:val="20"/>
                <w:vertAlign w:val="superscript"/>
              </w:rPr>
              <w:t>-5</w:t>
            </w:r>
          </w:p>
        </w:tc>
        <w:tc>
          <w:tcPr>
            <w:tcW w:w="385" w:type="pct"/>
          </w:tcPr>
          <w:p w14:paraId="50CA2EA5"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0.038</w:t>
            </w:r>
          </w:p>
        </w:tc>
        <w:tc>
          <w:tcPr>
            <w:tcW w:w="564" w:type="pct"/>
          </w:tcPr>
          <w:p w14:paraId="776C4F2C"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0.277 (0.048)</w:t>
            </w:r>
          </w:p>
        </w:tc>
        <w:tc>
          <w:tcPr>
            <w:tcW w:w="549" w:type="pct"/>
          </w:tcPr>
          <w:p w14:paraId="11264605"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1.87x10</w:t>
            </w:r>
            <w:r w:rsidRPr="007A0E3E">
              <w:rPr>
                <w:rFonts w:ascii="Times New Roman" w:hAnsi="Times New Roman" w:cs="Times New Roman"/>
                <w:sz w:val="20"/>
                <w:szCs w:val="20"/>
                <w:vertAlign w:val="superscript"/>
              </w:rPr>
              <w:t>-8</w:t>
            </w:r>
          </w:p>
        </w:tc>
        <w:tc>
          <w:tcPr>
            <w:tcW w:w="550" w:type="pct"/>
          </w:tcPr>
          <w:p w14:paraId="0458EB30"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1.12x10</w:t>
            </w:r>
            <w:r w:rsidRPr="007A0E3E">
              <w:rPr>
                <w:rFonts w:ascii="Times New Roman" w:hAnsi="Times New Roman" w:cs="Times New Roman"/>
                <w:sz w:val="20"/>
                <w:szCs w:val="20"/>
                <w:vertAlign w:val="superscript"/>
              </w:rPr>
              <w:t>-7</w:t>
            </w:r>
          </w:p>
        </w:tc>
        <w:tc>
          <w:tcPr>
            <w:tcW w:w="442" w:type="pct"/>
          </w:tcPr>
          <w:p w14:paraId="62433AD8"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0.063</w:t>
            </w:r>
          </w:p>
        </w:tc>
      </w:tr>
      <w:tr w:rsidR="0048716C" w:rsidRPr="007A0E3E" w14:paraId="104602FD" w14:textId="77777777" w:rsidTr="001F3DEB">
        <w:tc>
          <w:tcPr>
            <w:tcW w:w="811" w:type="pct"/>
            <w:tcBorders>
              <w:bottom w:val="single" w:sz="4" w:space="0" w:color="auto"/>
            </w:tcBorders>
          </w:tcPr>
          <w:p w14:paraId="441694D5"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IA symptoms</w:t>
            </w:r>
          </w:p>
        </w:tc>
        <w:tc>
          <w:tcPr>
            <w:tcW w:w="610" w:type="pct"/>
            <w:tcBorders>
              <w:bottom w:val="single" w:sz="4" w:space="0" w:color="auto"/>
            </w:tcBorders>
          </w:tcPr>
          <w:p w14:paraId="315876A3"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0.178 (0.046)</w:t>
            </w:r>
          </w:p>
        </w:tc>
        <w:tc>
          <w:tcPr>
            <w:tcW w:w="461" w:type="pct"/>
            <w:tcBorders>
              <w:bottom w:val="single" w:sz="4" w:space="0" w:color="auto"/>
            </w:tcBorders>
          </w:tcPr>
          <w:p w14:paraId="29CC1B17"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1.2x10</w:t>
            </w:r>
            <w:r w:rsidRPr="007A0E3E">
              <w:rPr>
                <w:rFonts w:ascii="Times New Roman" w:hAnsi="Times New Roman" w:cs="Times New Roman"/>
                <w:sz w:val="20"/>
                <w:szCs w:val="20"/>
                <w:vertAlign w:val="superscript"/>
              </w:rPr>
              <w:t>-4</w:t>
            </w:r>
          </w:p>
        </w:tc>
        <w:tc>
          <w:tcPr>
            <w:tcW w:w="628" w:type="pct"/>
            <w:tcBorders>
              <w:bottom w:val="single" w:sz="4" w:space="0" w:color="auto"/>
            </w:tcBorders>
          </w:tcPr>
          <w:p w14:paraId="16380CF6"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1.6x10</w:t>
            </w:r>
            <w:r w:rsidRPr="007A0E3E">
              <w:rPr>
                <w:rFonts w:ascii="Times New Roman" w:hAnsi="Times New Roman" w:cs="Times New Roman"/>
                <w:sz w:val="20"/>
                <w:szCs w:val="20"/>
                <w:vertAlign w:val="superscript"/>
              </w:rPr>
              <w:t>-4</w:t>
            </w:r>
          </w:p>
        </w:tc>
        <w:tc>
          <w:tcPr>
            <w:tcW w:w="385" w:type="pct"/>
            <w:tcBorders>
              <w:bottom w:val="single" w:sz="4" w:space="0" w:color="auto"/>
            </w:tcBorders>
          </w:tcPr>
          <w:p w14:paraId="7F55F767"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0.032</w:t>
            </w:r>
          </w:p>
        </w:tc>
        <w:tc>
          <w:tcPr>
            <w:tcW w:w="564" w:type="pct"/>
            <w:tcBorders>
              <w:bottom w:val="single" w:sz="4" w:space="0" w:color="auto"/>
            </w:tcBorders>
          </w:tcPr>
          <w:p w14:paraId="200139E8"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0.231 (0.048)</w:t>
            </w:r>
          </w:p>
        </w:tc>
        <w:tc>
          <w:tcPr>
            <w:tcW w:w="549" w:type="pct"/>
            <w:tcBorders>
              <w:bottom w:val="single" w:sz="4" w:space="0" w:color="auto"/>
            </w:tcBorders>
          </w:tcPr>
          <w:p w14:paraId="6A174D20"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2.02x10</w:t>
            </w:r>
            <w:r w:rsidRPr="007A0E3E">
              <w:rPr>
                <w:rFonts w:ascii="Times New Roman" w:hAnsi="Times New Roman" w:cs="Times New Roman"/>
                <w:sz w:val="20"/>
                <w:szCs w:val="20"/>
                <w:vertAlign w:val="superscript"/>
              </w:rPr>
              <w:t>-6</w:t>
            </w:r>
          </w:p>
        </w:tc>
        <w:tc>
          <w:tcPr>
            <w:tcW w:w="550" w:type="pct"/>
            <w:tcBorders>
              <w:bottom w:val="single" w:sz="4" w:space="0" w:color="auto"/>
            </w:tcBorders>
          </w:tcPr>
          <w:p w14:paraId="1AF6A848"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8.08x10</w:t>
            </w:r>
            <w:r w:rsidRPr="007A0E3E">
              <w:rPr>
                <w:rFonts w:ascii="Times New Roman" w:hAnsi="Times New Roman" w:cs="Times New Roman"/>
                <w:sz w:val="20"/>
                <w:szCs w:val="20"/>
                <w:vertAlign w:val="superscript"/>
              </w:rPr>
              <w:t>-6</w:t>
            </w:r>
          </w:p>
        </w:tc>
        <w:tc>
          <w:tcPr>
            <w:tcW w:w="442" w:type="pct"/>
            <w:tcBorders>
              <w:bottom w:val="single" w:sz="4" w:space="0" w:color="auto"/>
            </w:tcBorders>
          </w:tcPr>
          <w:p w14:paraId="03A29BF7"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0.043</w:t>
            </w:r>
          </w:p>
        </w:tc>
      </w:tr>
      <w:tr w:rsidR="0048716C" w:rsidRPr="007A0E3E" w14:paraId="792CF276" w14:textId="77777777" w:rsidTr="001F3DEB">
        <w:tc>
          <w:tcPr>
            <w:tcW w:w="811" w:type="pct"/>
            <w:tcBorders>
              <w:top w:val="single" w:sz="4" w:space="0" w:color="auto"/>
              <w:bottom w:val="single" w:sz="4" w:space="0" w:color="auto"/>
            </w:tcBorders>
          </w:tcPr>
          <w:p w14:paraId="68ED567C"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HI symptoms</w:t>
            </w:r>
          </w:p>
        </w:tc>
        <w:tc>
          <w:tcPr>
            <w:tcW w:w="610" w:type="pct"/>
            <w:tcBorders>
              <w:top w:val="single" w:sz="4" w:space="0" w:color="auto"/>
              <w:bottom w:val="single" w:sz="4" w:space="0" w:color="auto"/>
            </w:tcBorders>
          </w:tcPr>
          <w:p w14:paraId="741BC430"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0.188 (0.046)</w:t>
            </w:r>
          </w:p>
        </w:tc>
        <w:tc>
          <w:tcPr>
            <w:tcW w:w="461" w:type="pct"/>
            <w:tcBorders>
              <w:top w:val="single" w:sz="4" w:space="0" w:color="auto"/>
              <w:bottom w:val="single" w:sz="4" w:space="0" w:color="auto"/>
            </w:tcBorders>
          </w:tcPr>
          <w:p w14:paraId="684249EA"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5.2x10</w:t>
            </w:r>
            <w:r w:rsidRPr="007A0E3E">
              <w:rPr>
                <w:rFonts w:ascii="Times New Roman" w:hAnsi="Times New Roman" w:cs="Times New Roman"/>
                <w:sz w:val="20"/>
                <w:szCs w:val="20"/>
                <w:vertAlign w:val="superscript"/>
              </w:rPr>
              <w:t>-5</w:t>
            </w:r>
          </w:p>
        </w:tc>
        <w:tc>
          <w:tcPr>
            <w:tcW w:w="628" w:type="pct"/>
            <w:tcBorders>
              <w:top w:val="single" w:sz="4" w:space="0" w:color="auto"/>
              <w:bottom w:val="single" w:sz="4" w:space="0" w:color="auto"/>
            </w:tcBorders>
          </w:tcPr>
          <w:p w14:paraId="521A862D"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8.91x10</w:t>
            </w:r>
            <w:r w:rsidRPr="007A0E3E">
              <w:rPr>
                <w:rFonts w:ascii="Times New Roman" w:hAnsi="Times New Roman" w:cs="Times New Roman"/>
                <w:sz w:val="20"/>
                <w:szCs w:val="20"/>
                <w:vertAlign w:val="superscript"/>
              </w:rPr>
              <w:t>-5</w:t>
            </w:r>
          </w:p>
        </w:tc>
        <w:tc>
          <w:tcPr>
            <w:tcW w:w="385" w:type="pct"/>
            <w:tcBorders>
              <w:top w:val="single" w:sz="4" w:space="0" w:color="auto"/>
              <w:bottom w:val="single" w:sz="4" w:space="0" w:color="auto"/>
            </w:tcBorders>
          </w:tcPr>
          <w:p w14:paraId="5E9A42F7"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0.035</w:t>
            </w:r>
          </w:p>
        </w:tc>
        <w:tc>
          <w:tcPr>
            <w:tcW w:w="564" w:type="pct"/>
            <w:tcBorders>
              <w:top w:val="single" w:sz="4" w:space="0" w:color="auto"/>
              <w:bottom w:val="single" w:sz="4" w:space="0" w:color="auto"/>
            </w:tcBorders>
          </w:tcPr>
          <w:p w14:paraId="5F07D6AB"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0.278 (0.048)</w:t>
            </w:r>
          </w:p>
        </w:tc>
        <w:tc>
          <w:tcPr>
            <w:tcW w:w="549" w:type="pct"/>
            <w:tcBorders>
              <w:top w:val="single" w:sz="4" w:space="0" w:color="auto"/>
              <w:bottom w:val="single" w:sz="4" w:space="0" w:color="auto"/>
            </w:tcBorders>
          </w:tcPr>
          <w:p w14:paraId="4AC34F43"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1.71x10</w:t>
            </w:r>
            <w:r w:rsidRPr="007A0E3E">
              <w:rPr>
                <w:rFonts w:ascii="Times New Roman" w:hAnsi="Times New Roman" w:cs="Times New Roman"/>
                <w:sz w:val="20"/>
                <w:szCs w:val="20"/>
                <w:vertAlign w:val="superscript"/>
              </w:rPr>
              <w:t>-8</w:t>
            </w:r>
          </w:p>
        </w:tc>
        <w:tc>
          <w:tcPr>
            <w:tcW w:w="550" w:type="pct"/>
            <w:tcBorders>
              <w:top w:val="single" w:sz="4" w:space="0" w:color="auto"/>
              <w:bottom w:val="single" w:sz="4" w:space="0" w:color="auto"/>
            </w:tcBorders>
          </w:tcPr>
          <w:p w14:paraId="41C4A1D2"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2.05x10</w:t>
            </w:r>
            <w:r w:rsidRPr="007A0E3E">
              <w:rPr>
                <w:rFonts w:ascii="Times New Roman" w:hAnsi="Times New Roman" w:cs="Times New Roman"/>
                <w:sz w:val="20"/>
                <w:szCs w:val="20"/>
                <w:vertAlign w:val="superscript"/>
              </w:rPr>
              <w:t>-7</w:t>
            </w:r>
          </w:p>
        </w:tc>
        <w:tc>
          <w:tcPr>
            <w:tcW w:w="442" w:type="pct"/>
            <w:tcBorders>
              <w:top w:val="single" w:sz="4" w:space="0" w:color="auto"/>
              <w:bottom w:val="single" w:sz="4" w:space="0" w:color="auto"/>
            </w:tcBorders>
          </w:tcPr>
          <w:p w14:paraId="2F80BF05"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0.059</w:t>
            </w:r>
          </w:p>
        </w:tc>
      </w:tr>
    </w:tbl>
    <w:p w14:paraId="4C5E9C4A" w14:textId="77777777" w:rsidR="0048716C" w:rsidRPr="007A0E3E" w:rsidRDefault="0048716C" w:rsidP="0048716C">
      <w:pPr>
        <w:rPr>
          <w:rFonts w:ascii="Times New Roman" w:hAnsi="Times New Roman" w:cs="Times New Roman"/>
          <w:sz w:val="20"/>
          <w:szCs w:val="20"/>
          <w:lang w:val="nl-NL"/>
        </w:rPr>
      </w:pPr>
    </w:p>
    <w:p w14:paraId="649EB3CC" w14:textId="77777777" w:rsidR="0048716C" w:rsidRPr="007A0E3E" w:rsidRDefault="0048716C" w:rsidP="0048716C">
      <w:pPr>
        <w:rPr>
          <w:rFonts w:ascii="Times New Roman" w:hAnsi="Times New Roman" w:cs="Times New Roman"/>
          <w:i/>
          <w:iCs/>
          <w:sz w:val="20"/>
          <w:szCs w:val="20"/>
        </w:rPr>
      </w:pPr>
      <w:r w:rsidRPr="007A0E3E">
        <w:rPr>
          <w:rFonts w:ascii="Times New Roman" w:hAnsi="Times New Roman" w:cs="Times New Roman"/>
          <w:i/>
          <w:iCs/>
          <w:sz w:val="20"/>
          <w:szCs w:val="20"/>
        </w:rPr>
        <w:br w:type="page"/>
      </w:r>
    </w:p>
    <w:p w14:paraId="37648F0C" w14:textId="6DBD35E4" w:rsidR="0048716C" w:rsidRPr="007A0E3E" w:rsidRDefault="0048716C" w:rsidP="0048716C">
      <w:pPr>
        <w:rPr>
          <w:rFonts w:ascii="Times New Roman" w:hAnsi="Times New Roman" w:cs="Times New Roman"/>
          <w:sz w:val="20"/>
          <w:szCs w:val="20"/>
        </w:rPr>
      </w:pPr>
      <w:r w:rsidRPr="007A0E3E">
        <w:rPr>
          <w:rFonts w:ascii="Times New Roman" w:hAnsi="Times New Roman" w:cs="Times New Roman"/>
          <w:sz w:val="20"/>
          <w:szCs w:val="20"/>
        </w:rPr>
        <w:lastRenderedPageBreak/>
        <w:t>Supplementary Table 5 The associations between neural correlates of response inhibition and ADHD symptoms, controlling for PRS-ADHD.</w:t>
      </w:r>
    </w:p>
    <w:tbl>
      <w:tblPr>
        <w:tblStyle w:val="TableGrid"/>
        <w:tblW w:w="5000" w:type="pct"/>
        <w:tblBorders>
          <w:left w:val="none" w:sz="0" w:space="0" w:color="auto"/>
          <w:right w:val="none" w:sz="0" w:space="0" w:color="auto"/>
        </w:tblBorders>
        <w:tblLayout w:type="fixed"/>
        <w:tblLook w:val="04A0" w:firstRow="1" w:lastRow="0" w:firstColumn="1" w:lastColumn="0" w:noHBand="0" w:noVBand="1"/>
      </w:tblPr>
      <w:tblGrid>
        <w:gridCol w:w="2265"/>
        <w:gridCol w:w="1703"/>
        <w:gridCol w:w="1287"/>
        <w:gridCol w:w="1753"/>
        <w:gridCol w:w="932"/>
        <w:gridCol w:w="1842"/>
        <w:gridCol w:w="1407"/>
        <w:gridCol w:w="1535"/>
        <w:gridCol w:w="1234"/>
      </w:tblGrid>
      <w:tr w:rsidR="0048716C" w:rsidRPr="007A0E3E" w14:paraId="5C03CE62" w14:textId="77777777" w:rsidTr="001F3DEB">
        <w:tc>
          <w:tcPr>
            <w:tcW w:w="811" w:type="pct"/>
            <w:vMerge w:val="restart"/>
          </w:tcPr>
          <w:p w14:paraId="27D09574" w14:textId="77777777" w:rsidR="0048716C" w:rsidRPr="007A0E3E" w:rsidRDefault="0048716C" w:rsidP="001F3DEB">
            <w:pPr>
              <w:rPr>
                <w:rFonts w:ascii="Times New Roman" w:hAnsi="Times New Roman" w:cs="Times New Roman"/>
                <w:sz w:val="20"/>
                <w:szCs w:val="20"/>
              </w:rPr>
            </w:pPr>
          </w:p>
        </w:tc>
        <w:tc>
          <w:tcPr>
            <w:tcW w:w="4189" w:type="pct"/>
            <w:gridSpan w:val="8"/>
          </w:tcPr>
          <w:p w14:paraId="080251AB"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Regressing dependent variable on independent variable and mediator</w:t>
            </w:r>
          </w:p>
        </w:tc>
      </w:tr>
      <w:tr w:rsidR="0048716C" w:rsidRPr="007A0E3E" w14:paraId="3D1CE681" w14:textId="77777777" w:rsidTr="001F3DEB">
        <w:tc>
          <w:tcPr>
            <w:tcW w:w="811" w:type="pct"/>
            <w:vMerge/>
          </w:tcPr>
          <w:p w14:paraId="19116776" w14:textId="77777777" w:rsidR="0048716C" w:rsidRPr="007A0E3E" w:rsidRDefault="0048716C" w:rsidP="001F3DEB">
            <w:pPr>
              <w:rPr>
                <w:rFonts w:ascii="Times New Roman" w:hAnsi="Times New Roman" w:cs="Times New Roman"/>
                <w:sz w:val="20"/>
                <w:szCs w:val="20"/>
              </w:rPr>
            </w:pPr>
          </w:p>
        </w:tc>
        <w:tc>
          <w:tcPr>
            <w:tcW w:w="2033" w:type="pct"/>
            <w:gridSpan w:val="4"/>
          </w:tcPr>
          <w:p w14:paraId="4BBAD5E2"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Independent variable (IV): PRS PT1</w:t>
            </w:r>
          </w:p>
        </w:tc>
        <w:tc>
          <w:tcPr>
            <w:tcW w:w="2156" w:type="pct"/>
            <w:gridSpan w:val="4"/>
          </w:tcPr>
          <w:p w14:paraId="59AC2BE5"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 xml:space="preserve">Mediator (M): Left </w:t>
            </w:r>
            <w:proofErr w:type="spellStart"/>
            <w:r w:rsidRPr="007A0E3E">
              <w:rPr>
                <w:rFonts w:ascii="Times New Roman" w:hAnsi="Times New Roman" w:cs="Times New Roman"/>
                <w:sz w:val="20"/>
                <w:szCs w:val="20"/>
              </w:rPr>
              <w:t>fronto</w:t>
            </w:r>
            <w:proofErr w:type="spellEnd"/>
            <w:r w:rsidRPr="007A0E3E">
              <w:rPr>
                <w:rFonts w:ascii="Times New Roman" w:hAnsi="Times New Roman" w:cs="Times New Roman"/>
                <w:sz w:val="20"/>
                <w:szCs w:val="20"/>
              </w:rPr>
              <w:t>-insular regions and putamen (Successful inhibition – go)</w:t>
            </w:r>
          </w:p>
        </w:tc>
      </w:tr>
      <w:tr w:rsidR="0048716C" w:rsidRPr="007A0E3E" w14:paraId="2B746D10" w14:textId="77777777" w:rsidTr="001F3DEB">
        <w:tc>
          <w:tcPr>
            <w:tcW w:w="811" w:type="pct"/>
          </w:tcPr>
          <w:p w14:paraId="18C3B570"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Dependent variable</w:t>
            </w:r>
          </w:p>
        </w:tc>
        <w:tc>
          <w:tcPr>
            <w:tcW w:w="610" w:type="pct"/>
          </w:tcPr>
          <w:p w14:paraId="2714439C" w14:textId="77777777" w:rsidR="0048716C" w:rsidRPr="007A0E3E" w:rsidRDefault="0048716C" w:rsidP="001F3DEB">
            <w:pPr>
              <w:rPr>
                <w:rFonts w:ascii="Times New Roman" w:hAnsi="Times New Roman" w:cs="Times New Roman"/>
                <w:sz w:val="20"/>
                <w:szCs w:val="20"/>
              </w:rPr>
            </w:pPr>
            <w:r w:rsidRPr="007A0E3E">
              <w:rPr>
                <w:rFonts w:ascii="Times New Roman" w:eastAsia="Times New Roman" w:hAnsi="Times New Roman" w:cs="Times New Roman"/>
                <w:color w:val="000000"/>
                <w:sz w:val="20"/>
                <w:szCs w:val="20"/>
                <w:lang w:val="nl-NL" w:eastAsia="nl-NL"/>
              </w:rPr>
              <w:t>β (SE)</w:t>
            </w:r>
          </w:p>
        </w:tc>
        <w:tc>
          <w:tcPr>
            <w:tcW w:w="461" w:type="pct"/>
          </w:tcPr>
          <w:p w14:paraId="4F727ACF"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p-</w:t>
            </w:r>
            <w:proofErr w:type="spellStart"/>
            <w:r w:rsidRPr="007A0E3E">
              <w:rPr>
                <w:rFonts w:ascii="Times New Roman" w:hAnsi="Times New Roman" w:cs="Times New Roman"/>
                <w:sz w:val="20"/>
                <w:szCs w:val="20"/>
              </w:rPr>
              <w:t>uncor</w:t>
            </w:r>
            <w:proofErr w:type="spellEnd"/>
          </w:p>
        </w:tc>
        <w:tc>
          <w:tcPr>
            <w:tcW w:w="628" w:type="pct"/>
          </w:tcPr>
          <w:p w14:paraId="75DE2772"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p-FDR</w:t>
            </w:r>
          </w:p>
        </w:tc>
        <w:tc>
          <w:tcPr>
            <w:tcW w:w="334" w:type="pct"/>
          </w:tcPr>
          <w:p w14:paraId="669C2EDB"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R</w:t>
            </w:r>
            <w:r w:rsidRPr="007A0E3E">
              <w:rPr>
                <w:rFonts w:ascii="Times New Roman" w:hAnsi="Times New Roman" w:cs="Times New Roman"/>
                <w:sz w:val="20"/>
                <w:szCs w:val="20"/>
                <w:vertAlign w:val="superscript"/>
              </w:rPr>
              <w:t>2</w:t>
            </w:r>
            <w:r w:rsidRPr="007A0E3E">
              <w:rPr>
                <w:rFonts w:ascii="Times New Roman" w:hAnsi="Times New Roman" w:cs="Times New Roman"/>
                <w:sz w:val="20"/>
                <w:szCs w:val="20"/>
              </w:rPr>
              <w:t>-IV</w:t>
            </w:r>
          </w:p>
        </w:tc>
        <w:tc>
          <w:tcPr>
            <w:tcW w:w="660" w:type="pct"/>
          </w:tcPr>
          <w:p w14:paraId="10BE7DE0" w14:textId="77777777" w:rsidR="0048716C" w:rsidRPr="007A0E3E" w:rsidRDefault="0048716C" w:rsidP="001F3DEB">
            <w:pPr>
              <w:rPr>
                <w:rFonts w:ascii="Times New Roman" w:hAnsi="Times New Roman" w:cs="Times New Roman"/>
                <w:sz w:val="20"/>
                <w:szCs w:val="20"/>
              </w:rPr>
            </w:pPr>
            <w:r w:rsidRPr="007A0E3E">
              <w:rPr>
                <w:rFonts w:ascii="Times New Roman" w:eastAsia="Times New Roman" w:hAnsi="Times New Roman" w:cs="Times New Roman"/>
                <w:color w:val="000000"/>
                <w:sz w:val="20"/>
                <w:szCs w:val="20"/>
                <w:lang w:val="nl-NL" w:eastAsia="nl-NL"/>
              </w:rPr>
              <w:t>β (SE)</w:t>
            </w:r>
          </w:p>
        </w:tc>
        <w:tc>
          <w:tcPr>
            <w:tcW w:w="504" w:type="pct"/>
          </w:tcPr>
          <w:p w14:paraId="76EFA694"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p-</w:t>
            </w:r>
            <w:proofErr w:type="spellStart"/>
            <w:r w:rsidRPr="007A0E3E">
              <w:rPr>
                <w:rFonts w:ascii="Times New Roman" w:hAnsi="Times New Roman" w:cs="Times New Roman"/>
                <w:sz w:val="20"/>
                <w:szCs w:val="20"/>
              </w:rPr>
              <w:t>uncor</w:t>
            </w:r>
            <w:proofErr w:type="spellEnd"/>
          </w:p>
        </w:tc>
        <w:tc>
          <w:tcPr>
            <w:tcW w:w="550" w:type="pct"/>
          </w:tcPr>
          <w:p w14:paraId="62D68269"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p-FDR</w:t>
            </w:r>
          </w:p>
        </w:tc>
        <w:tc>
          <w:tcPr>
            <w:tcW w:w="442" w:type="pct"/>
          </w:tcPr>
          <w:p w14:paraId="5A55DFB8"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R</w:t>
            </w:r>
            <w:r w:rsidRPr="007A0E3E">
              <w:rPr>
                <w:rFonts w:ascii="Times New Roman" w:hAnsi="Times New Roman" w:cs="Times New Roman"/>
                <w:sz w:val="20"/>
                <w:szCs w:val="20"/>
                <w:vertAlign w:val="superscript"/>
              </w:rPr>
              <w:t>2</w:t>
            </w:r>
            <w:r w:rsidRPr="007A0E3E">
              <w:rPr>
                <w:rFonts w:ascii="Times New Roman" w:hAnsi="Times New Roman" w:cs="Times New Roman"/>
                <w:sz w:val="20"/>
                <w:szCs w:val="20"/>
              </w:rPr>
              <w:t>-M</w:t>
            </w:r>
          </w:p>
        </w:tc>
      </w:tr>
      <w:tr w:rsidR="0048716C" w:rsidRPr="007A0E3E" w14:paraId="424B0B66" w14:textId="77777777" w:rsidTr="001F3DEB">
        <w:tc>
          <w:tcPr>
            <w:tcW w:w="811" w:type="pct"/>
          </w:tcPr>
          <w:p w14:paraId="2C88C2C6"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Total symptoms</w:t>
            </w:r>
          </w:p>
        </w:tc>
        <w:tc>
          <w:tcPr>
            <w:tcW w:w="610" w:type="pct"/>
          </w:tcPr>
          <w:p w14:paraId="15A4F61B"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0.238 (0.048)</w:t>
            </w:r>
          </w:p>
        </w:tc>
        <w:tc>
          <w:tcPr>
            <w:tcW w:w="461" w:type="pct"/>
          </w:tcPr>
          <w:p w14:paraId="74822AEB"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1.12x10</w:t>
            </w:r>
            <w:r w:rsidRPr="007A0E3E">
              <w:rPr>
                <w:rFonts w:ascii="Times New Roman" w:hAnsi="Times New Roman" w:cs="Times New Roman"/>
                <w:sz w:val="20"/>
                <w:szCs w:val="20"/>
                <w:vertAlign w:val="superscript"/>
              </w:rPr>
              <w:t>-6</w:t>
            </w:r>
          </w:p>
        </w:tc>
        <w:tc>
          <w:tcPr>
            <w:tcW w:w="628" w:type="pct"/>
          </w:tcPr>
          <w:p w14:paraId="40B573A8"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1.12x10</w:t>
            </w:r>
            <w:r w:rsidRPr="007A0E3E">
              <w:rPr>
                <w:rFonts w:ascii="Times New Roman" w:hAnsi="Times New Roman" w:cs="Times New Roman"/>
                <w:sz w:val="20"/>
                <w:szCs w:val="20"/>
                <w:vertAlign w:val="superscript"/>
              </w:rPr>
              <w:t>-5</w:t>
            </w:r>
          </w:p>
        </w:tc>
        <w:tc>
          <w:tcPr>
            <w:tcW w:w="334" w:type="pct"/>
          </w:tcPr>
          <w:p w14:paraId="0C22B84B"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0.05</w:t>
            </w:r>
          </w:p>
        </w:tc>
        <w:tc>
          <w:tcPr>
            <w:tcW w:w="660" w:type="pct"/>
          </w:tcPr>
          <w:p w14:paraId="2B04DAEE"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0.072 (0.045)</w:t>
            </w:r>
          </w:p>
        </w:tc>
        <w:tc>
          <w:tcPr>
            <w:tcW w:w="504" w:type="pct"/>
          </w:tcPr>
          <w:p w14:paraId="744FB373"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0.116</w:t>
            </w:r>
          </w:p>
        </w:tc>
        <w:tc>
          <w:tcPr>
            <w:tcW w:w="550" w:type="pct"/>
          </w:tcPr>
          <w:p w14:paraId="30A43E8F"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0.183</w:t>
            </w:r>
          </w:p>
        </w:tc>
        <w:tc>
          <w:tcPr>
            <w:tcW w:w="442" w:type="pct"/>
          </w:tcPr>
          <w:p w14:paraId="2800D07D"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0.005</w:t>
            </w:r>
          </w:p>
        </w:tc>
      </w:tr>
      <w:tr w:rsidR="0048716C" w:rsidRPr="007A0E3E" w14:paraId="6B9E5EF7" w14:textId="77777777" w:rsidTr="001F3DEB">
        <w:tc>
          <w:tcPr>
            <w:tcW w:w="811" w:type="pct"/>
          </w:tcPr>
          <w:p w14:paraId="5401268A"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IA symptoms</w:t>
            </w:r>
          </w:p>
        </w:tc>
        <w:tc>
          <w:tcPr>
            <w:tcW w:w="610" w:type="pct"/>
          </w:tcPr>
          <w:p w14:paraId="4B3057D8"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0.213 (0.047)</w:t>
            </w:r>
          </w:p>
        </w:tc>
        <w:tc>
          <w:tcPr>
            <w:tcW w:w="461" w:type="pct"/>
          </w:tcPr>
          <w:p w14:paraId="18A6DFE6"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8.88x10</w:t>
            </w:r>
            <w:r w:rsidRPr="007A0E3E">
              <w:rPr>
                <w:rFonts w:ascii="Times New Roman" w:hAnsi="Times New Roman" w:cs="Times New Roman"/>
                <w:sz w:val="20"/>
                <w:szCs w:val="20"/>
                <w:vertAlign w:val="superscript"/>
              </w:rPr>
              <w:t>-6</w:t>
            </w:r>
          </w:p>
        </w:tc>
        <w:tc>
          <w:tcPr>
            <w:tcW w:w="628" w:type="pct"/>
          </w:tcPr>
          <w:p w14:paraId="54E839A5"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2.96x10</w:t>
            </w:r>
            <w:r w:rsidRPr="007A0E3E">
              <w:rPr>
                <w:rFonts w:ascii="Times New Roman" w:hAnsi="Times New Roman" w:cs="Times New Roman"/>
                <w:sz w:val="20"/>
                <w:szCs w:val="20"/>
                <w:vertAlign w:val="superscript"/>
              </w:rPr>
              <w:t>-5</w:t>
            </w:r>
          </w:p>
        </w:tc>
        <w:tc>
          <w:tcPr>
            <w:tcW w:w="334" w:type="pct"/>
          </w:tcPr>
          <w:p w14:paraId="6BF84688"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0.041</w:t>
            </w:r>
          </w:p>
        </w:tc>
        <w:tc>
          <w:tcPr>
            <w:tcW w:w="660" w:type="pct"/>
          </w:tcPr>
          <w:p w14:paraId="2EB6B636"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0.062 (0.044)</w:t>
            </w:r>
          </w:p>
        </w:tc>
        <w:tc>
          <w:tcPr>
            <w:tcW w:w="504" w:type="pct"/>
          </w:tcPr>
          <w:p w14:paraId="3278F130"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0.163</w:t>
            </w:r>
          </w:p>
        </w:tc>
        <w:tc>
          <w:tcPr>
            <w:tcW w:w="550" w:type="pct"/>
          </w:tcPr>
          <w:p w14:paraId="64C9816C"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0.233</w:t>
            </w:r>
          </w:p>
        </w:tc>
        <w:tc>
          <w:tcPr>
            <w:tcW w:w="442" w:type="pct"/>
          </w:tcPr>
          <w:p w14:paraId="2176F4E9"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0.004</w:t>
            </w:r>
          </w:p>
        </w:tc>
      </w:tr>
      <w:tr w:rsidR="0048716C" w:rsidRPr="007A0E3E" w14:paraId="7675FB55" w14:textId="77777777" w:rsidTr="001F3DEB">
        <w:tc>
          <w:tcPr>
            <w:tcW w:w="811" w:type="pct"/>
          </w:tcPr>
          <w:p w14:paraId="35AE1F25"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HI symptoms</w:t>
            </w:r>
          </w:p>
        </w:tc>
        <w:tc>
          <w:tcPr>
            <w:tcW w:w="610" w:type="pct"/>
          </w:tcPr>
          <w:p w14:paraId="73ED9A31"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0.233 (0.048)</w:t>
            </w:r>
          </w:p>
        </w:tc>
        <w:tc>
          <w:tcPr>
            <w:tcW w:w="461" w:type="pct"/>
          </w:tcPr>
          <w:p w14:paraId="7D413C23"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2.19x10</w:t>
            </w:r>
            <w:r w:rsidRPr="007A0E3E">
              <w:rPr>
                <w:rFonts w:ascii="Times New Roman" w:hAnsi="Times New Roman" w:cs="Times New Roman"/>
                <w:sz w:val="20"/>
                <w:szCs w:val="20"/>
                <w:vertAlign w:val="superscript"/>
              </w:rPr>
              <w:t>-6</w:t>
            </w:r>
          </w:p>
        </w:tc>
        <w:tc>
          <w:tcPr>
            <w:tcW w:w="628" w:type="pct"/>
          </w:tcPr>
          <w:p w14:paraId="4AAD121C"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1.64x10</w:t>
            </w:r>
            <w:r w:rsidRPr="007A0E3E">
              <w:rPr>
                <w:rFonts w:ascii="Times New Roman" w:hAnsi="Times New Roman" w:cs="Times New Roman"/>
                <w:sz w:val="20"/>
                <w:szCs w:val="20"/>
                <w:vertAlign w:val="superscript"/>
              </w:rPr>
              <w:t>-5</w:t>
            </w:r>
          </w:p>
        </w:tc>
        <w:tc>
          <w:tcPr>
            <w:tcW w:w="334" w:type="pct"/>
          </w:tcPr>
          <w:p w14:paraId="6C9C9EB3"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0.048</w:t>
            </w:r>
          </w:p>
        </w:tc>
        <w:tc>
          <w:tcPr>
            <w:tcW w:w="660" w:type="pct"/>
          </w:tcPr>
          <w:p w14:paraId="4F8133C2"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0.049 (0.046)</w:t>
            </w:r>
          </w:p>
        </w:tc>
        <w:tc>
          <w:tcPr>
            <w:tcW w:w="504" w:type="pct"/>
          </w:tcPr>
          <w:p w14:paraId="2AAB87B3"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0.286</w:t>
            </w:r>
          </w:p>
        </w:tc>
        <w:tc>
          <w:tcPr>
            <w:tcW w:w="550" w:type="pct"/>
          </w:tcPr>
          <w:p w14:paraId="118198ED"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0.343</w:t>
            </w:r>
          </w:p>
        </w:tc>
        <w:tc>
          <w:tcPr>
            <w:tcW w:w="442" w:type="pct"/>
          </w:tcPr>
          <w:p w14:paraId="33D466BC"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0.003</w:t>
            </w:r>
          </w:p>
        </w:tc>
      </w:tr>
      <w:tr w:rsidR="0048716C" w:rsidRPr="007A0E3E" w14:paraId="1304C707" w14:textId="77777777" w:rsidTr="001F3DEB">
        <w:tc>
          <w:tcPr>
            <w:tcW w:w="811" w:type="pct"/>
          </w:tcPr>
          <w:p w14:paraId="2737DF32" w14:textId="77777777" w:rsidR="0048716C" w:rsidRPr="007A0E3E" w:rsidRDefault="0048716C" w:rsidP="001F3DEB">
            <w:pPr>
              <w:rPr>
                <w:rFonts w:ascii="Times New Roman" w:hAnsi="Times New Roman" w:cs="Times New Roman"/>
                <w:sz w:val="20"/>
                <w:szCs w:val="20"/>
              </w:rPr>
            </w:pPr>
          </w:p>
        </w:tc>
        <w:tc>
          <w:tcPr>
            <w:tcW w:w="2033" w:type="pct"/>
            <w:gridSpan w:val="4"/>
          </w:tcPr>
          <w:p w14:paraId="257A499F"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Independent variable (IV): PRS PT1</w:t>
            </w:r>
          </w:p>
        </w:tc>
        <w:tc>
          <w:tcPr>
            <w:tcW w:w="2156" w:type="pct"/>
            <w:gridSpan w:val="4"/>
          </w:tcPr>
          <w:p w14:paraId="5F67250A"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Mediator (M): Left temporal pole and anterior PHG (Failed inhibition – go)</w:t>
            </w:r>
          </w:p>
        </w:tc>
      </w:tr>
      <w:tr w:rsidR="0048716C" w:rsidRPr="007A0E3E" w14:paraId="3DF606F7" w14:textId="77777777" w:rsidTr="001F3DEB">
        <w:tc>
          <w:tcPr>
            <w:tcW w:w="811" w:type="pct"/>
          </w:tcPr>
          <w:p w14:paraId="39541B94"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Dependent variable</w:t>
            </w:r>
          </w:p>
        </w:tc>
        <w:tc>
          <w:tcPr>
            <w:tcW w:w="610" w:type="pct"/>
          </w:tcPr>
          <w:p w14:paraId="6AB2D3E8" w14:textId="77777777" w:rsidR="0048716C" w:rsidRPr="007A0E3E" w:rsidRDefault="0048716C" w:rsidP="001F3DEB">
            <w:pPr>
              <w:rPr>
                <w:rFonts w:ascii="Times New Roman" w:hAnsi="Times New Roman" w:cs="Times New Roman"/>
                <w:sz w:val="20"/>
                <w:szCs w:val="20"/>
              </w:rPr>
            </w:pPr>
            <w:r w:rsidRPr="007A0E3E">
              <w:rPr>
                <w:rFonts w:ascii="Times New Roman" w:eastAsia="Times New Roman" w:hAnsi="Times New Roman" w:cs="Times New Roman"/>
                <w:color w:val="000000"/>
                <w:sz w:val="20"/>
                <w:szCs w:val="20"/>
                <w:lang w:val="nl-NL" w:eastAsia="nl-NL"/>
              </w:rPr>
              <w:t>β (SE)</w:t>
            </w:r>
          </w:p>
        </w:tc>
        <w:tc>
          <w:tcPr>
            <w:tcW w:w="461" w:type="pct"/>
          </w:tcPr>
          <w:p w14:paraId="69784EA2"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p-</w:t>
            </w:r>
            <w:proofErr w:type="spellStart"/>
            <w:r w:rsidRPr="007A0E3E">
              <w:rPr>
                <w:rFonts w:ascii="Times New Roman" w:hAnsi="Times New Roman" w:cs="Times New Roman"/>
                <w:sz w:val="20"/>
                <w:szCs w:val="20"/>
              </w:rPr>
              <w:t>uncor</w:t>
            </w:r>
            <w:proofErr w:type="spellEnd"/>
          </w:p>
        </w:tc>
        <w:tc>
          <w:tcPr>
            <w:tcW w:w="628" w:type="pct"/>
          </w:tcPr>
          <w:p w14:paraId="476D9782"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p-FDR</w:t>
            </w:r>
          </w:p>
        </w:tc>
        <w:tc>
          <w:tcPr>
            <w:tcW w:w="334" w:type="pct"/>
          </w:tcPr>
          <w:p w14:paraId="525A3D54"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R</w:t>
            </w:r>
            <w:r w:rsidRPr="007A0E3E">
              <w:rPr>
                <w:rFonts w:ascii="Times New Roman" w:hAnsi="Times New Roman" w:cs="Times New Roman"/>
                <w:sz w:val="20"/>
                <w:szCs w:val="20"/>
                <w:vertAlign w:val="superscript"/>
              </w:rPr>
              <w:t>2</w:t>
            </w:r>
            <w:r w:rsidRPr="007A0E3E">
              <w:rPr>
                <w:rFonts w:ascii="Times New Roman" w:hAnsi="Times New Roman" w:cs="Times New Roman"/>
                <w:sz w:val="20"/>
                <w:szCs w:val="20"/>
              </w:rPr>
              <w:t>-IV</w:t>
            </w:r>
          </w:p>
        </w:tc>
        <w:tc>
          <w:tcPr>
            <w:tcW w:w="660" w:type="pct"/>
          </w:tcPr>
          <w:p w14:paraId="6AEF96F4" w14:textId="77777777" w:rsidR="0048716C" w:rsidRPr="007A0E3E" w:rsidRDefault="0048716C" w:rsidP="001F3DEB">
            <w:pPr>
              <w:rPr>
                <w:rFonts w:ascii="Times New Roman" w:hAnsi="Times New Roman" w:cs="Times New Roman"/>
                <w:sz w:val="20"/>
                <w:szCs w:val="20"/>
              </w:rPr>
            </w:pPr>
            <w:r w:rsidRPr="007A0E3E">
              <w:rPr>
                <w:rFonts w:ascii="Times New Roman" w:eastAsia="Times New Roman" w:hAnsi="Times New Roman" w:cs="Times New Roman"/>
                <w:color w:val="000000"/>
                <w:sz w:val="20"/>
                <w:szCs w:val="20"/>
                <w:lang w:val="nl-NL" w:eastAsia="nl-NL"/>
              </w:rPr>
              <w:t>β (SE)</w:t>
            </w:r>
          </w:p>
        </w:tc>
        <w:tc>
          <w:tcPr>
            <w:tcW w:w="504" w:type="pct"/>
          </w:tcPr>
          <w:p w14:paraId="047F0DDF"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p-</w:t>
            </w:r>
            <w:proofErr w:type="spellStart"/>
            <w:r w:rsidRPr="007A0E3E">
              <w:rPr>
                <w:rFonts w:ascii="Times New Roman" w:hAnsi="Times New Roman" w:cs="Times New Roman"/>
                <w:sz w:val="20"/>
                <w:szCs w:val="20"/>
              </w:rPr>
              <w:t>uncor</w:t>
            </w:r>
            <w:proofErr w:type="spellEnd"/>
          </w:p>
        </w:tc>
        <w:tc>
          <w:tcPr>
            <w:tcW w:w="550" w:type="pct"/>
          </w:tcPr>
          <w:p w14:paraId="1943E7F9"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p-FDR</w:t>
            </w:r>
          </w:p>
        </w:tc>
        <w:tc>
          <w:tcPr>
            <w:tcW w:w="442" w:type="pct"/>
          </w:tcPr>
          <w:p w14:paraId="5D270BA1"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R</w:t>
            </w:r>
            <w:r w:rsidRPr="007A0E3E">
              <w:rPr>
                <w:rFonts w:ascii="Times New Roman" w:hAnsi="Times New Roman" w:cs="Times New Roman"/>
                <w:sz w:val="20"/>
                <w:szCs w:val="20"/>
                <w:vertAlign w:val="superscript"/>
              </w:rPr>
              <w:t>2</w:t>
            </w:r>
            <w:r w:rsidRPr="007A0E3E">
              <w:rPr>
                <w:rFonts w:ascii="Times New Roman" w:hAnsi="Times New Roman" w:cs="Times New Roman"/>
                <w:sz w:val="20"/>
                <w:szCs w:val="20"/>
              </w:rPr>
              <w:t>-M</w:t>
            </w:r>
          </w:p>
        </w:tc>
      </w:tr>
      <w:tr w:rsidR="0048716C" w:rsidRPr="007A0E3E" w14:paraId="7EF8D44F" w14:textId="77777777" w:rsidTr="001F3DEB">
        <w:tc>
          <w:tcPr>
            <w:tcW w:w="811" w:type="pct"/>
          </w:tcPr>
          <w:p w14:paraId="227605A7"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Total symptoms</w:t>
            </w:r>
          </w:p>
        </w:tc>
        <w:tc>
          <w:tcPr>
            <w:tcW w:w="610" w:type="pct"/>
          </w:tcPr>
          <w:p w14:paraId="24C39BEE"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0.239 (0.048)</w:t>
            </w:r>
          </w:p>
        </w:tc>
        <w:tc>
          <w:tcPr>
            <w:tcW w:w="461" w:type="pct"/>
          </w:tcPr>
          <w:p w14:paraId="7F41BF24"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9.01x10</w:t>
            </w:r>
            <w:r w:rsidRPr="007A0E3E">
              <w:rPr>
                <w:rFonts w:ascii="Times New Roman" w:hAnsi="Times New Roman" w:cs="Times New Roman"/>
                <w:sz w:val="20"/>
                <w:szCs w:val="20"/>
                <w:vertAlign w:val="superscript"/>
              </w:rPr>
              <w:t>-7</w:t>
            </w:r>
          </w:p>
        </w:tc>
        <w:tc>
          <w:tcPr>
            <w:tcW w:w="628" w:type="pct"/>
          </w:tcPr>
          <w:p w14:paraId="184EC570"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1.12x10</w:t>
            </w:r>
            <w:r w:rsidRPr="007A0E3E">
              <w:rPr>
                <w:rFonts w:ascii="Times New Roman" w:hAnsi="Times New Roman" w:cs="Times New Roman"/>
                <w:sz w:val="20"/>
                <w:szCs w:val="20"/>
                <w:vertAlign w:val="superscript"/>
              </w:rPr>
              <w:t>-5</w:t>
            </w:r>
          </w:p>
        </w:tc>
        <w:tc>
          <w:tcPr>
            <w:tcW w:w="334" w:type="pct"/>
          </w:tcPr>
          <w:p w14:paraId="20F908D2"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0.051</w:t>
            </w:r>
          </w:p>
        </w:tc>
        <w:tc>
          <w:tcPr>
            <w:tcW w:w="660" w:type="pct"/>
          </w:tcPr>
          <w:p w14:paraId="0CD41D6F"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-0.081 (0.046)</w:t>
            </w:r>
          </w:p>
        </w:tc>
        <w:tc>
          <w:tcPr>
            <w:tcW w:w="504" w:type="pct"/>
          </w:tcPr>
          <w:p w14:paraId="4079E731"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0.082</w:t>
            </w:r>
          </w:p>
        </w:tc>
        <w:tc>
          <w:tcPr>
            <w:tcW w:w="550" w:type="pct"/>
          </w:tcPr>
          <w:p w14:paraId="1FA721AA"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0.145</w:t>
            </w:r>
          </w:p>
        </w:tc>
        <w:tc>
          <w:tcPr>
            <w:tcW w:w="442" w:type="pct"/>
          </w:tcPr>
          <w:p w14:paraId="69C32895"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0.007</w:t>
            </w:r>
          </w:p>
        </w:tc>
      </w:tr>
      <w:tr w:rsidR="0048716C" w:rsidRPr="007A0E3E" w14:paraId="3D9F4DD3" w14:textId="77777777" w:rsidTr="001F3DEB">
        <w:tc>
          <w:tcPr>
            <w:tcW w:w="811" w:type="pct"/>
          </w:tcPr>
          <w:p w14:paraId="2AF5E864"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IA symptoms</w:t>
            </w:r>
          </w:p>
        </w:tc>
        <w:tc>
          <w:tcPr>
            <w:tcW w:w="610" w:type="pct"/>
          </w:tcPr>
          <w:p w14:paraId="36E10A63"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0.213 (0.047)</w:t>
            </w:r>
          </w:p>
        </w:tc>
        <w:tc>
          <w:tcPr>
            <w:tcW w:w="461" w:type="pct"/>
          </w:tcPr>
          <w:p w14:paraId="72584B6F"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7.74x10</w:t>
            </w:r>
            <w:r w:rsidRPr="007A0E3E">
              <w:rPr>
                <w:rFonts w:ascii="Times New Roman" w:hAnsi="Times New Roman" w:cs="Times New Roman"/>
                <w:sz w:val="20"/>
                <w:szCs w:val="20"/>
                <w:vertAlign w:val="superscript"/>
              </w:rPr>
              <w:t>-6</w:t>
            </w:r>
          </w:p>
        </w:tc>
        <w:tc>
          <w:tcPr>
            <w:tcW w:w="628" w:type="pct"/>
          </w:tcPr>
          <w:p w14:paraId="4052C880"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2.9x10</w:t>
            </w:r>
            <w:r w:rsidRPr="007A0E3E">
              <w:rPr>
                <w:rFonts w:ascii="Times New Roman" w:hAnsi="Times New Roman" w:cs="Times New Roman"/>
                <w:sz w:val="20"/>
                <w:szCs w:val="20"/>
                <w:vertAlign w:val="superscript"/>
              </w:rPr>
              <w:t>-5</w:t>
            </w:r>
          </w:p>
        </w:tc>
        <w:tc>
          <w:tcPr>
            <w:tcW w:w="334" w:type="pct"/>
          </w:tcPr>
          <w:p w14:paraId="42E2B4FC"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0.041</w:t>
            </w:r>
          </w:p>
        </w:tc>
        <w:tc>
          <w:tcPr>
            <w:tcW w:w="660" w:type="pct"/>
          </w:tcPr>
          <w:p w14:paraId="0E460343"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-0.07 (0.045)</w:t>
            </w:r>
          </w:p>
        </w:tc>
        <w:tc>
          <w:tcPr>
            <w:tcW w:w="504" w:type="pct"/>
          </w:tcPr>
          <w:p w14:paraId="2EF7E168"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0.124</w:t>
            </w:r>
          </w:p>
        </w:tc>
        <w:tc>
          <w:tcPr>
            <w:tcW w:w="550" w:type="pct"/>
          </w:tcPr>
          <w:p w14:paraId="768F11DE"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0.189</w:t>
            </w:r>
          </w:p>
        </w:tc>
        <w:tc>
          <w:tcPr>
            <w:tcW w:w="442" w:type="pct"/>
          </w:tcPr>
          <w:p w14:paraId="69AD6F9A"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0.005</w:t>
            </w:r>
          </w:p>
        </w:tc>
      </w:tr>
      <w:tr w:rsidR="0048716C" w:rsidRPr="007A0E3E" w14:paraId="1F8F24C2" w14:textId="77777777" w:rsidTr="001F3DEB">
        <w:tc>
          <w:tcPr>
            <w:tcW w:w="811" w:type="pct"/>
          </w:tcPr>
          <w:p w14:paraId="23795A31"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HI symptoms</w:t>
            </w:r>
          </w:p>
        </w:tc>
        <w:tc>
          <w:tcPr>
            <w:tcW w:w="610" w:type="pct"/>
          </w:tcPr>
          <w:p w14:paraId="0185C8AB"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0.242 (0.048)</w:t>
            </w:r>
          </w:p>
        </w:tc>
        <w:tc>
          <w:tcPr>
            <w:tcW w:w="461" w:type="pct"/>
          </w:tcPr>
          <w:p w14:paraId="04700AD0"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7.43x10</w:t>
            </w:r>
            <w:r w:rsidRPr="007A0E3E">
              <w:rPr>
                <w:rFonts w:ascii="Times New Roman" w:hAnsi="Times New Roman" w:cs="Times New Roman"/>
                <w:sz w:val="20"/>
                <w:szCs w:val="20"/>
                <w:vertAlign w:val="superscript"/>
              </w:rPr>
              <w:t>-7</w:t>
            </w:r>
          </w:p>
        </w:tc>
        <w:tc>
          <w:tcPr>
            <w:tcW w:w="628" w:type="pct"/>
          </w:tcPr>
          <w:p w14:paraId="595B7400"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1.12x10</w:t>
            </w:r>
            <w:r w:rsidRPr="007A0E3E">
              <w:rPr>
                <w:rFonts w:ascii="Times New Roman" w:hAnsi="Times New Roman" w:cs="Times New Roman"/>
                <w:sz w:val="20"/>
                <w:szCs w:val="20"/>
                <w:vertAlign w:val="superscript"/>
              </w:rPr>
              <w:t>-5</w:t>
            </w:r>
          </w:p>
        </w:tc>
        <w:tc>
          <w:tcPr>
            <w:tcW w:w="334" w:type="pct"/>
          </w:tcPr>
          <w:p w14:paraId="247E104E"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0.052</w:t>
            </w:r>
          </w:p>
        </w:tc>
        <w:tc>
          <w:tcPr>
            <w:tcW w:w="660" w:type="pct"/>
          </w:tcPr>
          <w:p w14:paraId="134454EF"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-0.096 (0.046)</w:t>
            </w:r>
          </w:p>
        </w:tc>
        <w:tc>
          <w:tcPr>
            <w:tcW w:w="504" w:type="pct"/>
          </w:tcPr>
          <w:p w14:paraId="3F7B0B13"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0.04</w:t>
            </w:r>
          </w:p>
        </w:tc>
        <w:tc>
          <w:tcPr>
            <w:tcW w:w="550" w:type="pct"/>
          </w:tcPr>
          <w:p w14:paraId="6E649EDB"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0.075</w:t>
            </w:r>
          </w:p>
        </w:tc>
        <w:tc>
          <w:tcPr>
            <w:tcW w:w="442" w:type="pct"/>
          </w:tcPr>
          <w:p w14:paraId="252F384A"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0.01</w:t>
            </w:r>
          </w:p>
        </w:tc>
      </w:tr>
      <w:tr w:rsidR="0048716C" w:rsidRPr="007A0E3E" w14:paraId="689D4B9D" w14:textId="77777777" w:rsidTr="001F3DEB">
        <w:tc>
          <w:tcPr>
            <w:tcW w:w="811" w:type="pct"/>
          </w:tcPr>
          <w:p w14:paraId="5181F0F4" w14:textId="77777777" w:rsidR="0048716C" w:rsidRPr="007A0E3E" w:rsidRDefault="0048716C" w:rsidP="001F3DEB">
            <w:pPr>
              <w:rPr>
                <w:rFonts w:ascii="Times New Roman" w:hAnsi="Times New Roman" w:cs="Times New Roman"/>
                <w:sz w:val="20"/>
                <w:szCs w:val="20"/>
              </w:rPr>
            </w:pPr>
          </w:p>
        </w:tc>
        <w:tc>
          <w:tcPr>
            <w:tcW w:w="2033" w:type="pct"/>
            <w:gridSpan w:val="4"/>
          </w:tcPr>
          <w:p w14:paraId="0105AF9D"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Independent variable (IV): PRS PT1</w:t>
            </w:r>
          </w:p>
        </w:tc>
        <w:tc>
          <w:tcPr>
            <w:tcW w:w="2156" w:type="pct"/>
            <w:gridSpan w:val="4"/>
          </w:tcPr>
          <w:p w14:paraId="522ECDE2"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Mediator (M): Right putamen (Failed inhibition – go)</w:t>
            </w:r>
          </w:p>
        </w:tc>
      </w:tr>
      <w:tr w:rsidR="0048716C" w:rsidRPr="007A0E3E" w14:paraId="588D80EB" w14:textId="77777777" w:rsidTr="001F3DEB">
        <w:tc>
          <w:tcPr>
            <w:tcW w:w="811" w:type="pct"/>
          </w:tcPr>
          <w:p w14:paraId="756ABCA5"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Total symptoms</w:t>
            </w:r>
          </w:p>
        </w:tc>
        <w:tc>
          <w:tcPr>
            <w:tcW w:w="610" w:type="pct"/>
          </w:tcPr>
          <w:p w14:paraId="1AD3F463"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0.212 (0.048)</w:t>
            </w:r>
          </w:p>
        </w:tc>
        <w:tc>
          <w:tcPr>
            <w:tcW w:w="461" w:type="pct"/>
          </w:tcPr>
          <w:p w14:paraId="505349EA"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1.07x10</w:t>
            </w:r>
            <w:r w:rsidRPr="007A0E3E">
              <w:rPr>
                <w:rFonts w:ascii="Times New Roman" w:hAnsi="Times New Roman" w:cs="Times New Roman"/>
                <w:sz w:val="20"/>
                <w:szCs w:val="20"/>
                <w:vertAlign w:val="superscript"/>
              </w:rPr>
              <w:t>-5</w:t>
            </w:r>
          </w:p>
        </w:tc>
        <w:tc>
          <w:tcPr>
            <w:tcW w:w="628" w:type="pct"/>
          </w:tcPr>
          <w:p w14:paraId="26476895"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3.21x10</w:t>
            </w:r>
            <w:r w:rsidRPr="007A0E3E">
              <w:rPr>
                <w:rFonts w:ascii="Times New Roman" w:hAnsi="Times New Roman" w:cs="Times New Roman"/>
                <w:sz w:val="20"/>
                <w:szCs w:val="20"/>
                <w:vertAlign w:val="superscript"/>
              </w:rPr>
              <w:t>-5</w:t>
            </w:r>
          </w:p>
        </w:tc>
        <w:tc>
          <w:tcPr>
            <w:tcW w:w="334" w:type="pct"/>
          </w:tcPr>
          <w:p w14:paraId="1C83D60D"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0.042</w:t>
            </w:r>
          </w:p>
        </w:tc>
        <w:tc>
          <w:tcPr>
            <w:tcW w:w="660" w:type="pct"/>
          </w:tcPr>
          <w:p w14:paraId="08B773DD"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0.05 (0.046)</w:t>
            </w:r>
          </w:p>
        </w:tc>
        <w:tc>
          <w:tcPr>
            <w:tcW w:w="504" w:type="pct"/>
          </w:tcPr>
          <w:p w14:paraId="00E48F2D"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0.28</w:t>
            </w:r>
          </w:p>
        </w:tc>
        <w:tc>
          <w:tcPr>
            <w:tcW w:w="550" w:type="pct"/>
          </w:tcPr>
          <w:p w14:paraId="5B555310"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0.343</w:t>
            </w:r>
          </w:p>
        </w:tc>
        <w:tc>
          <w:tcPr>
            <w:tcW w:w="442" w:type="pct"/>
          </w:tcPr>
          <w:p w14:paraId="736082F9"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0.002</w:t>
            </w:r>
          </w:p>
        </w:tc>
      </w:tr>
      <w:tr w:rsidR="0048716C" w:rsidRPr="007A0E3E" w14:paraId="68702ED4" w14:textId="77777777" w:rsidTr="001F3DEB">
        <w:tc>
          <w:tcPr>
            <w:tcW w:w="811" w:type="pct"/>
          </w:tcPr>
          <w:p w14:paraId="479797F4"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IA symptoms</w:t>
            </w:r>
          </w:p>
        </w:tc>
        <w:tc>
          <w:tcPr>
            <w:tcW w:w="610" w:type="pct"/>
          </w:tcPr>
          <w:p w14:paraId="1DAD4AA7"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0.185 (0.047)</w:t>
            </w:r>
          </w:p>
        </w:tc>
        <w:tc>
          <w:tcPr>
            <w:tcW w:w="461" w:type="pct"/>
          </w:tcPr>
          <w:p w14:paraId="1C15A86F"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9.31x10</w:t>
            </w:r>
            <w:r w:rsidRPr="007A0E3E">
              <w:rPr>
                <w:rFonts w:ascii="Times New Roman" w:hAnsi="Times New Roman" w:cs="Times New Roman"/>
                <w:sz w:val="20"/>
                <w:szCs w:val="20"/>
                <w:vertAlign w:val="superscript"/>
              </w:rPr>
              <w:t>-5</w:t>
            </w:r>
          </w:p>
        </w:tc>
        <w:tc>
          <w:tcPr>
            <w:tcW w:w="628" w:type="pct"/>
          </w:tcPr>
          <w:p w14:paraId="05EB73E8"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2x10</w:t>
            </w:r>
            <w:r w:rsidRPr="007A0E3E">
              <w:rPr>
                <w:rFonts w:ascii="Times New Roman" w:hAnsi="Times New Roman" w:cs="Times New Roman"/>
                <w:sz w:val="20"/>
                <w:szCs w:val="20"/>
                <w:vertAlign w:val="superscript"/>
              </w:rPr>
              <w:t>-4</w:t>
            </w:r>
          </w:p>
        </w:tc>
        <w:tc>
          <w:tcPr>
            <w:tcW w:w="334" w:type="pct"/>
          </w:tcPr>
          <w:p w14:paraId="34CA4CFF"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0.032</w:t>
            </w:r>
          </w:p>
        </w:tc>
        <w:tc>
          <w:tcPr>
            <w:tcW w:w="660" w:type="pct"/>
          </w:tcPr>
          <w:p w14:paraId="4FF89193"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0.073 (0.045)</w:t>
            </w:r>
          </w:p>
        </w:tc>
        <w:tc>
          <w:tcPr>
            <w:tcW w:w="504" w:type="pct"/>
          </w:tcPr>
          <w:p w14:paraId="0DF5A46C"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0.107</w:t>
            </w:r>
          </w:p>
        </w:tc>
        <w:tc>
          <w:tcPr>
            <w:tcW w:w="550" w:type="pct"/>
          </w:tcPr>
          <w:p w14:paraId="23B18BEB"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0.178</w:t>
            </w:r>
          </w:p>
        </w:tc>
        <w:tc>
          <w:tcPr>
            <w:tcW w:w="442" w:type="pct"/>
          </w:tcPr>
          <w:p w14:paraId="6D517130"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0.005</w:t>
            </w:r>
          </w:p>
        </w:tc>
      </w:tr>
      <w:tr w:rsidR="0048716C" w:rsidRPr="007A0E3E" w14:paraId="5C304BCE" w14:textId="77777777" w:rsidTr="001F3DEB">
        <w:tc>
          <w:tcPr>
            <w:tcW w:w="811" w:type="pct"/>
          </w:tcPr>
          <w:p w14:paraId="32C1668A"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HI symptoms</w:t>
            </w:r>
          </w:p>
        </w:tc>
        <w:tc>
          <w:tcPr>
            <w:tcW w:w="610" w:type="pct"/>
          </w:tcPr>
          <w:p w14:paraId="408788B6"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0.22 (0.048)</w:t>
            </w:r>
          </w:p>
        </w:tc>
        <w:tc>
          <w:tcPr>
            <w:tcW w:w="461" w:type="pct"/>
          </w:tcPr>
          <w:p w14:paraId="2A947A05"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6.47x10</w:t>
            </w:r>
            <w:r w:rsidRPr="007A0E3E">
              <w:rPr>
                <w:rFonts w:ascii="Times New Roman" w:hAnsi="Times New Roman" w:cs="Times New Roman"/>
                <w:sz w:val="20"/>
                <w:szCs w:val="20"/>
                <w:vertAlign w:val="superscript"/>
              </w:rPr>
              <w:t>-6</w:t>
            </w:r>
          </w:p>
        </w:tc>
        <w:tc>
          <w:tcPr>
            <w:tcW w:w="628" w:type="pct"/>
          </w:tcPr>
          <w:p w14:paraId="1D19EBBC"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2.77x10</w:t>
            </w:r>
            <w:r w:rsidRPr="007A0E3E">
              <w:rPr>
                <w:rFonts w:ascii="Times New Roman" w:hAnsi="Times New Roman" w:cs="Times New Roman"/>
                <w:sz w:val="20"/>
                <w:szCs w:val="20"/>
                <w:vertAlign w:val="superscript"/>
              </w:rPr>
              <w:t>-5</w:t>
            </w:r>
          </w:p>
        </w:tc>
        <w:tc>
          <w:tcPr>
            <w:tcW w:w="334" w:type="pct"/>
          </w:tcPr>
          <w:p w14:paraId="06753D94"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0.044</w:t>
            </w:r>
          </w:p>
        </w:tc>
        <w:tc>
          <w:tcPr>
            <w:tcW w:w="660" w:type="pct"/>
          </w:tcPr>
          <w:p w14:paraId="5AC805AB"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0.007 (0.046)</w:t>
            </w:r>
          </w:p>
        </w:tc>
        <w:tc>
          <w:tcPr>
            <w:tcW w:w="504" w:type="pct"/>
          </w:tcPr>
          <w:p w14:paraId="468E6616"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0.875</w:t>
            </w:r>
          </w:p>
        </w:tc>
        <w:tc>
          <w:tcPr>
            <w:tcW w:w="550" w:type="pct"/>
          </w:tcPr>
          <w:p w14:paraId="5FEF2239"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0.883</w:t>
            </w:r>
          </w:p>
        </w:tc>
        <w:tc>
          <w:tcPr>
            <w:tcW w:w="442" w:type="pct"/>
          </w:tcPr>
          <w:p w14:paraId="7400C271"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1x10</w:t>
            </w:r>
            <w:r w:rsidRPr="007A0E3E">
              <w:rPr>
                <w:rFonts w:ascii="Times New Roman" w:hAnsi="Times New Roman" w:cs="Times New Roman"/>
                <w:sz w:val="20"/>
                <w:szCs w:val="20"/>
                <w:vertAlign w:val="superscript"/>
              </w:rPr>
              <w:t>-4</w:t>
            </w:r>
          </w:p>
        </w:tc>
      </w:tr>
      <w:tr w:rsidR="0048716C" w:rsidRPr="007A0E3E" w14:paraId="1881643B" w14:textId="77777777" w:rsidTr="001F3DEB">
        <w:tc>
          <w:tcPr>
            <w:tcW w:w="811" w:type="pct"/>
          </w:tcPr>
          <w:p w14:paraId="43D90743" w14:textId="77777777" w:rsidR="0048716C" w:rsidRPr="007A0E3E" w:rsidRDefault="0048716C" w:rsidP="001F3DEB">
            <w:pPr>
              <w:rPr>
                <w:rFonts w:ascii="Times New Roman" w:hAnsi="Times New Roman" w:cs="Times New Roman"/>
                <w:sz w:val="20"/>
                <w:szCs w:val="20"/>
              </w:rPr>
            </w:pPr>
          </w:p>
        </w:tc>
        <w:tc>
          <w:tcPr>
            <w:tcW w:w="2033" w:type="pct"/>
            <w:gridSpan w:val="4"/>
          </w:tcPr>
          <w:p w14:paraId="77F85E9E"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Independent variable (IV): PRS PT1</w:t>
            </w:r>
          </w:p>
        </w:tc>
        <w:tc>
          <w:tcPr>
            <w:tcW w:w="2156" w:type="pct"/>
            <w:gridSpan w:val="4"/>
          </w:tcPr>
          <w:p w14:paraId="0E52C5F8"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 xml:space="preserve">Mediator (M): Left </w:t>
            </w:r>
            <w:proofErr w:type="spellStart"/>
            <w:r w:rsidRPr="007A0E3E">
              <w:rPr>
                <w:rFonts w:ascii="Times New Roman" w:hAnsi="Times New Roman" w:cs="Times New Roman"/>
                <w:sz w:val="20"/>
                <w:szCs w:val="20"/>
              </w:rPr>
              <w:t>fronto</w:t>
            </w:r>
            <w:proofErr w:type="spellEnd"/>
            <w:r w:rsidRPr="007A0E3E">
              <w:rPr>
                <w:rFonts w:ascii="Times New Roman" w:hAnsi="Times New Roman" w:cs="Times New Roman"/>
                <w:sz w:val="20"/>
                <w:szCs w:val="20"/>
              </w:rPr>
              <w:t>-insular, putamen, anterior temporal regions, and PHG (Failed – successful inhibition)</w:t>
            </w:r>
          </w:p>
        </w:tc>
      </w:tr>
      <w:tr w:rsidR="0048716C" w:rsidRPr="007A0E3E" w14:paraId="28B056DE" w14:textId="77777777" w:rsidTr="001F3DEB">
        <w:tc>
          <w:tcPr>
            <w:tcW w:w="811" w:type="pct"/>
          </w:tcPr>
          <w:p w14:paraId="36EEFA8F"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Total symptoms</w:t>
            </w:r>
          </w:p>
        </w:tc>
        <w:tc>
          <w:tcPr>
            <w:tcW w:w="610" w:type="pct"/>
          </w:tcPr>
          <w:p w14:paraId="090F1299"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0.229 (0.047)</w:t>
            </w:r>
          </w:p>
        </w:tc>
        <w:tc>
          <w:tcPr>
            <w:tcW w:w="461" w:type="pct"/>
          </w:tcPr>
          <w:p w14:paraId="22493879"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3.83x10</w:t>
            </w:r>
            <w:r w:rsidRPr="007A0E3E">
              <w:rPr>
                <w:rFonts w:ascii="Times New Roman" w:hAnsi="Times New Roman" w:cs="Times New Roman"/>
                <w:sz w:val="20"/>
                <w:szCs w:val="20"/>
                <w:vertAlign w:val="superscript"/>
              </w:rPr>
              <w:t>-6</w:t>
            </w:r>
          </w:p>
        </w:tc>
        <w:tc>
          <w:tcPr>
            <w:tcW w:w="628" w:type="pct"/>
          </w:tcPr>
          <w:p w14:paraId="6E0838F8"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2.3x10</w:t>
            </w:r>
            <w:r w:rsidRPr="007A0E3E">
              <w:rPr>
                <w:rFonts w:ascii="Times New Roman" w:hAnsi="Times New Roman" w:cs="Times New Roman"/>
                <w:sz w:val="20"/>
                <w:szCs w:val="20"/>
                <w:vertAlign w:val="superscript"/>
              </w:rPr>
              <w:t>-5</w:t>
            </w:r>
          </w:p>
        </w:tc>
        <w:tc>
          <w:tcPr>
            <w:tcW w:w="334" w:type="pct"/>
          </w:tcPr>
          <w:p w14:paraId="4C7E7914"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0.046</w:t>
            </w:r>
          </w:p>
        </w:tc>
        <w:tc>
          <w:tcPr>
            <w:tcW w:w="660" w:type="pct"/>
          </w:tcPr>
          <w:p w14:paraId="2AF7DF31"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-0.026 (0.047)</w:t>
            </w:r>
          </w:p>
        </w:tc>
        <w:tc>
          <w:tcPr>
            <w:tcW w:w="504" w:type="pct"/>
          </w:tcPr>
          <w:p w14:paraId="023A1600"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0.577</w:t>
            </w:r>
          </w:p>
        </w:tc>
        <w:tc>
          <w:tcPr>
            <w:tcW w:w="550" w:type="pct"/>
          </w:tcPr>
          <w:p w14:paraId="096A9E26"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0.641</w:t>
            </w:r>
          </w:p>
        </w:tc>
        <w:tc>
          <w:tcPr>
            <w:tcW w:w="442" w:type="pct"/>
          </w:tcPr>
          <w:p w14:paraId="5A41C85C"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0.001</w:t>
            </w:r>
          </w:p>
        </w:tc>
      </w:tr>
      <w:tr w:rsidR="0048716C" w:rsidRPr="007A0E3E" w14:paraId="32EE8E35" w14:textId="77777777" w:rsidTr="001F3DEB">
        <w:tc>
          <w:tcPr>
            <w:tcW w:w="811" w:type="pct"/>
          </w:tcPr>
          <w:p w14:paraId="10014AF5"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IA symptoms</w:t>
            </w:r>
          </w:p>
        </w:tc>
        <w:tc>
          <w:tcPr>
            <w:tcW w:w="610" w:type="pct"/>
          </w:tcPr>
          <w:p w14:paraId="1CA55759"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0.201 (0.048)</w:t>
            </w:r>
          </w:p>
        </w:tc>
        <w:tc>
          <w:tcPr>
            <w:tcW w:w="461" w:type="pct"/>
          </w:tcPr>
          <w:p w14:paraId="0E14A99B"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3.44x10</w:t>
            </w:r>
            <w:r w:rsidRPr="007A0E3E">
              <w:rPr>
                <w:rFonts w:ascii="Times New Roman" w:hAnsi="Times New Roman" w:cs="Times New Roman"/>
                <w:sz w:val="20"/>
                <w:szCs w:val="20"/>
                <w:vertAlign w:val="superscript"/>
              </w:rPr>
              <w:t>-5</w:t>
            </w:r>
          </w:p>
        </w:tc>
        <w:tc>
          <w:tcPr>
            <w:tcW w:w="628" w:type="pct"/>
          </w:tcPr>
          <w:p w14:paraId="49BB6298"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7.94x10</w:t>
            </w:r>
            <w:r w:rsidRPr="007A0E3E">
              <w:rPr>
                <w:rFonts w:ascii="Times New Roman" w:hAnsi="Times New Roman" w:cs="Times New Roman"/>
                <w:sz w:val="20"/>
                <w:szCs w:val="20"/>
                <w:vertAlign w:val="superscript"/>
              </w:rPr>
              <w:t>-5</w:t>
            </w:r>
          </w:p>
        </w:tc>
        <w:tc>
          <w:tcPr>
            <w:tcW w:w="334" w:type="pct"/>
          </w:tcPr>
          <w:p w14:paraId="34C23F68"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0.036</w:t>
            </w:r>
          </w:p>
        </w:tc>
        <w:tc>
          <w:tcPr>
            <w:tcW w:w="660" w:type="pct"/>
          </w:tcPr>
          <w:p w14:paraId="1B07389F"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-0.007 (0.046)</w:t>
            </w:r>
          </w:p>
        </w:tc>
        <w:tc>
          <w:tcPr>
            <w:tcW w:w="504" w:type="pct"/>
          </w:tcPr>
          <w:p w14:paraId="7F13FC4E"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0.883</w:t>
            </w:r>
          </w:p>
        </w:tc>
        <w:tc>
          <w:tcPr>
            <w:tcW w:w="550" w:type="pct"/>
          </w:tcPr>
          <w:p w14:paraId="3CC346A7"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0.883</w:t>
            </w:r>
          </w:p>
        </w:tc>
        <w:tc>
          <w:tcPr>
            <w:tcW w:w="442" w:type="pct"/>
          </w:tcPr>
          <w:p w14:paraId="2A7A5A7F"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1x10</w:t>
            </w:r>
            <w:r w:rsidRPr="007A0E3E">
              <w:rPr>
                <w:rFonts w:ascii="Times New Roman" w:hAnsi="Times New Roman" w:cs="Times New Roman"/>
                <w:sz w:val="20"/>
                <w:szCs w:val="20"/>
                <w:vertAlign w:val="superscript"/>
              </w:rPr>
              <w:t>-4</w:t>
            </w:r>
          </w:p>
        </w:tc>
      </w:tr>
      <w:tr w:rsidR="0048716C" w:rsidRPr="007A0E3E" w14:paraId="00936776" w14:textId="77777777" w:rsidTr="001F3DEB">
        <w:tc>
          <w:tcPr>
            <w:tcW w:w="811" w:type="pct"/>
          </w:tcPr>
          <w:p w14:paraId="04D25974"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HI symptoms</w:t>
            </w:r>
          </w:p>
        </w:tc>
        <w:tc>
          <w:tcPr>
            <w:tcW w:w="610" w:type="pct"/>
          </w:tcPr>
          <w:p w14:paraId="14BE7496"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0.228 (0.049)</w:t>
            </w:r>
          </w:p>
        </w:tc>
        <w:tc>
          <w:tcPr>
            <w:tcW w:w="461" w:type="pct"/>
          </w:tcPr>
          <w:p w14:paraId="698B4FDE"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4.93x10</w:t>
            </w:r>
            <w:r w:rsidRPr="007A0E3E">
              <w:rPr>
                <w:rFonts w:ascii="Times New Roman" w:hAnsi="Times New Roman" w:cs="Times New Roman"/>
                <w:sz w:val="20"/>
                <w:szCs w:val="20"/>
                <w:vertAlign w:val="superscript"/>
              </w:rPr>
              <w:t>-6</w:t>
            </w:r>
          </w:p>
        </w:tc>
        <w:tc>
          <w:tcPr>
            <w:tcW w:w="628" w:type="pct"/>
          </w:tcPr>
          <w:p w14:paraId="2083EC64"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2.47x10</w:t>
            </w:r>
            <w:r w:rsidRPr="007A0E3E">
              <w:rPr>
                <w:rFonts w:ascii="Times New Roman" w:hAnsi="Times New Roman" w:cs="Times New Roman"/>
                <w:sz w:val="20"/>
                <w:szCs w:val="20"/>
                <w:vertAlign w:val="superscript"/>
              </w:rPr>
              <w:t>-5</w:t>
            </w:r>
          </w:p>
        </w:tc>
        <w:tc>
          <w:tcPr>
            <w:tcW w:w="334" w:type="pct"/>
          </w:tcPr>
          <w:p w14:paraId="00106BA9"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0.045</w:t>
            </w:r>
          </w:p>
        </w:tc>
        <w:tc>
          <w:tcPr>
            <w:tcW w:w="660" w:type="pct"/>
          </w:tcPr>
          <w:p w14:paraId="10FECFC5"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-0.022 (0.047)</w:t>
            </w:r>
          </w:p>
        </w:tc>
        <w:tc>
          <w:tcPr>
            <w:tcW w:w="504" w:type="pct"/>
          </w:tcPr>
          <w:p w14:paraId="1A7573D7"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0.636</w:t>
            </w:r>
          </w:p>
        </w:tc>
        <w:tc>
          <w:tcPr>
            <w:tcW w:w="550" w:type="pct"/>
          </w:tcPr>
          <w:p w14:paraId="26E9B3E0"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0.681</w:t>
            </w:r>
          </w:p>
        </w:tc>
        <w:tc>
          <w:tcPr>
            <w:tcW w:w="442" w:type="pct"/>
          </w:tcPr>
          <w:p w14:paraId="6EA66591"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7x10</w:t>
            </w:r>
            <w:r w:rsidRPr="007A0E3E">
              <w:rPr>
                <w:rFonts w:ascii="Times New Roman" w:hAnsi="Times New Roman" w:cs="Times New Roman"/>
                <w:sz w:val="20"/>
                <w:szCs w:val="20"/>
                <w:vertAlign w:val="superscript"/>
              </w:rPr>
              <w:t>-4</w:t>
            </w:r>
          </w:p>
        </w:tc>
      </w:tr>
      <w:tr w:rsidR="0048716C" w:rsidRPr="007A0E3E" w14:paraId="685E81C4" w14:textId="77777777" w:rsidTr="001F3DEB">
        <w:tc>
          <w:tcPr>
            <w:tcW w:w="811" w:type="pct"/>
          </w:tcPr>
          <w:p w14:paraId="31F4D00B" w14:textId="77777777" w:rsidR="0048716C" w:rsidRPr="007A0E3E" w:rsidRDefault="0048716C" w:rsidP="001F3DEB">
            <w:pPr>
              <w:rPr>
                <w:rFonts w:ascii="Times New Roman" w:hAnsi="Times New Roman" w:cs="Times New Roman"/>
                <w:sz w:val="20"/>
                <w:szCs w:val="20"/>
              </w:rPr>
            </w:pPr>
          </w:p>
        </w:tc>
        <w:tc>
          <w:tcPr>
            <w:tcW w:w="2033" w:type="pct"/>
            <w:gridSpan w:val="4"/>
          </w:tcPr>
          <w:p w14:paraId="17DDF5FD"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Independent variable (IV): PRS PT1</w:t>
            </w:r>
          </w:p>
        </w:tc>
        <w:tc>
          <w:tcPr>
            <w:tcW w:w="2156" w:type="pct"/>
            <w:gridSpan w:val="4"/>
          </w:tcPr>
          <w:p w14:paraId="3932AE89"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Mediator (M): Right basal ganglia and thalamus (Failed – successful inhibition)</w:t>
            </w:r>
          </w:p>
        </w:tc>
      </w:tr>
      <w:tr w:rsidR="0048716C" w:rsidRPr="007A0E3E" w14:paraId="0C854698" w14:textId="77777777" w:rsidTr="001F3DEB">
        <w:tc>
          <w:tcPr>
            <w:tcW w:w="811" w:type="pct"/>
          </w:tcPr>
          <w:p w14:paraId="0CA52302"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Total symptoms</w:t>
            </w:r>
          </w:p>
        </w:tc>
        <w:tc>
          <w:tcPr>
            <w:tcW w:w="610" w:type="pct"/>
          </w:tcPr>
          <w:p w14:paraId="363CBF4C"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0.209 (0.048)</w:t>
            </w:r>
          </w:p>
        </w:tc>
        <w:tc>
          <w:tcPr>
            <w:tcW w:w="461" w:type="pct"/>
          </w:tcPr>
          <w:p w14:paraId="53838998"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1.69x10</w:t>
            </w:r>
            <w:r w:rsidRPr="007A0E3E">
              <w:rPr>
                <w:rFonts w:ascii="Times New Roman" w:hAnsi="Times New Roman" w:cs="Times New Roman"/>
                <w:sz w:val="20"/>
                <w:szCs w:val="20"/>
                <w:vertAlign w:val="superscript"/>
              </w:rPr>
              <w:t>-5</w:t>
            </w:r>
          </w:p>
        </w:tc>
        <w:tc>
          <w:tcPr>
            <w:tcW w:w="628" w:type="pct"/>
          </w:tcPr>
          <w:p w14:paraId="784274E4"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4.22x10</w:t>
            </w:r>
            <w:r w:rsidRPr="007A0E3E">
              <w:rPr>
                <w:rFonts w:ascii="Times New Roman" w:hAnsi="Times New Roman" w:cs="Times New Roman"/>
                <w:sz w:val="20"/>
                <w:szCs w:val="20"/>
                <w:vertAlign w:val="superscript"/>
              </w:rPr>
              <w:t>-5</w:t>
            </w:r>
          </w:p>
        </w:tc>
        <w:tc>
          <w:tcPr>
            <w:tcW w:w="334" w:type="pct"/>
          </w:tcPr>
          <w:p w14:paraId="288B4584"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0.04</w:t>
            </w:r>
          </w:p>
        </w:tc>
        <w:tc>
          <w:tcPr>
            <w:tcW w:w="660" w:type="pct"/>
          </w:tcPr>
          <w:p w14:paraId="01F6A802"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0.053 (0.046)</w:t>
            </w:r>
          </w:p>
        </w:tc>
        <w:tc>
          <w:tcPr>
            <w:tcW w:w="504" w:type="pct"/>
          </w:tcPr>
          <w:p w14:paraId="6E97FA0A"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0.257</w:t>
            </w:r>
          </w:p>
        </w:tc>
        <w:tc>
          <w:tcPr>
            <w:tcW w:w="550" w:type="pct"/>
          </w:tcPr>
          <w:p w14:paraId="57603D02"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0.335</w:t>
            </w:r>
          </w:p>
        </w:tc>
        <w:tc>
          <w:tcPr>
            <w:tcW w:w="442" w:type="pct"/>
          </w:tcPr>
          <w:p w14:paraId="22114B5F"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0.002</w:t>
            </w:r>
          </w:p>
        </w:tc>
      </w:tr>
      <w:tr w:rsidR="0048716C" w:rsidRPr="007A0E3E" w14:paraId="68443C8A" w14:textId="77777777" w:rsidTr="001F3DEB">
        <w:tc>
          <w:tcPr>
            <w:tcW w:w="811" w:type="pct"/>
          </w:tcPr>
          <w:p w14:paraId="6FF1E8D7"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IA symptoms</w:t>
            </w:r>
          </w:p>
        </w:tc>
        <w:tc>
          <w:tcPr>
            <w:tcW w:w="610" w:type="pct"/>
          </w:tcPr>
          <w:p w14:paraId="2E7E8614"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0.185 (0.047)</w:t>
            </w:r>
          </w:p>
        </w:tc>
        <w:tc>
          <w:tcPr>
            <w:tcW w:w="461" w:type="pct"/>
          </w:tcPr>
          <w:p w14:paraId="46EA7E6A"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1.06x10</w:t>
            </w:r>
            <w:r w:rsidRPr="007A0E3E">
              <w:rPr>
                <w:rFonts w:ascii="Times New Roman" w:hAnsi="Times New Roman" w:cs="Times New Roman"/>
                <w:sz w:val="20"/>
                <w:szCs w:val="20"/>
                <w:vertAlign w:val="superscript"/>
              </w:rPr>
              <w:t>-4</w:t>
            </w:r>
          </w:p>
        </w:tc>
        <w:tc>
          <w:tcPr>
            <w:tcW w:w="628" w:type="pct"/>
          </w:tcPr>
          <w:p w14:paraId="2D00777C"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2.12x10</w:t>
            </w:r>
            <w:r w:rsidRPr="007A0E3E">
              <w:rPr>
                <w:rFonts w:ascii="Times New Roman" w:hAnsi="Times New Roman" w:cs="Times New Roman"/>
                <w:sz w:val="20"/>
                <w:szCs w:val="20"/>
                <w:vertAlign w:val="superscript"/>
              </w:rPr>
              <w:t>-4</w:t>
            </w:r>
          </w:p>
        </w:tc>
        <w:tc>
          <w:tcPr>
            <w:tcW w:w="334" w:type="pct"/>
          </w:tcPr>
          <w:p w14:paraId="05F494C3"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0.032</w:t>
            </w:r>
          </w:p>
        </w:tc>
        <w:tc>
          <w:tcPr>
            <w:tcW w:w="660" w:type="pct"/>
          </w:tcPr>
          <w:p w14:paraId="12FB9F9C"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0.061 (0.046)</w:t>
            </w:r>
          </w:p>
        </w:tc>
        <w:tc>
          <w:tcPr>
            <w:tcW w:w="504" w:type="pct"/>
          </w:tcPr>
          <w:p w14:paraId="5A26E1F0"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0.182</w:t>
            </w:r>
          </w:p>
        </w:tc>
        <w:tc>
          <w:tcPr>
            <w:tcW w:w="550" w:type="pct"/>
          </w:tcPr>
          <w:p w14:paraId="20B68BDB"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0.248</w:t>
            </w:r>
          </w:p>
        </w:tc>
        <w:tc>
          <w:tcPr>
            <w:tcW w:w="442" w:type="pct"/>
          </w:tcPr>
          <w:p w14:paraId="162017F8"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0.003</w:t>
            </w:r>
          </w:p>
        </w:tc>
      </w:tr>
      <w:tr w:rsidR="0048716C" w:rsidRPr="007A0E3E" w14:paraId="4612F583" w14:textId="77777777" w:rsidTr="001F3DEB">
        <w:tc>
          <w:tcPr>
            <w:tcW w:w="811" w:type="pct"/>
          </w:tcPr>
          <w:p w14:paraId="1CD363DC"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HI symptoms</w:t>
            </w:r>
          </w:p>
        </w:tc>
        <w:tc>
          <w:tcPr>
            <w:tcW w:w="610" w:type="pct"/>
          </w:tcPr>
          <w:p w14:paraId="74AAADB5"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0.215 (0.049)</w:t>
            </w:r>
          </w:p>
        </w:tc>
        <w:tc>
          <w:tcPr>
            <w:tcW w:w="461" w:type="pct"/>
          </w:tcPr>
          <w:p w14:paraId="52D70133"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1.27x10</w:t>
            </w:r>
            <w:r w:rsidRPr="007A0E3E">
              <w:rPr>
                <w:rFonts w:ascii="Times New Roman" w:hAnsi="Times New Roman" w:cs="Times New Roman"/>
                <w:sz w:val="20"/>
                <w:szCs w:val="20"/>
                <w:vertAlign w:val="superscript"/>
              </w:rPr>
              <w:t>-5</w:t>
            </w:r>
          </w:p>
        </w:tc>
        <w:tc>
          <w:tcPr>
            <w:tcW w:w="628" w:type="pct"/>
          </w:tcPr>
          <w:p w14:paraId="1D55D287"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3.46x10</w:t>
            </w:r>
            <w:r w:rsidRPr="007A0E3E">
              <w:rPr>
                <w:rFonts w:ascii="Times New Roman" w:hAnsi="Times New Roman" w:cs="Times New Roman"/>
                <w:sz w:val="20"/>
                <w:szCs w:val="20"/>
                <w:vertAlign w:val="superscript"/>
              </w:rPr>
              <w:t>-5</w:t>
            </w:r>
          </w:p>
        </w:tc>
        <w:tc>
          <w:tcPr>
            <w:tcW w:w="334" w:type="pct"/>
          </w:tcPr>
          <w:p w14:paraId="007A4616"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0.041</w:t>
            </w:r>
          </w:p>
        </w:tc>
        <w:tc>
          <w:tcPr>
            <w:tcW w:w="660" w:type="pct"/>
          </w:tcPr>
          <w:p w14:paraId="6DDF6094"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0.028 (0.047)</w:t>
            </w:r>
          </w:p>
        </w:tc>
        <w:tc>
          <w:tcPr>
            <w:tcW w:w="504" w:type="pct"/>
          </w:tcPr>
          <w:p w14:paraId="2D88FC83"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0.555</w:t>
            </w:r>
          </w:p>
        </w:tc>
        <w:tc>
          <w:tcPr>
            <w:tcW w:w="550" w:type="pct"/>
          </w:tcPr>
          <w:p w14:paraId="7B4BFE6F"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0.64</w:t>
            </w:r>
          </w:p>
        </w:tc>
        <w:tc>
          <w:tcPr>
            <w:tcW w:w="442" w:type="pct"/>
          </w:tcPr>
          <w:p w14:paraId="2D6CE827"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4x10</w:t>
            </w:r>
            <w:r w:rsidRPr="007A0E3E">
              <w:rPr>
                <w:rFonts w:ascii="Times New Roman" w:hAnsi="Times New Roman" w:cs="Times New Roman"/>
                <w:sz w:val="20"/>
                <w:szCs w:val="20"/>
                <w:vertAlign w:val="superscript"/>
              </w:rPr>
              <w:t>-4</w:t>
            </w:r>
          </w:p>
        </w:tc>
      </w:tr>
    </w:tbl>
    <w:p w14:paraId="60617828" w14:textId="77777777" w:rsidR="0048716C" w:rsidRPr="007A0E3E" w:rsidRDefault="0048716C" w:rsidP="0048716C">
      <w:pPr>
        <w:rPr>
          <w:rFonts w:ascii="Times New Roman" w:hAnsi="Times New Roman" w:cs="Times New Roman"/>
          <w:sz w:val="20"/>
          <w:szCs w:val="20"/>
          <w:lang w:val="nl-NL"/>
        </w:rPr>
      </w:pPr>
    </w:p>
    <w:p w14:paraId="164B8102" w14:textId="77777777" w:rsidR="0048716C" w:rsidRPr="007A0E3E" w:rsidRDefault="0048716C" w:rsidP="0048716C">
      <w:pPr>
        <w:rPr>
          <w:rFonts w:ascii="Times New Roman" w:hAnsi="Times New Roman" w:cs="Times New Roman"/>
          <w:i/>
          <w:iCs/>
          <w:sz w:val="20"/>
          <w:szCs w:val="20"/>
        </w:rPr>
      </w:pPr>
      <w:r w:rsidRPr="007A0E3E">
        <w:rPr>
          <w:rFonts w:ascii="Times New Roman" w:hAnsi="Times New Roman" w:cs="Times New Roman"/>
          <w:i/>
          <w:iCs/>
          <w:sz w:val="20"/>
          <w:szCs w:val="20"/>
        </w:rPr>
        <w:br w:type="page"/>
      </w:r>
    </w:p>
    <w:p w14:paraId="69A0E179" w14:textId="0EC95674" w:rsidR="0048716C" w:rsidRPr="007A0E3E" w:rsidRDefault="0048716C" w:rsidP="0048716C">
      <w:pPr>
        <w:rPr>
          <w:rFonts w:ascii="Times New Roman" w:hAnsi="Times New Roman" w:cs="Times New Roman"/>
          <w:sz w:val="20"/>
          <w:szCs w:val="20"/>
        </w:rPr>
      </w:pPr>
      <w:r w:rsidRPr="007A0E3E">
        <w:rPr>
          <w:rFonts w:ascii="Times New Roman" w:hAnsi="Times New Roman" w:cs="Times New Roman"/>
          <w:sz w:val="20"/>
          <w:szCs w:val="20"/>
        </w:rPr>
        <w:lastRenderedPageBreak/>
        <w:t>Supplementary Table 6 The associations between behavioral correlates of response inhibition and ADHD symptoms.</w:t>
      </w:r>
    </w:p>
    <w:tbl>
      <w:tblPr>
        <w:tblStyle w:val="TableGrid"/>
        <w:tblW w:w="5130" w:type="pct"/>
        <w:tblBorders>
          <w:left w:val="none" w:sz="0" w:space="0" w:color="auto"/>
          <w:right w:val="none" w:sz="0" w:space="0" w:color="auto"/>
        </w:tblBorders>
        <w:tblLayout w:type="fixed"/>
        <w:tblLook w:val="04A0" w:firstRow="1" w:lastRow="0" w:firstColumn="1" w:lastColumn="0" w:noHBand="0" w:noVBand="1"/>
      </w:tblPr>
      <w:tblGrid>
        <w:gridCol w:w="1414"/>
        <w:gridCol w:w="991"/>
        <w:gridCol w:w="1137"/>
        <w:gridCol w:w="1134"/>
        <w:gridCol w:w="851"/>
        <w:gridCol w:w="994"/>
        <w:gridCol w:w="1134"/>
        <w:gridCol w:w="1137"/>
        <w:gridCol w:w="848"/>
        <w:gridCol w:w="994"/>
        <w:gridCol w:w="1275"/>
        <w:gridCol w:w="1206"/>
        <w:gridCol w:w="1206"/>
      </w:tblGrid>
      <w:tr w:rsidR="0048716C" w:rsidRPr="007A0E3E" w14:paraId="10FC092D" w14:textId="77777777" w:rsidTr="001F3DEB">
        <w:tc>
          <w:tcPr>
            <w:tcW w:w="494" w:type="pct"/>
            <w:vMerge w:val="restart"/>
          </w:tcPr>
          <w:p w14:paraId="5BF6BE31" w14:textId="77777777" w:rsidR="0048716C" w:rsidRPr="007A0E3E" w:rsidRDefault="0048716C" w:rsidP="001F3DEB">
            <w:pPr>
              <w:rPr>
                <w:rFonts w:ascii="Times New Roman" w:hAnsi="Times New Roman" w:cs="Times New Roman"/>
                <w:sz w:val="20"/>
                <w:szCs w:val="20"/>
              </w:rPr>
            </w:pPr>
          </w:p>
        </w:tc>
        <w:tc>
          <w:tcPr>
            <w:tcW w:w="4506" w:type="pct"/>
            <w:gridSpan w:val="12"/>
          </w:tcPr>
          <w:p w14:paraId="23EB3279"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Regressing dependent variable on mediator</w:t>
            </w:r>
          </w:p>
        </w:tc>
      </w:tr>
      <w:tr w:rsidR="0048716C" w:rsidRPr="007A0E3E" w14:paraId="73E5AB20" w14:textId="77777777" w:rsidTr="001F3DEB">
        <w:tc>
          <w:tcPr>
            <w:tcW w:w="494" w:type="pct"/>
            <w:vMerge/>
          </w:tcPr>
          <w:p w14:paraId="2FF8C62F" w14:textId="77777777" w:rsidR="0048716C" w:rsidRPr="007A0E3E" w:rsidRDefault="0048716C" w:rsidP="001F3DEB">
            <w:pPr>
              <w:rPr>
                <w:rFonts w:ascii="Times New Roman" w:hAnsi="Times New Roman" w:cs="Times New Roman"/>
                <w:sz w:val="20"/>
                <w:szCs w:val="20"/>
              </w:rPr>
            </w:pPr>
          </w:p>
        </w:tc>
        <w:tc>
          <w:tcPr>
            <w:tcW w:w="4506" w:type="pct"/>
            <w:gridSpan w:val="12"/>
          </w:tcPr>
          <w:p w14:paraId="75D7D3CF"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Dependent variable</w:t>
            </w:r>
          </w:p>
        </w:tc>
      </w:tr>
      <w:tr w:rsidR="0048716C" w:rsidRPr="007A0E3E" w14:paraId="6A5DC1E4" w14:textId="77777777" w:rsidTr="001F3DEB">
        <w:tc>
          <w:tcPr>
            <w:tcW w:w="494" w:type="pct"/>
            <w:vMerge/>
          </w:tcPr>
          <w:p w14:paraId="4CE2DF70" w14:textId="77777777" w:rsidR="0048716C" w:rsidRPr="007A0E3E" w:rsidRDefault="0048716C" w:rsidP="001F3DEB">
            <w:pPr>
              <w:rPr>
                <w:rFonts w:ascii="Times New Roman" w:hAnsi="Times New Roman" w:cs="Times New Roman"/>
                <w:sz w:val="20"/>
                <w:szCs w:val="20"/>
              </w:rPr>
            </w:pPr>
          </w:p>
        </w:tc>
        <w:tc>
          <w:tcPr>
            <w:tcW w:w="1436" w:type="pct"/>
            <w:gridSpan w:val="4"/>
          </w:tcPr>
          <w:p w14:paraId="36A2AC6C"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Total symptom score (N=423)</w:t>
            </w:r>
          </w:p>
        </w:tc>
        <w:tc>
          <w:tcPr>
            <w:tcW w:w="1436" w:type="pct"/>
            <w:gridSpan w:val="4"/>
          </w:tcPr>
          <w:p w14:paraId="19BD71D2"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Inattention symptoms (N=438)</w:t>
            </w:r>
          </w:p>
        </w:tc>
        <w:tc>
          <w:tcPr>
            <w:tcW w:w="1634" w:type="pct"/>
            <w:gridSpan w:val="4"/>
          </w:tcPr>
          <w:p w14:paraId="13C43CD0"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Hyperactivity-impulsivity symptoms (N=431)</w:t>
            </w:r>
          </w:p>
        </w:tc>
      </w:tr>
      <w:tr w:rsidR="0048716C" w:rsidRPr="007A0E3E" w14:paraId="44046893" w14:textId="77777777" w:rsidTr="001F3DEB">
        <w:tc>
          <w:tcPr>
            <w:tcW w:w="494" w:type="pct"/>
          </w:tcPr>
          <w:p w14:paraId="29E428DD"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Independent variable</w:t>
            </w:r>
          </w:p>
        </w:tc>
        <w:tc>
          <w:tcPr>
            <w:tcW w:w="346" w:type="pct"/>
          </w:tcPr>
          <w:p w14:paraId="31006261" w14:textId="77777777" w:rsidR="0048716C" w:rsidRPr="007A0E3E" w:rsidRDefault="0048716C" w:rsidP="001F3DEB">
            <w:pPr>
              <w:rPr>
                <w:rFonts w:ascii="Times New Roman" w:hAnsi="Times New Roman" w:cs="Times New Roman"/>
                <w:sz w:val="20"/>
                <w:szCs w:val="20"/>
              </w:rPr>
            </w:pPr>
            <w:r w:rsidRPr="007A0E3E">
              <w:rPr>
                <w:rFonts w:ascii="Times New Roman" w:eastAsia="Times New Roman" w:hAnsi="Times New Roman" w:cs="Times New Roman"/>
                <w:color w:val="000000"/>
                <w:sz w:val="20"/>
                <w:szCs w:val="20"/>
                <w:lang w:val="nl-NL" w:eastAsia="nl-NL"/>
              </w:rPr>
              <w:t>β (SE)</w:t>
            </w:r>
          </w:p>
        </w:tc>
        <w:tc>
          <w:tcPr>
            <w:tcW w:w="397" w:type="pct"/>
          </w:tcPr>
          <w:p w14:paraId="76CAF0A3"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p-</w:t>
            </w:r>
            <w:proofErr w:type="spellStart"/>
            <w:r w:rsidRPr="007A0E3E">
              <w:rPr>
                <w:rFonts w:ascii="Times New Roman" w:hAnsi="Times New Roman" w:cs="Times New Roman"/>
                <w:sz w:val="20"/>
                <w:szCs w:val="20"/>
              </w:rPr>
              <w:t>uncor</w:t>
            </w:r>
            <w:proofErr w:type="spellEnd"/>
          </w:p>
        </w:tc>
        <w:tc>
          <w:tcPr>
            <w:tcW w:w="396" w:type="pct"/>
          </w:tcPr>
          <w:p w14:paraId="627E8F67"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p-FDR</w:t>
            </w:r>
          </w:p>
        </w:tc>
        <w:tc>
          <w:tcPr>
            <w:tcW w:w="297" w:type="pct"/>
          </w:tcPr>
          <w:p w14:paraId="2C505BBA"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R</w:t>
            </w:r>
            <w:r w:rsidRPr="007A0E3E">
              <w:rPr>
                <w:rFonts w:ascii="Times New Roman" w:hAnsi="Times New Roman" w:cs="Times New Roman"/>
                <w:sz w:val="20"/>
                <w:szCs w:val="20"/>
                <w:vertAlign w:val="superscript"/>
              </w:rPr>
              <w:t>2</w:t>
            </w:r>
            <w:r w:rsidRPr="007A0E3E">
              <w:rPr>
                <w:rFonts w:ascii="Times New Roman" w:hAnsi="Times New Roman" w:cs="Times New Roman"/>
                <w:sz w:val="20"/>
                <w:szCs w:val="20"/>
              </w:rPr>
              <w:t>-IV</w:t>
            </w:r>
          </w:p>
        </w:tc>
        <w:tc>
          <w:tcPr>
            <w:tcW w:w="347" w:type="pct"/>
          </w:tcPr>
          <w:p w14:paraId="21DBCB55" w14:textId="77777777" w:rsidR="0048716C" w:rsidRPr="007A0E3E" w:rsidRDefault="0048716C" w:rsidP="001F3DEB">
            <w:pPr>
              <w:rPr>
                <w:rFonts w:ascii="Times New Roman" w:hAnsi="Times New Roman" w:cs="Times New Roman"/>
                <w:sz w:val="20"/>
                <w:szCs w:val="20"/>
              </w:rPr>
            </w:pPr>
            <w:r w:rsidRPr="007A0E3E">
              <w:rPr>
                <w:rFonts w:ascii="Times New Roman" w:eastAsia="Times New Roman" w:hAnsi="Times New Roman" w:cs="Times New Roman"/>
                <w:color w:val="000000"/>
                <w:sz w:val="20"/>
                <w:szCs w:val="20"/>
                <w:lang w:val="nl-NL" w:eastAsia="nl-NL"/>
              </w:rPr>
              <w:t>β (SE)</w:t>
            </w:r>
          </w:p>
        </w:tc>
        <w:tc>
          <w:tcPr>
            <w:tcW w:w="396" w:type="pct"/>
          </w:tcPr>
          <w:p w14:paraId="081450C7"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p-</w:t>
            </w:r>
            <w:proofErr w:type="spellStart"/>
            <w:r w:rsidRPr="007A0E3E">
              <w:rPr>
                <w:rFonts w:ascii="Times New Roman" w:hAnsi="Times New Roman" w:cs="Times New Roman"/>
                <w:sz w:val="20"/>
                <w:szCs w:val="20"/>
              </w:rPr>
              <w:t>uncor</w:t>
            </w:r>
            <w:proofErr w:type="spellEnd"/>
          </w:p>
        </w:tc>
        <w:tc>
          <w:tcPr>
            <w:tcW w:w="397" w:type="pct"/>
          </w:tcPr>
          <w:p w14:paraId="0E6B8E0E"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p-FDR</w:t>
            </w:r>
          </w:p>
        </w:tc>
        <w:tc>
          <w:tcPr>
            <w:tcW w:w="296" w:type="pct"/>
          </w:tcPr>
          <w:p w14:paraId="4F35658F"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R</w:t>
            </w:r>
            <w:r w:rsidRPr="007A0E3E">
              <w:rPr>
                <w:rFonts w:ascii="Times New Roman" w:hAnsi="Times New Roman" w:cs="Times New Roman"/>
                <w:sz w:val="20"/>
                <w:szCs w:val="20"/>
                <w:vertAlign w:val="superscript"/>
              </w:rPr>
              <w:t>2</w:t>
            </w:r>
            <w:r w:rsidRPr="007A0E3E">
              <w:rPr>
                <w:rFonts w:ascii="Times New Roman" w:hAnsi="Times New Roman" w:cs="Times New Roman"/>
                <w:sz w:val="20"/>
                <w:szCs w:val="20"/>
              </w:rPr>
              <w:t>-IV</w:t>
            </w:r>
          </w:p>
        </w:tc>
        <w:tc>
          <w:tcPr>
            <w:tcW w:w="347" w:type="pct"/>
          </w:tcPr>
          <w:p w14:paraId="4E85FAD0" w14:textId="77777777" w:rsidR="0048716C" w:rsidRPr="007A0E3E" w:rsidRDefault="0048716C" w:rsidP="001F3DEB">
            <w:pPr>
              <w:rPr>
                <w:rFonts w:ascii="Times New Roman" w:hAnsi="Times New Roman" w:cs="Times New Roman"/>
                <w:sz w:val="20"/>
                <w:szCs w:val="20"/>
              </w:rPr>
            </w:pPr>
            <w:r w:rsidRPr="007A0E3E">
              <w:rPr>
                <w:rFonts w:ascii="Times New Roman" w:eastAsia="Times New Roman" w:hAnsi="Times New Roman" w:cs="Times New Roman"/>
                <w:color w:val="000000"/>
                <w:sz w:val="20"/>
                <w:szCs w:val="20"/>
                <w:lang w:val="nl-NL" w:eastAsia="nl-NL"/>
              </w:rPr>
              <w:t>β (SE)</w:t>
            </w:r>
          </w:p>
        </w:tc>
        <w:tc>
          <w:tcPr>
            <w:tcW w:w="445" w:type="pct"/>
          </w:tcPr>
          <w:p w14:paraId="04F3CB91"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p-</w:t>
            </w:r>
            <w:proofErr w:type="spellStart"/>
            <w:r w:rsidRPr="007A0E3E">
              <w:rPr>
                <w:rFonts w:ascii="Times New Roman" w:hAnsi="Times New Roman" w:cs="Times New Roman"/>
                <w:sz w:val="20"/>
                <w:szCs w:val="20"/>
              </w:rPr>
              <w:t>uncor</w:t>
            </w:r>
            <w:proofErr w:type="spellEnd"/>
          </w:p>
        </w:tc>
        <w:tc>
          <w:tcPr>
            <w:tcW w:w="421" w:type="pct"/>
          </w:tcPr>
          <w:p w14:paraId="17D53087"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p-FDR</w:t>
            </w:r>
          </w:p>
        </w:tc>
        <w:tc>
          <w:tcPr>
            <w:tcW w:w="421" w:type="pct"/>
          </w:tcPr>
          <w:p w14:paraId="68B35D05"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R</w:t>
            </w:r>
            <w:r w:rsidRPr="007A0E3E">
              <w:rPr>
                <w:rFonts w:ascii="Times New Roman" w:hAnsi="Times New Roman" w:cs="Times New Roman"/>
                <w:sz w:val="20"/>
                <w:szCs w:val="20"/>
                <w:vertAlign w:val="superscript"/>
              </w:rPr>
              <w:t>2</w:t>
            </w:r>
            <w:r w:rsidRPr="007A0E3E">
              <w:rPr>
                <w:rFonts w:ascii="Times New Roman" w:hAnsi="Times New Roman" w:cs="Times New Roman"/>
                <w:sz w:val="20"/>
                <w:szCs w:val="20"/>
              </w:rPr>
              <w:t>-IV</w:t>
            </w:r>
          </w:p>
        </w:tc>
      </w:tr>
      <w:tr w:rsidR="0048716C" w:rsidRPr="007A0E3E" w14:paraId="361CE09E" w14:textId="77777777" w:rsidTr="001F3DEB">
        <w:tc>
          <w:tcPr>
            <w:tcW w:w="494" w:type="pct"/>
          </w:tcPr>
          <w:p w14:paraId="782CAE7C"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MRT</w:t>
            </w:r>
          </w:p>
        </w:tc>
        <w:tc>
          <w:tcPr>
            <w:tcW w:w="346" w:type="pct"/>
          </w:tcPr>
          <w:p w14:paraId="652EB824"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0.182 (0.048)</w:t>
            </w:r>
          </w:p>
        </w:tc>
        <w:tc>
          <w:tcPr>
            <w:tcW w:w="397" w:type="pct"/>
          </w:tcPr>
          <w:p w14:paraId="4C5B28E6"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1.84x10</w:t>
            </w:r>
            <w:r w:rsidRPr="007A0E3E">
              <w:rPr>
                <w:rFonts w:ascii="Times New Roman" w:hAnsi="Times New Roman" w:cs="Times New Roman"/>
                <w:sz w:val="20"/>
                <w:szCs w:val="20"/>
                <w:vertAlign w:val="superscript"/>
              </w:rPr>
              <w:t>-4</w:t>
            </w:r>
          </w:p>
        </w:tc>
        <w:tc>
          <w:tcPr>
            <w:tcW w:w="396" w:type="pct"/>
          </w:tcPr>
          <w:p w14:paraId="603CE801"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4.14x10</w:t>
            </w:r>
            <w:r w:rsidRPr="007A0E3E">
              <w:rPr>
                <w:rFonts w:ascii="Times New Roman" w:hAnsi="Times New Roman" w:cs="Times New Roman"/>
                <w:sz w:val="20"/>
                <w:szCs w:val="20"/>
                <w:vertAlign w:val="superscript"/>
              </w:rPr>
              <w:t>-4</w:t>
            </w:r>
          </w:p>
        </w:tc>
        <w:tc>
          <w:tcPr>
            <w:tcW w:w="297" w:type="pct"/>
          </w:tcPr>
          <w:p w14:paraId="1B9D5026"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0.029</w:t>
            </w:r>
          </w:p>
        </w:tc>
        <w:tc>
          <w:tcPr>
            <w:tcW w:w="347" w:type="pct"/>
          </w:tcPr>
          <w:p w14:paraId="7D1876DA"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0.154 (0.047)</w:t>
            </w:r>
          </w:p>
        </w:tc>
        <w:tc>
          <w:tcPr>
            <w:tcW w:w="396" w:type="pct"/>
          </w:tcPr>
          <w:p w14:paraId="2E947A1D"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0.001</w:t>
            </w:r>
          </w:p>
        </w:tc>
        <w:tc>
          <w:tcPr>
            <w:tcW w:w="397" w:type="pct"/>
          </w:tcPr>
          <w:p w14:paraId="111D7A30"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1.5x10</w:t>
            </w:r>
            <w:r w:rsidRPr="007A0E3E">
              <w:rPr>
                <w:rFonts w:ascii="Times New Roman" w:hAnsi="Times New Roman" w:cs="Times New Roman"/>
                <w:sz w:val="20"/>
                <w:szCs w:val="20"/>
                <w:vertAlign w:val="superscript"/>
              </w:rPr>
              <w:t>-3</w:t>
            </w:r>
          </w:p>
        </w:tc>
        <w:tc>
          <w:tcPr>
            <w:tcW w:w="296" w:type="pct"/>
          </w:tcPr>
          <w:p w14:paraId="32E53A23"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0.021</w:t>
            </w:r>
          </w:p>
        </w:tc>
        <w:tc>
          <w:tcPr>
            <w:tcW w:w="347" w:type="pct"/>
          </w:tcPr>
          <w:p w14:paraId="1EF41B1F"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0.179 (0.048)</w:t>
            </w:r>
          </w:p>
        </w:tc>
        <w:tc>
          <w:tcPr>
            <w:tcW w:w="445" w:type="pct"/>
          </w:tcPr>
          <w:p w14:paraId="15C135E7"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2.62x10</w:t>
            </w:r>
            <w:r w:rsidRPr="007A0E3E">
              <w:rPr>
                <w:rFonts w:ascii="Times New Roman" w:hAnsi="Times New Roman" w:cs="Times New Roman"/>
                <w:sz w:val="20"/>
                <w:szCs w:val="20"/>
                <w:vertAlign w:val="superscript"/>
              </w:rPr>
              <w:t>-4</w:t>
            </w:r>
          </w:p>
        </w:tc>
        <w:tc>
          <w:tcPr>
            <w:tcW w:w="421" w:type="pct"/>
          </w:tcPr>
          <w:p w14:paraId="303D96E4"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4.72x10</w:t>
            </w:r>
            <w:r w:rsidRPr="007A0E3E">
              <w:rPr>
                <w:rFonts w:ascii="Times New Roman" w:hAnsi="Times New Roman" w:cs="Times New Roman"/>
                <w:sz w:val="20"/>
                <w:szCs w:val="20"/>
                <w:vertAlign w:val="superscript"/>
              </w:rPr>
              <w:t>-4</w:t>
            </w:r>
          </w:p>
        </w:tc>
        <w:tc>
          <w:tcPr>
            <w:tcW w:w="421" w:type="pct"/>
          </w:tcPr>
          <w:p w14:paraId="45D2769B"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0.026</w:t>
            </w:r>
          </w:p>
        </w:tc>
      </w:tr>
      <w:tr w:rsidR="0048716C" w:rsidRPr="007A0E3E" w14:paraId="6C7D71C0" w14:textId="77777777" w:rsidTr="001F3DEB">
        <w:tc>
          <w:tcPr>
            <w:tcW w:w="494" w:type="pct"/>
          </w:tcPr>
          <w:p w14:paraId="0CE1CBBE"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IRT</w:t>
            </w:r>
          </w:p>
        </w:tc>
        <w:tc>
          <w:tcPr>
            <w:tcW w:w="346" w:type="pct"/>
          </w:tcPr>
          <w:p w14:paraId="4D51F04B"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0.307 (0.049)</w:t>
            </w:r>
          </w:p>
        </w:tc>
        <w:tc>
          <w:tcPr>
            <w:tcW w:w="397" w:type="pct"/>
          </w:tcPr>
          <w:p w14:paraId="5B7C56E5"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1.02x10</w:t>
            </w:r>
            <w:r w:rsidRPr="007A0E3E">
              <w:rPr>
                <w:rFonts w:ascii="Times New Roman" w:hAnsi="Times New Roman" w:cs="Times New Roman"/>
                <w:sz w:val="20"/>
                <w:szCs w:val="20"/>
                <w:vertAlign w:val="superscript"/>
              </w:rPr>
              <w:t>-9</w:t>
            </w:r>
          </w:p>
        </w:tc>
        <w:tc>
          <w:tcPr>
            <w:tcW w:w="396" w:type="pct"/>
          </w:tcPr>
          <w:p w14:paraId="4C1E6D60"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4.59x10</w:t>
            </w:r>
            <w:r w:rsidRPr="007A0E3E">
              <w:rPr>
                <w:rFonts w:ascii="Times New Roman" w:hAnsi="Times New Roman" w:cs="Times New Roman"/>
                <w:sz w:val="20"/>
                <w:szCs w:val="20"/>
                <w:vertAlign w:val="superscript"/>
              </w:rPr>
              <w:t>-4</w:t>
            </w:r>
          </w:p>
        </w:tc>
        <w:tc>
          <w:tcPr>
            <w:tcW w:w="297" w:type="pct"/>
          </w:tcPr>
          <w:p w14:paraId="4656E214"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0.078</w:t>
            </w:r>
          </w:p>
        </w:tc>
        <w:tc>
          <w:tcPr>
            <w:tcW w:w="347" w:type="pct"/>
          </w:tcPr>
          <w:p w14:paraId="0E2BE9D1"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0.257 (0.048)</w:t>
            </w:r>
          </w:p>
        </w:tc>
        <w:tc>
          <w:tcPr>
            <w:tcW w:w="396" w:type="pct"/>
          </w:tcPr>
          <w:p w14:paraId="45B5B484"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1.92x10</w:t>
            </w:r>
            <w:r w:rsidRPr="007A0E3E">
              <w:rPr>
                <w:rFonts w:ascii="Times New Roman" w:hAnsi="Times New Roman" w:cs="Times New Roman"/>
                <w:sz w:val="20"/>
                <w:szCs w:val="20"/>
                <w:vertAlign w:val="superscript"/>
              </w:rPr>
              <w:t>-7</w:t>
            </w:r>
          </w:p>
        </w:tc>
        <w:tc>
          <w:tcPr>
            <w:tcW w:w="397" w:type="pct"/>
          </w:tcPr>
          <w:p w14:paraId="66DB11A1"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5.76x10</w:t>
            </w:r>
            <w:r w:rsidRPr="007A0E3E">
              <w:rPr>
                <w:rFonts w:ascii="Times New Roman" w:hAnsi="Times New Roman" w:cs="Times New Roman"/>
                <w:sz w:val="20"/>
                <w:szCs w:val="20"/>
                <w:vertAlign w:val="superscript"/>
              </w:rPr>
              <w:t>-7</w:t>
            </w:r>
          </w:p>
        </w:tc>
        <w:tc>
          <w:tcPr>
            <w:tcW w:w="296" w:type="pct"/>
          </w:tcPr>
          <w:p w14:paraId="7D4039FB"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0.053</w:t>
            </w:r>
          </w:p>
        </w:tc>
        <w:tc>
          <w:tcPr>
            <w:tcW w:w="347" w:type="pct"/>
          </w:tcPr>
          <w:p w14:paraId="23FD52FD"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0.311 (0.049)</w:t>
            </w:r>
          </w:p>
        </w:tc>
        <w:tc>
          <w:tcPr>
            <w:tcW w:w="445" w:type="pct"/>
          </w:tcPr>
          <w:p w14:paraId="486570AD"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7.04x10</w:t>
            </w:r>
            <w:r w:rsidRPr="007A0E3E">
              <w:rPr>
                <w:rFonts w:ascii="Times New Roman" w:hAnsi="Times New Roman" w:cs="Times New Roman"/>
                <w:sz w:val="20"/>
                <w:szCs w:val="20"/>
                <w:vertAlign w:val="superscript"/>
              </w:rPr>
              <w:t>-10</w:t>
            </w:r>
          </w:p>
        </w:tc>
        <w:tc>
          <w:tcPr>
            <w:tcW w:w="421" w:type="pct"/>
          </w:tcPr>
          <w:p w14:paraId="76A08299"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4.59x10</w:t>
            </w:r>
            <w:r w:rsidRPr="007A0E3E">
              <w:rPr>
                <w:rFonts w:ascii="Times New Roman" w:hAnsi="Times New Roman" w:cs="Times New Roman"/>
                <w:sz w:val="20"/>
                <w:szCs w:val="20"/>
                <w:vertAlign w:val="superscript"/>
              </w:rPr>
              <w:t>-9</w:t>
            </w:r>
          </w:p>
        </w:tc>
        <w:tc>
          <w:tcPr>
            <w:tcW w:w="421" w:type="pct"/>
          </w:tcPr>
          <w:p w14:paraId="06BF1B0D"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0.079</w:t>
            </w:r>
          </w:p>
        </w:tc>
      </w:tr>
      <w:tr w:rsidR="0048716C" w:rsidRPr="007A0E3E" w14:paraId="2FD6D5C8" w14:textId="77777777" w:rsidTr="001F3DEB">
        <w:tc>
          <w:tcPr>
            <w:tcW w:w="494" w:type="pct"/>
          </w:tcPr>
          <w:p w14:paraId="2381BD26"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SSRT</w:t>
            </w:r>
          </w:p>
        </w:tc>
        <w:tc>
          <w:tcPr>
            <w:tcW w:w="346" w:type="pct"/>
          </w:tcPr>
          <w:p w14:paraId="434231F2"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0.091 (0.048)</w:t>
            </w:r>
          </w:p>
        </w:tc>
        <w:tc>
          <w:tcPr>
            <w:tcW w:w="397" w:type="pct"/>
          </w:tcPr>
          <w:p w14:paraId="5D82F444"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0.056</w:t>
            </w:r>
          </w:p>
        </w:tc>
        <w:tc>
          <w:tcPr>
            <w:tcW w:w="396" w:type="pct"/>
          </w:tcPr>
          <w:p w14:paraId="03E1CF5D"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6.3x10</w:t>
            </w:r>
            <w:r w:rsidRPr="007A0E3E">
              <w:rPr>
                <w:rFonts w:ascii="Times New Roman" w:hAnsi="Times New Roman" w:cs="Times New Roman"/>
                <w:sz w:val="20"/>
                <w:szCs w:val="20"/>
                <w:vertAlign w:val="superscript"/>
              </w:rPr>
              <w:t>-2</w:t>
            </w:r>
          </w:p>
        </w:tc>
        <w:tc>
          <w:tcPr>
            <w:tcW w:w="297" w:type="pct"/>
          </w:tcPr>
          <w:p w14:paraId="08DCE387"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0.006</w:t>
            </w:r>
          </w:p>
        </w:tc>
        <w:tc>
          <w:tcPr>
            <w:tcW w:w="347" w:type="pct"/>
          </w:tcPr>
          <w:p w14:paraId="1D116320"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0.118 (0.046)</w:t>
            </w:r>
          </w:p>
        </w:tc>
        <w:tc>
          <w:tcPr>
            <w:tcW w:w="396" w:type="pct"/>
          </w:tcPr>
          <w:p w14:paraId="3F147521"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0.011</w:t>
            </w:r>
          </w:p>
        </w:tc>
        <w:tc>
          <w:tcPr>
            <w:tcW w:w="397" w:type="pct"/>
          </w:tcPr>
          <w:p w14:paraId="0EDE36CD"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0.014</w:t>
            </w:r>
          </w:p>
        </w:tc>
        <w:tc>
          <w:tcPr>
            <w:tcW w:w="296" w:type="pct"/>
          </w:tcPr>
          <w:p w14:paraId="7DE918B5"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0.011</w:t>
            </w:r>
          </w:p>
        </w:tc>
        <w:tc>
          <w:tcPr>
            <w:tcW w:w="347" w:type="pct"/>
          </w:tcPr>
          <w:p w14:paraId="7265C778"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0.055 (0.048)</w:t>
            </w:r>
          </w:p>
        </w:tc>
        <w:tc>
          <w:tcPr>
            <w:tcW w:w="445" w:type="pct"/>
          </w:tcPr>
          <w:p w14:paraId="45A24034"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0.25</w:t>
            </w:r>
          </w:p>
        </w:tc>
        <w:tc>
          <w:tcPr>
            <w:tcW w:w="421" w:type="pct"/>
          </w:tcPr>
          <w:p w14:paraId="7C85DD3C"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0.25</w:t>
            </w:r>
          </w:p>
        </w:tc>
        <w:tc>
          <w:tcPr>
            <w:tcW w:w="421" w:type="pct"/>
          </w:tcPr>
          <w:p w14:paraId="3685388A"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-0.001</w:t>
            </w:r>
          </w:p>
        </w:tc>
      </w:tr>
    </w:tbl>
    <w:p w14:paraId="5FD436B7" w14:textId="77777777" w:rsidR="0048716C" w:rsidRPr="007A0E3E" w:rsidRDefault="0048716C" w:rsidP="0048716C">
      <w:pPr>
        <w:rPr>
          <w:rFonts w:ascii="Times New Roman" w:hAnsi="Times New Roman" w:cs="Times New Roman"/>
          <w:sz w:val="20"/>
          <w:szCs w:val="20"/>
          <w:lang w:val="nl-NL"/>
        </w:rPr>
      </w:pPr>
    </w:p>
    <w:p w14:paraId="6B43FB3F" w14:textId="77777777" w:rsidR="0048716C" w:rsidRPr="007A0E3E" w:rsidRDefault="0048716C" w:rsidP="0048716C">
      <w:pPr>
        <w:rPr>
          <w:rFonts w:ascii="Times New Roman" w:hAnsi="Times New Roman" w:cs="Times New Roman"/>
          <w:i/>
          <w:iCs/>
          <w:sz w:val="20"/>
          <w:szCs w:val="20"/>
        </w:rPr>
      </w:pPr>
      <w:r w:rsidRPr="007A0E3E">
        <w:rPr>
          <w:rFonts w:ascii="Times New Roman" w:hAnsi="Times New Roman" w:cs="Times New Roman"/>
          <w:i/>
          <w:iCs/>
          <w:sz w:val="20"/>
          <w:szCs w:val="20"/>
        </w:rPr>
        <w:br w:type="page"/>
      </w:r>
    </w:p>
    <w:p w14:paraId="2A0A87E4" w14:textId="5D0665E6" w:rsidR="0048716C" w:rsidRPr="007A0E3E" w:rsidRDefault="0048716C" w:rsidP="0048716C">
      <w:pPr>
        <w:rPr>
          <w:rFonts w:ascii="Times New Roman" w:hAnsi="Times New Roman" w:cs="Times New Roman"/>
          <w:sz w:val="20"/>
          <w:szCs w:val="20"/>
        </w:rPr>
      </w:pPr>
      <w:r w:rsidRPr="007A0E3E">
        <w:rPr>
          <w:rFonts w:ascii="Times New Roman" w:hAnsi="Times New Roman" w:cs="Times New Roman"/>
          <w:sz w:val="20"/>
          <w:szCs w:val="20"/>
        </w:rPr>
        <w:lastRenderedPageBreak/>
        <w:t>Supplementary Table 7 The associations between neural correlates of response inhibition and ADHD symptoms.</w:t>
      </w:r>
    </w:p>
    <w:tbl>
      <w:tblPr>
        <w:tblStyle w:val="TableGrid"/>
        <w:tblW w:w="5130" w:type="pct"/>
        <w:tblBorders>
          <w:left w:val="none" w:sz="0" w:space="0" w:color="auto"/>
          <w:right w:val="none" w:sz="0" w:space="0" w:color="auto"/>
        </w:tblBorders>
        <w:tblLook w:val="04A0" w:firstRow="1" w:lastRow="0" w:firstColumn="1" w:lastColumn="0" w:noHBand="0" w:noVBand="1"/>
      </w:tblPr>
      <w:tblGrid>
        <w:gridCol w:w="3382"/>
        <w:gridCol w:w="802"/>
        <w:gridCol w:w="908"/>
        <w:gridCol w:w="836"/>
        <w:gridCol w:w="736"/>
        <w:gridCol w:w="848"/>
        <w:gridCol w:w="994"/>
        <w:gridCol w:w="851"/>
        <w:gridCol w:w="791"/>
        <w:gridCol w:w="911"/>
        <w:gridCol w:w="994"/>
        <w:gridCol w:w="1197"/>
        <w:gridCol w:w="1071"/>
      </w:tblGrid>
      <w:tr w:rsidR="0048716C" w:rsidRPr="007A0E3E" w14:paraId="532022B4" w14:textId="77777777" w:rsidTr="001F3DEB">
        <w:tc>
          <w:tcPr>
            <w:tcW w:w="1181" w:type="pct"/>
            <w:vMerge w:val="restart"/>
          </w:tcPr>
          <w:p w14:paraId="710BEDCC" w14:textId="77777777" w:rsidR="0048716C" w:rsidRPr="007A0E3E" w:rsidRDefault="0048716C" w:rsidP="001F3DEB">
            <w:pPr>
              <w:rPr>
                <w:rFonts w:ascii="Times New Roman" w:hAnsi="Times New Roman" w:cs="Times New Roman"/>
                <w:sz w:val="20"/>
                <w:szCs w:val="20"/>
              </w:rPr>
            </w:pPr>
            <w:bookmarkStart w:id="2" w:name="_Hlk79644634"/>
          </w:p>
        </w:tc>
        <w:tc>
          <w:tcPr>
            <w:tcW w:w="3819" w:type="pct"/>
            <w:gridSpan w:val="12"/>
          </w:tcPr>
          <w:p w14:paraId="71AE9F3F"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Regressing dependent variable on mediator</w:t>
            </w:r>
          </w:p>
        </w:tc>
      </w:tr>
      <w:tr w:rsidR="0048716C" w:rsidRPr="007A0E3E" w14:paraId="1292F2E7" w14:textId="77777777" w:rsidTr="001F3DEB">
        <w:tc>
          <w:tcPr>
            <w:tcW w:w="1181" w:type="pct"/>
            <w:vMerge/>
          </w:tcPr>
          <w:p w14:paraId="12E0461C" w14:textId="77777777" w:rsidR="0048716C" w:rsidRPr="007A0E3E" w:rsidRDefault="0048716C" w:rsidP="001F3DEB">
            <w:pPr>
              <w:rPr>
                <w:rFonts w:ascii="Times New Roman" w:hAnsi="Times New Roman" w:cs="Times New Roman"/>
                <w:sz w:val="20"/>
                <w:szCs w:val="20"/>
              </w:rPr>
            </w:pPr>
          </w:p>
        </w:tc>
        <w:tc>
          <w:tcPr>
            <w:tcW w:w="3819" w:type="pct"/>
            <w:gridSpan w:val="12"/>
          </w:tcPr>
          <w:p w14:paraId="40EE572B"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Dependent variable</w:t>
            </w:r>
          </w:p>
        </w:tc>
      </w:tr>
      <w:tr w:rsidR="0048716C" w:rsidRPr="007A0E3E" w14:paraId="7D1D5AB6" w14:textId="77777777" w:rsidTr="001F3DEB">
        <w:tc>
          <w:tcPr>
            <w:tcW w:w="1181" w:type="pct"/>
            <w:vMerge/>
          </w:tcPr>
          <w:p w14:paraId="2A7D3913" w14:textId="77777777" w:rsidR="0048716C" w:rsidRPr="007A0E3E" w:rsidRDefault="0048716C" w:rsidP="001F3DEB">
            <w:pPr>
              <w:rPr>
                <w:rFonts w:ascii="Times New Roman" w:hAnsi="Times New Roman" w:cs="Times New Roman"/>
                <w:sz w:val="20"/>
                <w:szCs w:val="20"/>
              </w:rPr>
            </w:pPr>
          </w:p>
        </w:tc>
        <w:tc>
          <w:tcPr>
            <w:tcW w:w="1146" w:type="pct"/>
            <w:gridSpan w:val="4"/>
          </w:tcPr>
          <w:p w14:paraId="21034760"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Total symptom score (N=423)</w:t>
            </w:r>
          </w:p>
        </w:tc>
        <w:tc>
          <w:tcPr>
            <w:tcW w:w="1216" w:type="pct"/>
            <w:gridSpan w:val="4"/>
          </w:tcPr>
          <w:p w14:paraId="15D5ED91"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Inattention symptoms (N=438)</w:t>
            </w:r>
          </w:p>
        </w:tc>
        <w:tc>
          <w:tcPr>
            <w:tcW w:w="1457" w:type="pct"/>
            <w:gridSpan w:val="4"/>
          </w:tcPr>
          <w:p w14:paraId="4B079649"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Hyperactivity-impulsivity symptoms (N=431)</w:t>
            </w:r>
          </w:p>
        </w:tc>
      </w:tr>
      <w:tr w:rsidR="0048716C" w:rsidRPr="007A0E3E" w14:paraId="056C6ADD" w14:textId="77777777" w:rsidTr="001F3DEB">
        <w:tc>
          <w:tcPr>
            <w:tcW w:w="1181" w:type="pct"/>
          </w:tcPr>
          <w:p w14:paraId="6A2E0368"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Independent variable</w:t>
            </w:r>
          </w:p>
        </w:tc>
        <w:tc>
          <w:tcPr>
            <w:tcW w:w="280" w:type="pct"/>
          </w:tcPr>
          <w:p w14:paraId="0245A066" w14:textId="77777777" w:rsidR="0048716C" w:rsidRPr="007A0E3E" w:rsidRDefault="0048716C" w:rsidP="001F3DEB">
            <w:pPr>
              <w:rPr>
                <w:rFonts w:ascii="Times New Roman" w:hAnsi="Times New Roman" w:cs="Times New Roman"/>
                <w:sz w:val="20"/>
                <w:szCs w:val="20"/>
              </w:rPr>
            </w:pPr>
            <w:r w:rsidRPr="007A0E3E">
              <w:rPr>
                <w:rFonts w:ascii="Times New Roman" w:eastAsia="Times New Roman" w:hAnsi="Times New Roman" w:cs="Times New Roman"/>
                <w:color w:val="000000"/>
                <w:sz w:val="20"/>
                <w:szCs w:val="20"/>
                <w:lang w:val="nl-NL" w:eastAsia="nl-NL"/>
              </w:rPr>
              <w:t>β (SE)</w:t>
            </w:r>
          </w:p>
        </w:tc>
        <w:tc>
          <w:tcPr>
            <w:tcW w:w="317" w:type="pct"/>
          </w:tcPr>
          <w:p w14:paraId="442726F2"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p-</w:t>
            </w:r>
            <w:proofErr w:type="spellStart"/>
            <w:r w:rsidRPr="007A0E3E">
              <w:rPr>
                <w:rFonts w:ascii="Times New Roman" w:hAnsi="Times New Roman" w:cs="Times New Roman"/>
                <w:sz w:val="20"/>
                <w:szCs w:val="20"/>
              </w:rPr>
              <w:t>uncor</w:t>
            </w:r>
            <w:proofErr w:type="spellEnd"/>
          </w:p>
        </w:tc>
        <w:tc>
          <w:tcPr>
            <w:tcW w:w="292" w:type="pct"/>
          </w:tcPr>
          <w:p w14:paraId="2D0DED1B"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p-FDR</w:t>
            </w:r>
          </w:p>
        </w:tc>
        <w:tc>
          <w:tcPr>
            <w:tcW w:w="257" w:type="pct"/>
          </w:tcPr>
          <w:p w14:paraId="0A4DF177"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R</w:t>
            </w:r>
            <w:r w:rsidRPr="007A0E3E">
              <w:rPr>
                <w:rFonts w:ascii="Times New Roman" w:hAnsi="Times New Roman" w:cs="Times New Roman"/>
                <w:sz w:val="20"/>
                <w:szCs w:val="20"/>
                <w:vertAlign w:val="superscript"/>
              </w:rPr>
              <w:t>2</w:t>
            </w:r>
            <w:r w:rsidRPr="007A0E3E">
              <w:rPr>
                <w:rFonts w:ascii="Times New Roman" w:hAnsi="Times New Roman" w:cs="Times New Roman"/>
                <w:sz w:val="20"/>
                <w:szCs w:val="20"/>
              </w:rPr>
              <w:t>-IV</w:t>
            </w:r>
          </w:p>
        </w:tc>
        <w:tc>
          <w:tcPr>
            <w:tcW w:w="296" w:type="pct"/>
          </w:tcPr>
          <w:p w14:paraId="6B350EBC" w14:textId="77777777" w:rsidR="0048716C" w:rsidRPr="007A0E3E" w:rsidRDefault="0048716C" w:rsidP="001F3DEB">
            <w:pPr>
              <w:rPr>
                <w:rFonts w:ascii="Times New Roman" w:hAnsi="Times New Roman" w:cs="Times New Roman"/>
                <w:sz w:val="20"/>
                <w:szCs w:val="20"/>
              </w:rPr>
            </w:pPr>
            <w:r w:rsidRPr="007A0E3E">
              <w:rPr>
                <w:rFonts w:ascii="Times New Roman" w:eastAsia="Times New Roman" w:hAnsi="Times New Roman" w:cs="Times New Roman"/>
                <w:color w:val="000000"/>
                <w:sz w:val="20"/>
                <w:szCs w:val="20"/>
                <w:lang w:val="nl-NL" w:eastAsia="nl-NL"/>
              </w:rPr>
              <w:t>β (SE)</w:t>
            </w:r>
          </w:p>
        </w:tc>
        <w:tc>
          <w:tcPr>
            <w:tcW w:w="347" w:type="pct"/>
          </w:tcPr>
          <w:p w14:paraId="6D833E73"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p-</w:t>
            </w:r>
            <w:proofErr w:type="spellStart"/>
            <w:r w:rsidRPr="007A0E3E">
              <w:rPr>
                <w:rFonts w:ascii="Times New Roman" w:hAnsi="Times New Roman" w:cs="Times New Roman"/>
                <w:sz w:val="20"/>
                <w:szCs w:val="20"/>
              </w:rPr>
              <w:t>uncor</w:t>
            </w:r>
            <w:proofErr w:type="spellEnd"/>
          </w:p>
        </w:tc>
        <w:tc>
          <w:tcPr>
            <w:tcW w:w="297" w:type="pct"/>
          </w:tcPr>
          <w:p w14:paraId="5EFFC13B"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p-FDR</w:t>
            </w:r>
          </w:p>
        </w:tc>
        <w:tc>
          <w:tcPr>
            <w:tcW w:w="276" w:type="pct"/>
          </w:tcPr>
          <w:p w14:paraId="14A4CD3A"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R</w:t>
            </w:r>
            <w:r w:rsidRPr="007A0E3E">
              <w:rPr>
                <w:rFonts w:ascii="Times New Roman" w:hAnsi="Times New Roman" w:cs="Times New Roman"/>
                <w:sz w:val="20"/>
                <w:szCs w:val="20"/>
                <w:vertAlign w:val="superscript"/>
              </w:rPr>
              <w:t>2</w:t>
            </w:r>
            <w:r w:rsidRPr="007A0E3E">
              <w:rPr>
                <w:rFonts w:ascii="Times New Roman" w:hAnsi="Times New Roman" w:cs="Times New Roman"/>
                <w:sz w:val="20"/>
                <w:szCs w:val="20"/>
              </w:rPr>
              <w:t>-IV</w:t>
            </w:r>
          </w:p>
        </w:tc>
        <w:tc>
          <w:tcPr>
            <w:tcW w:w="318" w:type="pct"/>
          </w:tcPr>
          <w:p w14:paraId="1161E6EA" w14:textId="77777777" w:rsidR="0048716C" w:rsidRPr="007A0E3E" w:rsidRDefault="0048716C" w:rsidP="001F3DEB">
            <w:pPr>
              <w:rPr>
                <w:rFonts w:ascii="Times New Roman" w:hAnsi="Times New Roman" w:cs="Times New Roman"/>
                <w:sz w:val="20"/>
                <w:szCs w:val="20"/>
              </w:rPr>
            </w:pPr>
            <w:r w:rsidRPr="007A0E3E">
              <w:rPr>
                <w:rFonts w:ascii="Times New Roman" w:eastAsia="Times New Roman" w:hAnsi="Times New Roman" w:cs="Times New Roman"/>
                <w:color w:val="000000"/>
                <w:sz w:val="20"/>
                <w:szCs w:val="20"/>
                <w:lang w:val="nl-NL" w:eastAsia="nl-NL"/>
              </w:rPr>
              <w:t>β (SE)</w:t>
            </w:r>
          </w:p>
        </w:tc>
        <w:tc>
          <w:tcPr>
            <w:tcW w:w="347" w:type="pct"/>
          </w:tcPr>
          <w:p w14:paraId="73E4655D"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p-</w:t>
            </w:r>
            <w:proofErr w:type="spellStart"/>
            <w:r w:rsidRPr="007A0E3E">
              <w:rPr>
                <w:rFonts w:ascii="Times New Roman" w:hAnsi="Times New Roman" w:cs="Times New Roman"/>
                <w:sz w:val="20"/>
                <w:szCs w:val="20"/>
              </w:rPr>
              <w:t>uncor</w:t>
            </w:r>
            <w:proofErr w:type="spellEnd"/>
          </w:p>
        </w:tc>
        <w:tc>
          <w:tcPr>
            <w:tcW w:w="418" w:type="pct"/>
          </w:tcPr>
          <w:p w14:paraId="1C119022"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p-FDR</w:t>
            </w:r>
          </w:p>
        </w:tc>
        <w:tc>
          <w:tcPr>
            <w:tcW w:w="374" w:type="pct"/>
          </w:tcPr>
          <w:p w14:paraId="68D318D4"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R</w:t>
            </w:r>
            <w:r w:rsidRPr="007A0E3E">
              <w:rPr>
                <w:rFonts w:ascii="Times New Roman" w:hAnsi="Times New Roman" w:cs="Times New Roman"/>
                <w:sz w:val="20"/>
                <w:szCs w:val="20"/>
                <w:vertAlign w:val="superscript"/>
              </w:rPr>
              <w:t>2</w:t>
            </w:r>
            <w:r w:rsidRPr="007A0E3E">
              <w:rPr>
                <w:rFonts w:ascii="Times New Roman" w:hAnsi="Times New Roman" w:cs="Times New Roman"/>
                <w:sz w:val="20"/>
                <w:szCs w:val="20"/>
              </w:rPr>
              <w:t>-IV</w:t>
            </w:r>
          </w:p>
        </w:tc>
      </w:tr>
      <w:tr w:rsidR="0048716C" w:rsidRPr="007A0E3E" w14:paraId="1C1BF2E1" w14:textId="77777777" w:rsidTr="001F3DEB">
        <w:tc>
          <w:tcPr>
            <w:tcW w:w="1181" w:type="pct"/>
          </w:tcPr>
          <w:p w14:paraId="2B4C5EB4"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 xml:space="preserve">Left </w:t>
            </w:r>
            <w:proofErr w:type="spellStart"/>
            <w:r w:rsidRPr="007A0E3E">
              <w:rPr>
                <w:rFonts w:ascii="Times New Roman" w:hAnsi="Times New Roman" w:cs="Times New Roman"/>
                <w:sz w:val="20"/>
                <w:szCs w:val="20"/>
              </w:rPr>
              <w:t>fronto</w:t>
            </w:r>
            <w:proofErr w:type="spellEnd"/>
            <w:r w:rsidRPr="007A0E3E">
              <w:rPr>
                <w:rFonts w:ascii="Times New Roman" w:hAnsi="Times New Roman" w:cs="Times New Roman"/>
                <w:sz w:val="20"/>
                <w:szCs w:val="20"/>
              </w:rPr>
              <w:t>-insular regions and putamen (Successful inhibition – go)</w:t>
            </w:r>
          </w:p>
        </w:tc>
        <w:tc>
          <w:tcPr>
            <w:tcW w:w="280" w:type="pct"/>
          </w:tcPr>
          <w:p w14:paraId="2BD9DEA2"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0.025 (0.045)</w:t>
            </w:r>
          </w:p>
        </w:tc>
        <w:tc>
          <w:tcPr>
            <w:tcW w:w="317" w:type="pct"/>
          </w:tcPr>
          <w:p w14:paraId="603EAC04"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0.589</w:t>
            </w:r>
          </w:p>
        </w:tc>
        <w:tc>
          <w:tcPr>
            <w:tcW w:w="292" w:type="pct"/>
          </w:tcPr>
          <w:p w14:paraId="5F59F403"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0.648</w:t>
            </w:r>
          </w:p>
        </w:tc>
        <w:tc>
          <w:tcPr>
            <w:tcW w:w="257" w:type="pct"/>
          </w:tcPr>
          <w:p w14:paraId="18F2F9C6"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7x10</w:t>
            </w:r>
            <w:r w:rsidRPr="007A0E3E">
              <w:rPr>
                <w:rFonts w:ascii="Times New Roman" w:hAnsi="Times New Roman" w:cs="Times New Roman"/>
                <w:sz w:val="20"/>
                <w:szCs w:val="20"/>
                <w:vertAlign w:val="superscript"/>
              </w:rPr>
              <w:t>-4</w:t>
            </w:r>
          </w:p>
        </w:tc>
        <w:tc>
          <w:tcPr>
            <w:tcW w:w="296" w:type="pct"/>
          </w:tcPr>
          <w:p w14:paraId="3C64DCDF"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0.023 (0.044)</w:t>
            </w:r>
          </w:p>
        </w:tc>
        <w:tc>
          <w:tcPr>
            <w:tcW w:w="347" w:type="pct"/>
          </w:tcPr>
          <w:p w14:paraId="047A3CD8"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0.605</w:t>
            </w:r>
          </w:p>
        </w:tc>
        <w:tc>
          <w:tcPr>
            <w:tcW w:w="297" w:type="pct"/>
          </w:tcPr>
          <w:p w14:paraId="607CD82C"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0.648</w:t>
            </w:r>
          </w:p>
        </w:tc>
        <w:tc>
          <w:tcPr>
            <w:tcW w:w="276" w:type="pct"/>
          </w:tcPr>
          <w:p w14:paraId="307E088C"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6x10</w:t>
            </w:r>
            <w:r w:rsidRPr="007A0E3E">
              <w:rPr>
                <w:rFonts w:ascii="Times New Roman" w:hAnsi="Times New Roman" w:cs="Times New Roman"/>
                <w:sz w:val="20"/>
                <w:szCs w:val="20"/>
                <w:vertAlign w:val="superscript"/>
              </w:rPr>
              <w:t>-4</w:t>
            </w:r>
          </w:p>
        </w:tc>
        <w:tc>
          <w:tcPr>
            <w:tcW w:w="318" w:type="pct"/>
          </w:tcPr>
          <w:p w14:paraId="6E1AA04C"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0.001 (0.046)</w:t>
            </w:r>
          </w:p>
        </w:tc>
        <w:tc>
          <w:tcPr>
            <w:tcW w:w="347" w:type="pct"/>
          </w:tcPr>
          <w:p w14:paraId="0E8481B8"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0.983</w:t>
            </w:r>
          </w:p>
        </w:tc>
        <w:tc>
          <w:tcPr>
            <w:tcW w:w="418" w:type="pct"/>
          </w:tcPr>
          <w:p w14:paraId="0C7117EF"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0.983</w:t>
            </w:r>
          </w:p>
        </w:tc>
        <w:tc>
          <w:tcPr>
            <w:tcW w:w="374" w:type="pct"/>
          </w:tcPr>
          <w:p w14:paraId="69AFE61E"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-0.001</w:t>
            </w:r>
          </w:p>
        </w:tc>
      </w:tr>
      <w:tr w:rsidR="0048716C" w:rsidRPr="007A0E3E" w14:paraId="7A2A6492" w14:textId="77777777" w:rsidTr="001F3DEB">
        <w:tc>
          <w:tcPr>
            <w:tcW w:w="1181" w:type="pct"/>
          </w:tcPr>
          <w:p w14:paraId="77415D61"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Left temporal pole and anterior PHG (Failed inhibition – go)</w:t>
            </w:r>
          </w:p>
        </w:tc>
        <w:tc>
          <w:tcPr>
            <w:tcW w:w="280" w:type="pct"/>
          </w:tcPr>
          <w:p w14:paraId="21A8428F"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-0.03 (0.047)</w:t>
            </w:r>
          </w:p>
        </w:tc>
        <w:tc>
          <w:tcPr>
            <w:tcW w:w="317" w:type="pct"/>
          </w:tcPr>
          <w:p w14:paraId="4F0E2637"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0.518</w:t>
            </w:r>
          </w:p>
        </w:tc>
        <w:tc>
          <w:tcPr>
            <w:tcW w:w="292" w:type="pct"/>
          </w:tcPr>
          <w:p w14:paraId="6CDCE3A5"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0.648</w:t>
            </w:r>
          </w:p>
        </w:tc>
        <w:tc>
          <w:tcPr>
            <w:tcW w:w="257" w:type="pct"/>
          </w:tcPr>
          <w:p w14:paraId="71161EB5"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0.001</w:t>
            </w:r>
          </w:p>
        </w:tc>
        <w:tc>
          <w:tcPr>
            <w:tcW w:w="296" w:type="pct"/>
          </w:tcPr>
          <w:p w14:paraId="78A50A00"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-0.03 (0.045)</w:t>
            </w:r>
          </w:p>
        </w:tc>
        <w:tc>
          <w:tcPr>
            <w:tcW w:w="347" w:type="pct"/>
          </w:tcPr>
          <w:p w14:paraId="6E7D92C4"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0.508</w:t>
            </w:r>
          </w:p>
        </w:tc>
        <w:tc>
          <w:tcPr>
            <w:tcW w:w="297" w:type="pct"/>
          </w:tcPr>
          <w:p w14:paraId="62745147"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0.648</w:t>
            </w:r>
          </w:p>
        </w:tc>
        <w:tc>
          <w:tcPr>
            <w:tcW w:w="276" w:type="pct"/>
          </w:tcPr>
          <w:p w14:paraId="235EF62C"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0.001</w:t>
            </w:r>
          </w:p>
        </w:tc>
        <w:tc>
          <w:tcPr>
            <w:tcW w:w="318" w:type="pct"/>
          </w:tcPr>
          <w:p w14:paraId="0D16C69C"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-0.043 (0.047)</w:t>
            </w:r>
          </w:p>
        </w:tc>
        <w:tc>
          <w:tcPr>
            <w:tcW w:w="347" w:type="pct"/>
          </w:tcPr>
          <w:p w14:paraId="3DCE133B"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0.357</w:t>
            </w:r>
          </w:p>
        </w:tc>
        <w:tc>
          <w:tcPr>
            <w:tcW w:w="418" w:type="pct"/>
          </w:tcPr>
          <w:p w14:paraId="25C49FFE"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0.578</w:t>
            </w:r>
          </w:p>
        </w:tc>
        <w:tc>
          <w:tcPr>
            <w:tcW w:w="374" w:type="pct"/>
          </w:tcPr>
          <w:p w14:paraId="033A99C9"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0.002</w:t>
            </w:r>
          </w:p>
        </w:tc>
      </w:tr>
      <w:tr w:rsidR="0048716C" w:rsidRPr="007A0E3E" w14:paraId="14ADF961" w14:textId="77777777" w:rsidTr="001F3DEB">
        <w:tc>
          <w:tcPr>
            <w:tcW w:w="1181" w:type="pct"/>
          </w:tcPr>
          <w:p w14:paraId="476129DB"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Right putamen (Failed inhibition – go)</w:t>
            </w:r>
          </w:p>
        </w:tc>
        <w:tc>
          <w:tcPr>
            <w:tcW w:w="280" w:type="pct"/>
          </w:tcPr>
          <w:p w14:paraId="758F87DA"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0.085 (0.046)</w:t>
            </w:r>
          </w:p>
        </w:tc>
        <w:tc>
          <w:tcPr>
            <w:tcW w:w="317" w:type="pct"/>
          </w:tcPr>
          <w:p w14:paraId="1E5BB979"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0.067</w:t>
            </w:r>
          </w:p>
        </w:tc>
        <w:tc>
          <w:tcPr>
            <w:tcW w:w="292" w:type="pct"/>
          </w:tcPr>
          <w:p w14:paraId="3FE7136D"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0.251</w:t>
            </w:r>
          </w:p>
        </w:tc>
        <w:tc>
          <w:tcPr>
            <w:tcW w:w="257" w:type="pct"/>
          </w:tcPr>
          <w:p w14:paraId="1EE1067B"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0.006</w:t>
            </w:r>
          </w:p>
        </w:tc>
        <w:tc>
          <w:tcPr>
            <w:tcW w:w="296" w:type="pct"/>
          </w:tcPr>
          <w:p w14:paraId="39C253E8"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0.105 (0.045)</w:t>
            </w:r>
          </w:p>
        </w:tc>
        <w:tc>
          <w:tcPr>
            <w:tcW w:w="347" w:type="pct"/>
          </w:tcPr>
          <w:p w14:paraId="6F19C019"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0.021</w:t>
            </w:r>
          </w:p>
        </w:tc>
        <w:tc>
          <w:tcPr>
            <w:tcW w:w="297" w:type="pct"/>
          </w:tcPr>
          <w:p w14:paraId="49EB7099"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0.205</w:t>
            </w:r>
          </w:p>
        </w:tc>
        <w:tc>
          <w:tcPr>
            <w:tcW w:w="276" w:type="pct"/>
          </w:tcPr>
          <w:p w14:paraId="684B7E9D"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0.01</w:t>
            </w:r>
          </w:p>
        </w:tc>
        <w:tc>
          <w:tcPr>
            <w:tcW w:w="318" w:type="pct"/>
          </w:tcPr>
          <w:p w14:paraId="33452F7E"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0.048 (0.047)</w:t>
            </w:r>
          </w:p>
        </w:tc>
        <w:tc>
          <w:tcPr>
            <w:tcW w:w="347" w:type="pct"/>
          </w:tcPr>
          <w:p w14:paraId="003BC22E"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0.303</w:t>
            </w:r>
          </w:p>
        </w:tc>
        <w:tc>
          <w:tcPr>
            <w:tcW w:w="418" w:type="pct"/>
          </w:tcPr>
          <w:p w14:paraId="0F95042E"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0.578</w:t>
            </w:r>
          </w:p>
        </w:tc>
        <w:tc>
          <w:tcPr>
            <w:tcW w:w="374" w:type="pct"/>
          </w:tcPr>
          <w:p w14:paraId="62CE054B"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0.002</w:t>
            </w:r>
          </w:p>
        </w:tc>
      </w:tr>
      <w:tr w:rsidR="0048716C" w:rsidRPr="007A0E3E" w14:paraId="4E82A268" w14:textId="77777777" w:rsidTr="001F3DEB">
        <w:tc>
          <w:tcPr>
            <w:tcW w:w="1181" w:type="pct"/>
          </w:tcPr>
          <w:p w14:paraId="7144AFD7"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 xml:space="preserve">Left </w:t>
            </w:r>
            <w:proofErr w:type="spellStart"/>
            <w:r w:rsidRPr="007A0E3E">
              <w:rPr>
                <w:rFonts w:ascii="Times New Roman" w:hAnsi="Times New Roman" w:cs="Times New Roman"/>
                <w:sz w:val="20"/>
                <w:szCs w:val="20"/>
              </w:rPr>
              <w:t>fronto</w:t>
            </w:r>
            <w:proofErr w:type="spellEnd"/>
            <w:r w:rsidRPr="007A0E3E">
              <w:rPr>
                <w:rFonts w:ascii="Times New Roman" w:hAnsi="Times New Roman" w:cs="Times New Roman"/>
                <w:sz w:val="20"/>
                <w:szCs w:val="20"/>
              </w:rPr>
              <w:t>-insular, putamen, anterior temporal regions, and PHG (Failed – successful inhibition)</w:t>
            </w:r>
          </w:p>
        </w:tc>
        <w:tc>
          <w:tcPr>
            <w:tcW w:w="280" w:type="pct"/>
          </w:tcPr>
          <w:p w14:paraId="731AAE62"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0.04 (0.046)</w:t>
            </w:r>
          </w:p>
        </w:tc>
        <w:tc>
          <w:tcPr>
            <w:tcW w:w="317" w:type="pct"/>
          </w:tcPr>
          <w:p w14:paraId="61A0D95D"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0.385</w:t>
            </w:r>
          </w:p>
        </w:tc>
        <w:tc>
          <w:tcPr>
            <w:tcW w:w="292" w:type="pct"/>
          </w:tcPr>
          <w:p w14:paraId="72BFB70C"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0.578</w:t>
            </w:r>
          </w:p>
        </w:tc>
        <w:tc>
          <w:tcPr>
            <w:tcW w:w="257" w:type="pct"/>
          </w:tcPr>
          <w:p w14:paraId="3FDE47A3"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0.001</w:t>
            </w:r>
          </w:p>
        </w:tc>
        <w:tc>
          <w:tcPr>
            <w:tcW w:w="296" w:type="pct"/>
          </w:tcPr>
          <w:p w14:paraId="4D6F10DB"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0.046 (0.045)</w:t>
            </w:r>
          </w:p>
        </w:tc>
        <w:tc>
          <w:tcPr>
            <w:tcW w:w="347" w:type="pct"/>
          </w:tcPr>
          <w:p w14:paraId="38E676D4"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0.314</w:t>
            </w:r>
          </w:p>
        </w:tc>
        <w:tc>
          <w:tcPr>
            <w:tcW w:w="297" w:type="pct"/>
          </w:tcPr>
          <w:p w14:paraId="7C69719D"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0.578</w:t>
            </w:r>
          </w:p>
        </w:tc>
        <w:tc>
          <w:tcPr>
            <w:tcW w:w="276" w:type="pct"/>
          </w:tcPr>
          <w:p w14:paraId="743882A0"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0.002</w:t>
            </w:r>
          </w:p>
        </w:tc>
        <w:tc>
          <w:tcPr>
            <w:tcW w:w="318" w:type="pct"/>
          </w:tcPr>
          <w:p w14:paraId="36F83839"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0.048 (0.047)</w:t>
            </w:r>
          </w:p>
        </w:tc>
        <w:tc>
          <w:tcPr>
            <w:tcW w:w="347" w:type="pct"/>
          </w:tcPr>
          <w:p w14:paraId="6B91C589"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0.304</w:t>
            </w:r>
          </w:p>
        </w:tc>
        <w:tc>
          <w:tcPr>
            <w:tcW w:w="418" w:type="pct"/>
          </w:tcPr>
          <w:p w14:paraId="52540903"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0.578</w:t>
            </w:r>
          </w:p>
        </w:tc>
        <w:tc>
          <w:tcPr>
            <w:tcW w:w="374" w:type="pct"/>
          </w:tcPr>
          <w:p w14:paraId="7CEA95D2"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0.002</w:t>
            </w:r>
          </w:p>
        </w:tc>
      </w:tr>
      <w:tr w:rsidR="0048716C" w:rsidRPr="007A0E3E" w14:paraId="7C3D6BFF" w14:textId="77777777" w:rsidTr="001F3DEB">
        <w:tc>
          <w:tcPr>
            <w:tcW w:w="1181" w:type="pct"/>
          </w:tcPr>
          <w:p w14:paraId="049D5936"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Right basal ganglia and thalamus (Failed – successful inhibition)</w:t>
            </w:r>
          </w:p>
        </w:tc>
        <w:tc>
          <w:tcPr>
            <w:tcW w:w="280" w:type="pct"/>
          </w:tcPr>
          <w:p w14:paraId="23740F89"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0.095 (0.046)</w:t>
            </w:r>
          </w:p>
        </w:tc>
        <w:tc>
          <w:tcPr>
            <w:tcW w:w="317" w:type="pct"/>
          </w:tcPr>
          <w:p w14:paraId="3684C6F9"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0.041</w:t>
            </w:r>
          </w:p>
        </w:tc>
        <w:tc>
          <w:tcPr>
            <w:tcW w:w="292" w:type="pct"/>
          </w:tcPr>
          <w:p w14:paraId="1ED20DE2"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0.205</w:t>
            </w:r>
          </w:p>
        </w:tc>
        <w:tc>
          <w:tcPr>
            <w:tcW w:w="257" w:type="pct"/>
          </w:tcPr>
          <w:p w14:paraId="7B6B5F41"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0.008</w:t>
            </w:r>
          </w:p>
        </w:tc>
        <w:tc>
          <w:tcPr>
            <w:tcW w:w="296" w:type="pct"/>
          </w:tcPr>
          <w:p w14:paraId="61323DBE"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0.096 (0.045)</w:t>
            </w:r>
          </w:p>
        </w:tc>
        <w:tc>
          <w:tcPr>
            <w:tcW w:w="347" w:type="pct"/>
          </w:tcPr>
          <w:p w14:paraId="5F77890C"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0.034</w:t>
            </w:r>
          </w:p>
        </w:tc>
        <w:tc>
          <w:tcPr>
            <w:tcW w:w="297" w:type="pct"/>
          </w:tcPr>
          <w:p w14:paraId="07D18833"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0.205</w:t>
            </w:r>
          </w:p>
        </w:tc>
        <w:tc>
          <w:tcPr>
            <w:tcW w:w="276" w:type="pct"/>
          </w:tcPr>
          <w:p w14:paraId="0C62C327"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0.009</w:t>
            </w:r>
          </w:p>
        </w:tc>
        <w:tc>
          <w:tcPr>
            <w:tcW w:w="318" w:type="pct"/>
          </w:tcPr>
          <w:p w14:paraId="43E5729B"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0.073 (0.047)</w:t>
            </w:r>
          </w:p>
        </w:tc>
        <w:tc>
          <w:tcPr>
            <w:tcW w:w="347" w:type="pct"/>
          </w:tcPr>
          <w:p w14:paraId="546A6A11"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0.12</w:t>
            </w:r>
          </w:p>
        </w:tc>
        <w:tc>
          <w:tcPr>
            <w:tcW w:w="418" w:type="pct"/>
          </w:tcPr>
          <w:p w14:paraId="1173EC24"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0.36</w:t>
            </w:r>
          </w:p>
        </w:tc>
        <w:tc>
          <w:tcPr>
            <w:tcW w:w="374" w:type="pct"/>
          </w:tcPr>
          <w:p w14:paraId="2736CC04" w14:textId="77777777" w:rsidR="0048716C" w:rsidRPr="007A0E3E" w:rsidRDefault="0048716C" w:rsidP="001F3DEB">
            <w:pPr>
              <w:rPr>
                <w:rFonts w:ascii="Times New Roman" w:hAnsi="Times New Roman" w:cs="Times New Roman"/>
                <w:sz w:val="20"/>
                <w:szCs w:val="20"/>
              </w:rPr>
            </w:pPr>
            <w:r w:rsidRPr="007A0E3E">
              <w:rPr>
                <w:rFonts w:ascii="Times New Roman" w:hAnsi="Times New Roman" w:cs="Times New Roman"/>
                <w:sz w:val="20"/>
                <w:szCs w:val="20"/>
              </w:rPr>
              <w:t>0.005</w:t>
            </w:r>
          </w:p>
        </w:tc>
      </w:tr>
      <w:bookmarkEnd w:id="2"/>
    </w:tbl>
    <w:p w14:paraId="5C7489AF" w14:textId="77777777" w:rsidR="0048716C" w:rsidRPr="007A0E3E" w:rsidRDefault="0048716C" w:rsidP="005271FD">
      <w:pPr>
        <w:spacing w:after="0" w:line="480" w:lineRule="auto"/>
        <w:rPr>
          <w:rFonts w:ascii="Times New Roman" w:hAnsi="Times New Roman" w:cs="Times New Roman"/>
          <w:color w:val="222222"/>
          <w:sz w:val="20"/>
          <w:szCs w:val="20"/>
          <w:shd w:val="clear" w:color="auto" w:fill="FFFFFF"/>
        </w:rPr>
      </w:pPr>
    </w:p>
    <w:sectPr w:rsidR="0048716C" w:rsidRPr="007A0E3E" w:rsidSect="0048716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04F6E"/>
    <w:multiLevelType w:val="hybridMultilevel"/>
    <w:tmpl w:val="371C872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38B172A"/>
    <w:multiLevelType w:val="hybridMultilevel"/>
    <w:tmpl w:val="EBD4B9CC"/>
    <w:lvl w:ilvl="0" w:tplc="CF4E5D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F002C5C"/>
    <w:multiLevelType w:val="multilevel"/>
    <w:tmpl w:val="DF266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9569414">
    <w:abstractNumId w:val="2"/>
  </w:num>
  <w:num w:numId="2" w16cid:durableId="1807426620">
    <w:abstractNumId w:val="0"/>
  </w:num>
  <w:num w:numId="3" w16cid:durableId="4555659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FA8"/>
    <w:rsid w:val="00040CB5"/>
    <w:rsid w:val="0004706C"/>
    <w:rsid w:val="000A7C29"/>
    <w:rsid w:val="000D29A7"/>
    <w:rsid w:val="00192B20"/>
    <w:rsid w:val="001B32D7"/>
    <w:rsid w:val="001C0FA8"/>
    <w:rsid w:val="002D2B86"/>
    <w:rsid w:val="002E4FA3"/>
    <w:rsid w:val="002F163C"/>
    <w:rsid w:val="003D6864"/>
    <w:rsid w:val="0048716C"/>
    <w:rsid w:val="005271FD"/>
    <w:rsid w:val="005533DF"/>
    <w:rsid w:val="0060406E"/>
    <w:rsid w:val="0068312D"/>
    <w:rsid w:val="00745A17"/>
    <w:rsid w:val="007A0E3E"/>
    <w:rsid w:val="007A40CB"/>
    <w:rsid w:val="00835491"/>
    <w:rsid w:val="008E76C6"/>
    <w:rsid w:val="00912D8A"/>
    <w:rsid w:val="00A13971"/>
    <w:rsid w:val="00B157F6"/>
    <w:rsid w:val="00B22598"/>
    <w:rsid w:val="00BE4527"/>
    <w:rsid w:val="00D55624"/>
    <w:rsid w:val="00E45D10"/>
    <w:rsid w:val="00E47815"/>
    <w:rsid w:val="00F2017E"/>
    <w:rsid w:val="00F308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70586"/>
  <w15:chartTrackingRefBased/>
  <w15:docId w15:val="{C23F6E4A-4EB7-4B80-8561-616C3BB7C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0FA8"/>
    <w:pPr>
      <w:spacing w:after="0" w:line="240" w:lineRule="auto"/>
    </w:pPr>
    <w:rPr>
      <w:rFonts w:eastAsiaTheme="minorEastAsia"/>
      <w:lang w:val="en-US" w:eastAsia="zh-CN"/>
    </w:rPr>
  </w:style>
  <w:style w:type="character" w:styleId="Hyperlink">
    <w:name w:val="Hyperlink"/>
    <w:basedOn w:val="DefaultParagraphFont"/>
    <w:uiPriority w:val="99"/>
    <w:unhideWhenUsed/>
    <w:rsid w:val="0004706C"/>
    <w:rPr>
      <w:color w:val="0563C1" w:themeColor="hyperlink"/>
      <w:u w:val="single"/>
    </w:rPr>
  </w:style>
  <w:style w:type="character" w:styleId="UnresolvedMention">
    <w:name w:val="Unresolved Mention"/>
    <w:basedOn w:val="DefaultParagraphFont"/>
    <w:uiPriority w:val="99"/>
    <w:semiHidden/>
    <w:unhideWhenUsed/>
    <w:rsid w:val="0004706C"/>
    <w:rPr>
      <w:color w:val="605E5C"/>
      <w:shd w:val="clear" w:color="auto" w:fill="E1DFDD"/>
    </w:rPr>
  </w:style>
  <w:style w:type="paragraph" w:customStyle="1" w:styleId="line862">
    <w:name w:val="line862"/>
    <w:basedOn w:val="Normal"/>
    <w:rsid w:val="002D2B86"/>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styleId="NormalWeb">
    <w:name w:val="Normal (Web)"/>
    <w:basedOn w:val="Normal"/>
    <w:uiPriority w:val="99"/>
    <w:unhideWhenUsed/>
    <w:rsid w:val="007A40CB"/>
    <w:pPr>
      <w:spacing w:after="200" w:line="276" w:lineRule="auto"/>
    </w:pPr>
    <w:rPr>
      <w:rFonts w:ascii="Times New Roman" w:eastAsiaTheme="minorEastAsia" w:hAnsi="Times New Roman" w:cs="Times New Roman"/>
      <w:sz w:val="24"/>
      <w:szCs w:val="24"/>
      <w:lang w:eastAsia="zh-CN"/>
    </w:rPr>
  </w:style>
  <w:style w:type="character" w:styleId="CommentReference">
    <w:name w:val="annotation reference"/>
    <w:basedOn w:val="DefaultParagraphFont"/>
    <w:uiPriority w:val="99"/>
    <w:semiHidden/>
    <w:unhideWhenUsed/>
    <w:rsid w:val="002F163C"/>
    <w:rPr>
      <w:sz w:val="16"/>
      <w:szCs w:val="16"/>
    </w:rPr>
  </w:style>
  <w:style w:type="paragraph" w:styleId="CommentText">
    <w:name w:val="annotation text"/>
    <w:basedOn w:val="Normal"/>
    <w:link w:val="CommentTextChar"/>
    <w:uiPriority w:val="99"/>
    <w:unhideWhenUsed/>
    <w:rsid w:val="002F163C"/>
    <w:pPr>
      <w:spacing w:after="0" w:line="240" w:lineRule="auto"/>
    </w:pPr>
    <w:rPr>
      <w:sz w:val="20"/>
      <w:szCs w:val="20"/>
    </w:rPr>
  </w:style>
  <w:style w:type="character" w:customStyle="1" w:styleId="CommentTextChar">
    <w:name w:val="Comment Text Char"/>
    <w:basedOn w:val="DefaultParagraphFont"/>
    <w:link w:val="CommentText"/>
    <w:uiPriority w:val="99"/>
    <w:rsid w:val="002F163C"/>
    <w:rPr>
      <w:sz w:val="20"/>
      <w:szCs w:val="20"/>
      <w:lang w:val="en-US"/>
    </w:rPr>
  </w:style>
  <w:style w:type="paragraph" w:styleId="ListParagraph">
    <w:name w:val="List Paragraph"/>
    <w:basedOn w:val="Normal"/>
    <w:uiPriority w:val="34"/>
    <w:qFormat/>
    <w:rsid w:val="00A13971"/>
    <w:pPr>
      <w:spacing w:after="0" w:line="240" w:lineRule="auto"/>
      <w:ind w:left="720"/>
      <w:contextualSpacing/>
    </w:pPr>
  </w:style>
  <w:style w:type="table" w:styleId="TableGrid">
    <w:name w:val="Table Grid"/>
    <w:basedOn w:val="TableNormal"/>
    <w:uiPriority w:val="39"/>
    <w:rsid w:val="004871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48716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ommentSubject">
    <w:name w:val="annotation subject"/>
    <w:basedOn w:val="CommentText"/>
    <w:next w:val="CommentText"/>
    <w:link w:val="CommentSubjectChar"/>
    <w:uiPriority w:val="99"/>
    <w:semiHidden/>
    <w:unhideWhenUsed/>
    <w:rsid w:val="0048716C"/>
    <w:pPr>
      <w:spacing w:after="160"/>
    </w:pPr>
    <w:rPr>
      <w:b/>
      <w:bCs/>
    </w:rPr>
  </w:style>
  <w:style w:type="character" w:customStyle="1" w:styleId="CommentSubjectChar">
    <w:name w:val="Comment Subject Char"/>
    <w:basedOn w:val="CommentTextChar"/>
    <w:link w:val="CommentSubject"/>
    <w:uiPriority w:val="99"/>
    <w:semiHidden/>
    <w:rsid w:val="0048716C"/>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7472463">
      <w:bodyDiv w:val="1"/>
      <w:marLeft w:val="0"/>
      <w:marRight w:val="0"/>
      <w:marTop w:val="0"/>
      <w:marBottom w:val="0"/>
      <w:divBdr>
        <w:top w:val="none" w:sz="0" w:space="0" w:color="auto"/>
        <w:left w:val="none" w:sz="0" w:space="0" w:color="auto"/>
        <w:bottom w:val="none" w:sz="0" w:space="0" w:color="auto"/>
        <w:right w:val="none" w:sz="0" w:space="0" w:color="auto"/>
      </w:divBdr>
    </w:div>
    <w:div w:id="1859269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2E8A4D-98FF-4B46-B12C-B63C6043C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18</Pages>
  <Words>10198</Words>
  <Characters>58134</Characters>
  <Application>Microsoft Office Word</Application>
  <DocSecurity>0</DocSecurity>
  <Lines>484</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Gulhan Saracaydin</dc:creator>
  <cp:keywords/>
  <dc:description/>
  <cp:lastModifiedBy>Gulhan Saracaydin</cp:lastModifiedBy>
  <cp:revision>3</cp:revision>
  <dcterms:created xsi:type="dcterms:W3CDTF">2022-12-23T20:02:00Z</dcterms:created>
  <dcterms:modified xsi:type="dcterms:W3CDTF">2022-12-23T20:30:00Z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http://www.zotero.org/styles/european-archives-of-psychiatry-and-clinical-neuroscience</vt:lpwstr>
  </property>
  <property fmtid="{D5CDD505-2E9C-101B-9397-08002B2CF9AE}" pid="13" name="Mendeley Recent Style Name 5_1">
    <vt:lpwstr>European Archives of Psychiatry and Clinical Neuroscience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e6186c65-87be-3fed-b35d-0f690160a6f7</vt:lpwstr>
  </property>
  <property fmtid="{D5CDD505-2E9C-101B-9397-08002B2CF9AE}" pid="24" name="Mendeley Citation Style_1">
    <vt:lpwstr>http://www.zotero.org/styles/european-archives-of-psychiatry-and-clinical-neuroscience</vt:lpwstr>
  </property>
</Properties>
</file>