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16793" w14:textId="77777777" w:rsidR="00226F79" w:rsidRPr="00226F79" w:rsidRDefault="00226F79" w:rsidP="00226F79">
      <w:pPr>
        <w:keepNext/>
        <w:keepLines/>
        <w:spacing w:before="360" w:after="120" w:line="276" w:lineRule="auto"/>
        <w:outlineLvl w:val="1"/>
        <w:rPr>
          <w:rFonts w:ascii="Arial" w:eastAsia="SimSun" w:hAnsi="Arial" w:cs="Arial"/>
          <w:kern w:val="0"/>
          <w:sz w:val="32"/>
          <w:szCs w:val="32"/>
          <w:lang w:val="en-US"/>
          <w14:ligatures w14:val="none"/>
        </w:rPr>
      </w:pPr>
      <w:r w:rsidRPr="00226F79">
        <w:rPr>
          <w:rFonts w:ascii="Arial" w:eastAsia="SimSun" w:hAnsi="Arial" w:cs="Arial"/>
          <w:kern w:val="0"/>
          <w:sz w:val="32"/>
          <w:szCs w:val="32"/>
          <w:lang w:val="en-US"/>
          <w14:ligatures w14:val="none"/>
        </w:rPr>
        <w:t>Supplement</w:t>
      </w:r>
    </w:p>
    <w:p w14:paraId="0E1F6173" w14:textId="77777777" w:rsidR="00226F79" w:rsidRPr="00226F79" w:rsidRDefault="00226F79" w:rsidP="00226F79">
      <w:pPr>
        <w:spacing w:before="240" w:line="256" w:lineRule="auto"/>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1. BeamF3 measurements and MT determination</w:t>
      </w:r>
    </w:p>
    <w:p w14:paraId="64EA33BE" w14:textId="4606DB09" w:rsidR="00226F79" w:rsidRPr="00226F79" w:rsidRDefault="00226F79" w:rsidP="00226F79">
      <w:pPr>
        <w:spacing w:before="240" w:line="256" w:lineRule="auto"/>
        <w:jc w:val="both"/>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Prior to the first treatment session, BeamF3 measurements and MT determination were performed. We marked BeamF3 coordinates on a cap to calculate the BeamF3 target and then marked coil position and direction for coil placement before each iTBS session. The rMT was determined using an electromyography (EMG) device. The threshold was defined as the lowest intensity that elicits motor-evoked potentials (MEPs) with a minimum amplitude of 0.05 mV from the relaxed thumb and/or index finger muscles in at least 5 out of 10 stimulations of the left motor hotspot region. Before each session, two operators positioned the cap and made sure the coil was positioned with center on the marked BeamF3 target and 45° to the hemispheric midline. The coil was then fixed with a holding arm so that it remained stable throughout the session. Patients were seated in an undisturbed quiet waiting area with separate desks, when it was not their turn. They were allowed to spend the intersessional treatment interval as they preferred but were not allowed to discuss the treatment experiences with each other.</w:t>
      </w:r>
    </w:p>
    <w:p w14:paraId="07CFFE5B" w14:textId="77777777" w:rsidR="00226F79" w:rsidRPr="00226F79" w:rsidRDefault="00226F79" w:rsidP="00226F79">
      <w:pPr>
        <w:spacing w:line="256" w:lineRule="auto"/>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2. Clinical Scales</w:t>
      </w:r>
    </w:p>
    <w:p w14:paraId="515DA5F9" w14:textId="77777777" w:rsidR="00226F79" w:rsidRPr="00131082" w:rsidRDefault="00226F79" w:rsidP="00226F79">
      <w:pPr>
        <w:spacing w:line="256" w:lineRule="auto"/>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Montgomery-Asberg Depression Rating Scale (MADRS)</w:t>
      </w:r>
    </w:p>
    <w:p w14:paraId="10B53526" w14:textId="454BB7EE" w:rsidR="00226F79" w:rsidRPr="00226F79" w:rsidRDefault="00226F79" w:rsidP="00226F79">
      <w:pPr>
        <w:spacing w:before="240" w:after="240" w:line="276" w:lineRule="auto"/>
        <w:jc w:val="both"/>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MADRS was designed to be particularly sensitive to treatment change</w:t>
      </w:r>
      <w:r w:rsidR="00953E94">
        <w:rPr>
          <w:rFonts w:ascii="Arial" w:eastAsia="SimSun" w:hAnsi="Arial" w:cs="Arial" w:hint="eastAsia"/>
          <w:kern w:val="0"/>
          <w:sz w:val="22"/>
          <w:szCs w:val="22"/>
          <w:lang w:val="en-US"/>
          <w14:ligatures w14:val="none"/>
        </w:rPr>
        <w:t xml:space="preserve"> </w:t>
      </w:r>
      <w:r w:rsidR="006B529F">
        <w:rPr>
          <w:rFonts w:ascii="Arial" w:eastAsia="SimSun" w:hAnsi="Arial" w:cs="Arial"/>
          <w:kern w:val="0"/>
          <w:sz w:val="22"/>
          <w:szCs w:val="22"/>
          <w:lang w:val="en-US"/>
          <w14:ligatures w14:val="none"/>
        </w:rPr>
        <w:fldChar w:fldCharType="begin"/>
      </w:r>
      <w:r w:rsidR="00953E94">
        <w:rPr>
          <w:rFonts w:ascii="Arial" w:eastAsia="SimSun" w:hAnsi="Arial" w:cs="Arial"/>
          <w:kern w:val="0"/>
          <w:sz w:val="22"/>
          <w:szCs w:val="22"/>
          <w:lang w:val="en-US"/>
          <w14:ligatures w14:val="none"/>
        </w:rPr>
        <w:instrText xml:space="preserve"> ADDIN ZOTERO_ITEM CSL_CITATION {"citationID":"RIBk3snM","properties":{"formattedCitation":"[1]","plainCitation":"[1]","noteIndex":0},"citationItems":[{"id":712,"uris":["http://zotero.org/users/11273435/items/ALRDGXKI"],"itemData":{"id":712,"type":"article-journal","abstract":"Summary\n            The construction of a depression rating scale designed to be particularly sensitive to treatment effects is described. Ratings of 54 English and 52 Swedish patients on a 65 item comprehensive psychopathology scale were used to identify the 17 most commonly occurring symptoms in primary depressive illness in the combined sample.\n            Ratings on these 17 items for 64 patients participating in studies of four different antidepressant drugs were used to create a depression scale consisting of the 10 items which showed the largest changes with treatment and the highest correlation to overall change.\n            The inter-rater reliability of the new depression scale was high. Scores on the scale correlated significantly with scores on a standard rating scale for depression, the Hamilton Rating Scale (HRS), indicating its validity as a general severity estimate. Its capacity to differentiate between responders and non-responders to antidepressant treatment was better than the HRS, indicating greater sensitivity to change. The practical and ethical implications in terms of smaller sample sizes in clinical trials are discussed.","container-title":"British Journal of Psychiatry","DOI":"10.1192/bjp.134.4.382","ISSN":"0007-1250, 1472-1465","issue":"4","journalAbbreviation":"Br J Psychiatry","language":"en","license":"https://www.cambridge.org/core/terms","page":"382-389","source":"DOI.org (Crossref)","title":"A New Depression Scale Designed to be Sensitive to Change","volume":"134","author":[{"family":"Montgomery","given":"Stuart A."},{"family":"Åsberg","given":"Marie"}],"issued":{"date-parts":[["1979",4]]}}}],"schema":"https://github.com/citation-style-language/schema/raw/master/csl-citation.json"} </w:instrText>
      </w:r>
      <w:r w:rsidR="006B529F">
        <w:rPr>
          <w:rFonts w:ascii="Arial" w:eastAsia="SimSun" w:hAnsi="Arial" w:cs="Arial"/>
          <w:kern w:val="0"/>
          <w:sz w:val="22"/>
          <w:szCs w:val="22"/>
          <w:lang w:val="en-US"/>
          <w14:ligatures w14:val="none"/>
        </w:rPr>
        <w:fldChar w:fldCharType="separate"/>
      </w:r>
      <w:r w:rsidR="00953E94" w:rsidRPr="00953E94">
        <w:rPr>
          <w:rFonts w:ascii="Arial" w:hAnsi="Arial" w:cs="Arial"/>
          <w:sz w:val="22"/>
          <w:lang w:val="en-US"/>
        </w:rPr>
        <w:t>[1]</w:t>
      </w:r>
      <w:r w:rsidR="006B529F">
        <w:rPr>
          <w:rFonts w:ascii="Arial" w:eastAsia="SimSun" w:hAnsi="Arial" w:cs="Arial"/>
          <w:kern w:val="0"/>
          <w:sz w:val="22"/>
          <w:szCs w:val="22"/>
          <w:lang w:val="en-US"/>
          <w14:ligatures w14:val="none"/>
        </w:rPr>
        <w:fldChar w:fldCharType="end"/>
      </w:r>
      <w:r w:rsidRPr="00226F79">
        <w:rPr>
          <w:rFonts w:ascii="Arial" w:eastAsia="SimSun" w:hAnsi="Arial" w:cs="Arial"/>
          <w:kern w:val="0"/>
          <w:sz w:val="22"/>
          <w:szCs w:val="22"/>
          <w:lang w:val="en-US"/>
          <w14:ligatures w14:val="none"/>
        </w:rPr>
        <w:t>. This rater-based interview is used to measure the severity of a depressive episode and consists of 10 items.</w:t>
      </w:r>
    </w:p>
    <w:p w14:paraId="12C4B7AB" w14:textId="77777777"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Seventeen-item Hamilton Depression Rating Scale (HAM-D)</w:t>
      </w:r>
    </w:p>
    <w:p w14:paraId="1FC6CBD4" w14:textId="3C3CFD76" w:rsidR="00226F79" w:rsidRPr="00226F79" w:rsidRDefault="00226F79" w:rsidP="00226F79">
      <w:pPr>
        <w:spacing w:before="240" w:after="240" w:line="276" w:lineRule="auto"/>
        <w:jc w:val="both"/>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Seventeen-item HAM-D is the most widely used clinician-administered depression assessment scale for patient selection and follow-up assessment</w:t>
      </w:r>
      <w:r w:rsidR="00711E1B">
        <w:rPr>
          <w:rFonts w:ascii="Arial" w:eastAsia="SimSun" w:hAnsi="Arial" w:cs="Arial"/>
          <w:kern w:val="0"/>
          <w:sz w:val="22"/>
          <w:szCs w:val="22"/>
          <w:lang w:val="en-US"/>
          <w14:ligatures w14:val="none"/>
        </w:rPr>
        <w:t xml:space="preserve"> </w:t>
      </w:r>
      <w:r w:rsidR="006B529F">
        <w:rPr>
          <w:rFonts w:ascii="Arial" w:eastAsia="SimSun" w:hAnsi="Arial" w:cs="Arial"/>
          <w:kern w:val="0"/>
          <w:sz w:val="22"/>
          <w:szCs w:val="22"/>
          <w:lang w:val="en-US"/>
          <w14:ligatures w14:val="none"/>
        </w:rPr>
        <w:fldChar w:fldCharType="begin"/>
      </w:r>
      <w:r w:rsidR="00953E94">
        <w:rPr>
          <w:rFonts w:ascii="Arial" w:eastAsia="SimSun" w:hAnsi="Arial" w:cs="Arial"/>
          <w:kern w:val="0"/>
          <w:sz w:val="22"/>
          <w:szCs w:val="22"/>
          <w:lang w:val="en-US"/>
          <w14:ligatures w14:val="none"/>
        </w:rPr>
        <w:instrText xml:space="preserve"> ADDIN ZOTERO_ITEM CSL_CITATION {"citationID":"NpcME64T","properties":{"formattedCitation":"[2, 3]","plainCitation":"[2, 3]","noteIndex":0},"citationItems":[{"id":638,"uris":["http://zotero.org/users/11273435/items/EV2MDV84"],"itemData":{"id":638,"type":"article-journal","abstract":"This is an account of further work on a rating scale for depressive states, including a detailed discussion on the general problems of comparing successive samples from a ‘population’, the meaning of factor scores, and the oth</w:instrText>
      </w:r>
      <w:r w:rsidR="00953E94">
        <w:rPr>
          <w:rFonts w:ascii="Arial" w:eastAsia="SimSun" w:hAnsi="Arial" w:cs="Arial" w:hint="eastAsia"/>
          <w:kern w:val="0"/>
          <w:sz w:val="22"/>
          <w:szCs w:val="22"/>
          <w:lang w:val="en-US"/>
          <w14:ligatures w14:val="none"/>
        </w:rPr>
        <w:instrText>er results obtained. The intercorrelation matrix of the items of the scale has been factor</w:instrText>
      </w:r>
      <w:r w:rsidR="00953E94">
        <w:rPr>
          <w:rFonts w:ascii="Arial" w:eastAsia="SimSun" w:hAnsi="Arial" w:cs="Arial" w:hint="eastAsia"/>
          <w:kern w:val="0"/>
          <w:sz w:val="22"/>
          <w:szCs w:val="22"/>
          <w:lang w:val="en-US"/>
          <w14:ligatures w14:val="none"/>
        </w:rPr>
        <w:instrText>‐</w:instrText>
      </w:r>
      <w:r w:rsidR="00953E94">
        <w:rPr>
          <w:rFonts w:ascii="Arial" w:eastAsia="SimSun" w:hAnsi="Arial" w:cs="Arial" w:hint="eastAsia"/>
          <w:kern w:val="0"/>
          <w:sz w:val="22"/>
          <w:szCs w:val="22"/>
          <w:lang w:val="en-US"/>
          <w14:ligatures w14:val="none"/>
        </w:rPr>
        <w:instrText xml:space="preserve">analysed by the method of principal components, which were then given a Varimax rotation. Weights are given for calculating factor scores, both for rotated as well </w:instrText>
      </w:r>
      <w:r w:rsidR="00953E94">
        <w:rPr>
          <w:rFonts w:ascii="Arial" w:eastAsia="SimSun" w:hAnsi="Arial" w:cs="Arial"/>
          <w:kern w:val="0"/>
          <w:sz w:val="22"/>
          <w:szCs w:val="22"/>
          <w:lang w:val="en-US"/>
          <w14:ligatures w14:val="none"/>
        </w:rPr>
        <w:instrText xml:space="preserve">as unrotated factors. The data for 152 men and 120 women having been kept separate, it is possible to compare the two sets of results. The method of using the rating scale is described in detail in relation to the individual items.","container-title":"British Journal of Social and Clinical Psychology","DOI":"10.1111/j.2044-8260.1967.tb00530.x","ISSN":"0007-1293","issue":"4","journalAbbreviation":"Br J Soc Clin Psychol","language":"en","license":"http://onlinelibrary.wiley.com/termsAndConditions#vor","page":"278-296","source":"DOI.org (Crossref)","title":"Development of a Rating Scale for Primary Depressive Illness","volume":"6","author":[{"family":"Hamilton","given":"Max"}],"issued":{"date-parts":[["1967",12]]}}},{"id":710,"uris":["http://zotero.org/users/11273435/items/AQ2SZK69"],"itemData":{"id":710,"type":"article-journal","container-title":"Archives of General Psychiatry","DOI":"10.1001/archpsyc.1988.01800320058007","ISSN":"0003-990X","issue":"8","journalAbbreviation":"Arch Gen Psychiatry","language":"en","page":"742","source":"DOI.org (Crossref)","title":"A Structured Interview Guide for the Hamilton Depression Rating Scale","volume":"45","author":[{"family":"Williams","given":"Janet B. W."}],"issued":{"date-parts":[["1988",8,1]]}}}],"schema":"https://github.com/citation-style-language/schema/raw/master/csl-citation.json"} </w:instrText>
      </w:r>
      <w:r w:rsidR="006B529F">
        <w:rPr>
          <w:rFonts w:ascii="Arial" w:eastAsia="SimSun" w:hAnsi="Arial" w:cs="Arial"/>
          <w:kern w:val="0"/>
          <w:sz w:val="22"/>
          <w:szCs w:val="22"/>
          <w:lang w:val="en-US"/>
          <w14:ligatures w14:val="none"/>
        </w:rPr>
        <w:fldChar w:fldCharType="separate"/>
      </w:r>
      <w:r w:rsidR="00953E94" w:rsidRPr="00953E94">
        <w:rPr>
          <w:rFonts w:ascii="Arial" w:hAnsi="Arial" w:cs="Arial"/>
          <w:sz w:val="22"/>
          <w:lang w:val="en-US"/>
        </w:rPr>
        <w:t>[2, 3]</w:t>
      </w:r>
      <w:r w:rsidR="006B529F">
        <w:rPr>
          <w:rFonts w:ascii="Arial" w:eastAsia="SimSun" w:hAnsi="Arial" w:cs="Arial"/>
          <w:kern w:val="0"/>
          <w:sz w:val="22"/>
          <w:szCs w:val="22"/>
          <w:lang w:val="en-US"/>
          <w14:ligatures w14:val="none"/>
        </w:rPr>
        <w:fldChar w:fldCharType="end"/>
      </w:r>
      <w:r w:rsidRPr="00226F79">
        <w:rPr>
          <w:rFonts w:ascii="Arial" w:eastAsia="SimSun" w:hAnsi="Arial" w:cs="Arial"/>
          <w:kern w:val="0"/>
          <w:sz w:val="22"/>
          <w:szCs w:val="22"/>
          <w:lang w:val="en-US"/>
          <w14:ligatures w14:val="none"/>
        </w:rPr>
        <w:t>.</w:t>
      </w:r>
    </w:p>
    <w:p w14:paraId="28863A0A" w14:textId="77777777"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Six-item HAM-D</w:t>
      </w:r>
    </w:p>
    <w:p w14:paraId="406D6A0C" w14:textId="0AD4686B" w:rsidR="00226F79" w:rsidRPr="00226F79" w:rsidRDefault="00226F79" w:rsidP="00226F79">
      <w:pPr>
        <w:spacing w:before="240" w:after="240" w:line="276" w:lineRule="auto"/>
        <w:jc w:val="both"/>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Six-item HAM-D is a subscale of 17-item HAM-D, including assessment of mood, feelings of guilt, lassitude, retardation, agitation and somatic symptoms. It is demonstrated to be more valid in measuring the severity of depressive states and sensitive to intervention changes</w:t>
      </w:r>
      <w:r w:rsidR="00711E1B">
        <w:rPr>
          <w:rFonts w:ascii="Arial" w:eastAsia="SimSun" w:hAnsi="Arial" w:cs="Arial"/>
          <w:kern w:val="0"/>
          <w:sz w:val="22"/>
          <w:szCs w:val="22"/>
          <w:lang w:val="en-US"/>
          <w14:ligatures w14:val="none"/>
        </w:rPr>
        <w:t xml:space="preserve"> </w:t>
      </w:r>
      <w:r w:rsidR="006B529F">
        <w:rPr>
          <w:rFonts w:ascii="Arial" w:eastAsia="SimSun" w:hAnsi="Arial" w:cs="Arial"/>
          <w:kern w:val="0"/>
          <w:sz w:val="22"/>
          <w:szCs w:val="22"/>
          <w:lang w:val="en-US"/>
          <w14:ligatures w14:val="none"/>
        </w:rPr>
        <w:fldChar w:fldCharType="begin"/>
      </w:r>
      <w:r w:rsidR="00953E94">
        <w:rPr>
          <w:rFonts w:ascii="Arial" w:eastAsia="SimSun" w:hAnsi="Arial" w:cs="Arial"/>
          <w:kern w:val="0"/>
          <w:sz w:val="22"/>
          <w:szCs w:val="22"/>
          <w:lang w:val="en-US"/>
          <w14:ligatures w14:val="none"/>
        </w:rPr>
        <w:instrText xml:space="preserve"> ADDIN ZOTERO_ITEM CSL_CITATION {"citationID":"0wylKn3L","properties":{"formattedCitation":"[4]","plainCitation":"[4]","noteIndex":0},"citationItems":[{"id":817,"uris":["http://zotero.org/users/11273435/items/QWDVGRJL"],"itemData":{"id":817,"type":"articl</w:instrText>
      </w:r>
      <w:r w:rsidR="00953E94">
        <w:rPr>
          <w:rFonts w:ascii="Arial" w:eastAsia="SimSun" w:hAnsi="Arial" w:cs="Arial" w:hint="eastAsia"/>
          <w:kern w:val="0"/>
          <w:sz w:val="22"/>
          <w:szCs w:val="22"/>
          <w:lang w:val="en-US"/>
          <w14:ligatures w14:val="none"/>
        </w:rPr>
        <w:instrText>e-journal","abstract":"A step</w:instrText>
      </w:r>
      <w:r w:rsidR="00953E94">
        <w:rPr>
          <w:rFonts w:ascii="Arial" w:eastAsia="SimSun" w:hAnsi="Arial" w:cs="Arial" w:hint="eastAsia"/>
          <w:kern w:val="0"/>
          <w:sz w:val="22"/>
          <w:szCs w:val="22"/>
          <w:lang w:val="en-US"/>
          <w14:ligatures w14:val="none"/>
        </w:rPr>
        <w:instrText>‐</w:instrText>
      </w:r>
      <w:r w:rsidR="00953E94">
        <w:rPr>
          <w:rFonts w:ascii="Arial" w:eastAsia="SimSun" w:hAnsi="Arial" w:cs="Arial" w:hint="eastAsia"/>
          <w:kern w:val="0"/>
          <w:sz w:val="22"/>
          <w:szCs w:val="22"/>
          <w:lang w:val="en-US"/>
          <w14:ligatures w14:val="none"/>
        </w:rPr>
        <w:instrText>by</w:instrText>
      </w:r>
      <w:r w:rsidR="00953E94">
        <w:rPr>
          <w:rFonts w:ascii="Arial" w:eastAsia="SimSun" w:hAnsi="Arial" w:cs="Arial" w:hint="eastAsia"/>
          <w:kern w:val="0"/>
          <w:sz w:val="22"/>
          <w:szCs w:val="22"/>
          <w:lang w:val="en-US"/>
          <w14:ligatures w14:val="none"/>
        </w:rPr>
        <w:instrText>‐</w:instrText>
      </w:r>
      <w:r w:rsidR="00953E94">
        <w:rPr>
          <w:rFonts w:ascii="Arial" w:eastAsia="SimSun" w:hAnsi="Arial" w:cs="Arial" w:hint="eastAsia"/>
          <w:kern w:val="0"/>
          <w:sz w:val="22"/>
          <w:szCs w:val="22"/>
          <w:lang w:val="en-US"/>
          <w14:ligatures w14:val="none"/>
        </w:rPr>
        <w:instrText xml:space="preserve">step analysis of Beck's and Hamilton's rating scales showed that both, scales failed to differentiate adequately between moderate and severe depression measured by a global clinical assessment. Each item of the scales was </w:instrText>
      </w:r>
      <w:r w:rsidR="00953E94">
        <w:rPr>
          <w:rFonts w:ascii="Arial" w:eastAsia="SimSun" w:hAnsi="Arial" w:cs="Arial"/>
          <w:kern w:val="0"/>
          <w:sz w:val="22"/>
          <w:szCs w:val="22"/>
          <w:lang w:val="en-US"/>
          <w14:ligatures w14:val="none"/>
        </w:rPr>
        <w:instrText>tested for calibration, ascending monotonicity, and dispersion parallel to the clinical assessment. Twelve items of Beck's scale and six items of Hamilton's scale were found valid with respect to these criteria. Those items should be taken into account in future research for baseline ratings and for change ratings of depressive states quantitatively.","container-title":"Acta Psychiatrica Scandinavica","DOI":"10.1111/j.1600-0447.1975.tb00002.x","ISSN":"0001-690X, 1600-0447","issue":"3","journalAbbreviation":"Acta Psychiatr Scand","language":"en","license":"http://onlinelibrary.wiley.com/termsAndConditions#vor","page":"161-170","source":"DOI.org (Crossref)","title":"QUANTITATIVE RATING OF DEPRESSIVE STATES: Correlation Between Clinical Assessment, Beck's Se</w:instrText>
      </w:r>
      <w:r w:rsidR="00953E94">
        <w:rPr>
          <w:rFonts w:ascii="Arial" w:eastAsia="SimSun" w:hAnsi="Arial" w:cs="Arial" w:hint="eastAsia"/>
          <w:kern w:val="0"/>
          <w:sz w:val="22"/>
          <w:szCs w:val="22"/>
          <w:lang w:val="en-US"/>
          <w14:ligatures w14:val="none"/>
        </w:rPr>
        <w:instrText>lf</w:instrText>
      </w:r>
      <w:r w:rsidR="00953E94">
        <w:rPr>
          <w:rFonts w:ascii="Arial" w:eastAsia="SimSun" w:hAnsi="Arial" w:cs="Arial" w:hint="eastAsia"/>
          <w:kern w:val="0"/>
          <w:sz w:val="22"/>
          <w:szCs w:val="22"/>
          <w:lang w:val="en-US"/>
          <w14:ligatures w14:val="none"/>
        </w:rPr>
        <w:instrText>‐</w:instrText>
      </w:r>
      <w:r w:rsidR="00953E94">
        <w:rPr>
          <w:rFonts w:ascii="Arial" w:eastAsia="SimSun" w:hAnsi="Arial" w:cs="Arial" w:hint="eastAsia"/>
          <w:kern w:val="0"/>
          <w:sz w:val="22"/>
          <w:szCs w:val="22"/>
          <w:lang w:val="en-US"/>
          <w14:ligatures w14:val="none"/>
        </w:rPr>
        <w:instrText>Rating Scale and Hamilton's Objective Rating Scale","title-short":"QUANTITATIVE RATING OF DEPRESSIVE STATES","volume":"51","author":[{"family":"Bech","given":"P."},{"family":"Gram","given":"L. F."},{"family":"Dein","given":"E."},{"family":"Jacobsen","g</w:instrText>
      </w:r>
      <w:r w:rsidR="00953E94">
        <w:rPr>
          <w:rFonts w:ascii="Arial" w:eastAsia="SimSun" w:hAnsi="Arial" w:cs="Arial"/>
          <w:kern w:val="0"/>
          <w:sz w:val="22"/>
          <w:szCs w:val="22"/>
          <w:lang w:val="en-US"/>
          <w14:ligatures w14:val="none"/>
        </w:rPr>
        <w:instrText xml:space="preserve">iven":"O."},{"family":"Vitger","given":"J."},{"family":"Bolwig","given":"T. G."}],"issued":{"date-parts":[["1975",3]]}}}],"schema":"https://github.com/citation-style-language/schema/raw/master/csl-citation.json"} </w:instrText>
      </w:r>
      <w:r w:rsidR="006B529F">
        <w:rPr>
          <w:rFonts w:ascii="Arial" w:eastAsia="SimSun" w:hAnsi="Arial" w:cs="Arial"/>
          <w:kern w:val="0"/>
          <w:sz w:val="22"/>
          <w:szCs w:val="22"/>
          <w:lang w:val="en-US"/>
          <w14:ligatures w14:val="none"/>
        </w:rPr>
        <w:fldChar w:fldCharType="separate"/>
      </w:r>
      <w:r w:rsidR="00953E94" w:rsidRPr="00953E94">
        <w:rPr>
          <w:rFonts w:ascii="Arial" w:hAnsi="Arial" w:cs="Arial"/>
          <w:sz w:val="22"/>
          <w:lang w:val="en-US"/>
        </w:rPr>
        <w:t>[4]</w:t>
      </w:r>
      <w:r w:rsidR="006B529F">
        <w:rPr>
          <w:rFonts w:ascii="Arial" w:eastAsia="SimSun" w:hAnsi="Arial" w:cs="Arial"/>
          <w:kern w:val="0"/>
          <w:sz w:val="22"/>
          <w:szCs w:val="22"/>
          <w:lang w:val="en-US"/>
          <w14:ligatures w14:val="none"/>
        </w:rPr>
        <w:fldChar w:fldCharType="end"/>
      </w:r>
      <w:r w:rsidRPr="00226F79">
        <w:rPr>
          <w:rFonts w:ascii="Arial" w:eastAsia="SimSun" w:hAnsi="Arial" w:cs="Arial"/>
          <w:kern w:val="0"/>
          <w:sz w:val="22"/>
          <w:szCs w:val="22"/>
          <w:lang w:val="en-US"/>
          <w14:ligatures w14:val="none"/>
        </w:rPr>
        <w:t xml:space="preserve">. It was used to assess depressive symptoms after each aiTBS treatment day. </w:t>
      </w:r>
    </w:p>
    <w:p w14:paraId="408A3516" w14:textId="77777777"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Beck Depression Inventory (BDI–II)</w:t>
      </w:r>
    </w:p>
    <w:p w14:paraId="112367F5" w14:textId="206102FF" w:rsidR="00226F79" w:rsidRPr="00226F79" w:rsidRDefault="00226F79" w:rsidP="00226F79">
      <w:pPr>
        <w:spacing w:before="240" w:after="240" w:line="276" w:lineRule="auto"/>
        <w:jc w:val="both"/>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BDI-II</w:t>
      </w:r>
      <w:r w:rsidR="00711E1B">
        <w:rPr>
          <w:rFonts w:ascii="Arial" w:eastAsia="SimSun" w:hAnsi="Arial" w:cs="Arial"/>
          <w:kern w:val="0"/>
          <w:sz w:val="22"/>
          <w:szCs w:val="22"/>
          <w:lang w:val="en-US"/>
          <w14:ligatures w14:val="none"/>
        </w:rPr>
        <w:t xml:space="preserve"> </w:t>
      </w:r>
      <w:r w:rsidR="006B529F">
        <w:rPr>
          <w:rFonts w:ascii="Arial" w:eastAsia="SimSun" w:hAnsi="Arial" w:cs="Arial"/>
          <w:kern w:val="0"/>
          <w:sz w:val="22"/>
          <w:szCs w:val="22"/>
          <w:lang w:val="en-US"/>
          <w14:ligatures w14:val="none"/>
        </w:rPr>
        <w:fldChar w:fldCharType="begin"/>
      </w:r>
      <w:r w:rsidR="00953E94">
        <w:rPr>
          <w:rFonts w:ascii="Arial" w:eastAsia="SimSun" w:hAnsi="Arial" w:cs="Arial"/>
          <w:kern w:val="0"/>
          <w:sz w:val="22"/>
          <w:szCs w:val="22"/>
          <w:lang w:val="en-US"/>
          <w14:ligatures w14:val="none"/>
        </w:rPr>
        <w:instrText xml:space="preserve"> ADDIN ZOTERO_ITEM CSL_CITATION {"citationID":"BHxO7gks","properties":{"formattedCitation":"[5]","plainCitation":"[5]","noteIndex":0},"citationItems":[{"id":812,"uris":["http://zotero.org/users/11273435/items/SUTYC5XW"],"itemData":{"id":812,"type":"book","publisher":"APA PsycTests","title":"Beck Depression Inventory–II (BDI-II) [Database record]","author":[{"literal":"Beck, A. T., Steer, R. A., &amp; Brown, G."}],"issued":{"date-parts":[["1996"]]}}}],"schema":"https://github.com/citation-style-language/schema/raw/master/csl-citation.json"} </w:instrText>
      </w:r>
      <w:r w:rsidR="006B529F">
        <w:rPr>
          <w:rFonts w:ascii="Arial" w:eastAsia="SimSun" w:hAnsi="Arial" w:cs="Arial"/>
          <w:kern w:val="0"/>
          <w:sz w:val="22"/>
          <w:szCs w:val="22"/>
          <w:lang w:val="en-US"/>
          <w14:ligatures w14:val="none"/>
        </w:rPr>
        <w:fldChar w:fldCharType="separate"/>
      </w:r>
      <w:r w:rsidR="00953E94" w:rsidRPr="00953E94">
        <w:rPr>
          <w:rFonts w:ascii="Arial" w:hAnsi="Arial" w:cs="Arial"/>
          <w:sz w:val="22"/>
          <w:lang w:val="en-US"/>
        </w:rPr>
        <w:t>[5]</w:t>
      </w:r>
      <w:r w:rsidR="006B529F">
        <w:rPr>
          <w:rFonts w:ascii="Arial" w:eastAsia="SimSun" w:hAnsi="Arial" w:cs="Arial"/>
          <w:kern w:val="0"/>
          <w:sz w:val="22"/>
          <w:szCs w:val="22"/>
          <w:lang w:val="en-US"/>
          <w14:ligatures w14:val="none"/>
        </w:rPr>
        <w:fldChar w:fldCharType="end"/>
      </w:r>
      <w:r w:rsidR="006B529F">
        <w:rPr>
          <w:rFonts w:ascii="Arial" w:eastAsia="SimSun" w:hAnsi="Arial" w:cs="Arial"/>
          <w:kern w:val="0"/>
          <w:sz w:val="22"/>
          <w:szCs w:val="22"/>
          <w:lang w:val="en-US"/>
          <w14:ligatures w14:val="none"/>
        </w:rPr>
        <w:t xml:space="preserve"> </w:t>
      </w:r>
      <w:r w:rsidRPr="00226F79">
        <w:rPr>
          <w:rFonts w:ascii="Arial" w:eastAsia="SimSun" w:hAnsi="Arial" w:cs="Arial"/>
          <w:kern w:val="0"/>
          <w:sz w:val="22"/>
          <w:szCs w:val="22"/>
          <w:lang w:val="en-US"/>
          <w14:ligatures w14:val="none"/>
        </w:rPr>
        <w:t>is a 21-question multiple-choice self-report inventory, one of the most widely used psychometric tests for measuring the severity of depression.</w:t>
      </w:r>
    </w:p>
    <w:p w14:paraId="1657E91D" w14:textId="77777777" w:rsidR="00226F79" w:rsidRPr="00226F79" w:rsidRDefault="00226F79" w:rsidP="00226F79">
      <w:pPr>
        <w:spacing w:before="240" w:after="240" w:line="276" w:lineRule="auto"/>
        <w:jc w:val="both"/>
        <w:rPr>
          <w:rFonts w:ascii="Arial" w:eastAsia="SimSun" w:hAnsi="Arial" w:cs="Arial"/>
          <w:kern w:val="0"/>
          <w:sz w:val="22"/>
          <w:szCs w:val="22"/>
          <w:lang w:val="en-US"/>
          <w14:ligatures w14:val="none"/>
        </w:rPr>
      </w:pPr>
      <w:r w:rsidRPr="00226F79">
        <w:rPr>
          <w:rFonts w:ascii="Arial" w:eastAsia="SimSun" w:hAnsi="Arial" w:cs="Arial"/>
          <w:b/>
          <w:kern w:val="0"/>
          <w:sz w:val="22"/>
          <w:szCs w:val="22"/>
          <w:lang w:val="en-US"/>
          <w14:ligatures w14:val="none"/>
        </w:rPr>
        <w:t>3. Cognitive functioning assessment</w:t>
      </w:r>
    </w:p>
    <w:p w14:paraId="4596BF79" w14:textId="44BCA4B6"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kern w:val="0"/>
          <w:sz w:val="22"/>
          <w:szCs w:val="22"/>
          <w:lang w:val="en-US"/>
          <w14:ligatures w14:val="none"/>
        </w:rPr>
        <w:t>Cognitive functioning was assessed by the THINC-Integrated Tool (THINC-it®), a user-friendly patient-administered cognitive screening tool that integrates several subjective and objective measures</w:t>
      </w:r>
      <w:r w:rsidR="00711E1B">
        <w:rPr>
          <w:rFonts w:ascii="Arial" w:eastAsia="SimSun" w:hAnsi="Arial" w:cs="Arial"/>
          <w:kern w:val="0"/>
          <w:sz w:val="22"/>
          <w:szCs w:val="22"/>
          <w:lang w:val="en-US"/>
          <w14:ligatures w14:val="none"/>
        </w:rPr>
        <w:t xml:space="preserve"> </w:t>
      </w:r>
      <w:r w:rsidR="00C6418C">
        <w:rPr>
          <w:rFonts w:ascii="Arial" w:eastAsia="SimSun" w:hAnsi="Arial" w:cs="Arial"/>
          <w:kern w:val="0"/>
          <w:sz w:val="22"/>
          <w:szCs w:val="22"/>
          <w:lang w:val="en-US"/>
          <w14:ligatures w14:val="none"/>
        </w:rPr>
        <w:fldChar w:fldCharType="begin"/>
      </w:r>
      <w:r w:rsidR="00953E94">
        <w:rPr>
          <w:rFonts w:ascii="Arial" w:eastAsia="SimSun" w:hAnsi="Arial" w:cs="Arial"/>
          <w:kern w:val="0"/>
          <w:sz w:val="22"/>
          <w:szCs w:val="22"/>
          <w:lang w:val="en-US"/>
          <w14:ligatures w14:val="none"/>
        </w:rPr>
        <w:instrText xml:space="preserve"> ADDIN ZOTERO_ITEM CSL_CITATION {"citationID":"ibOCbM59","properties":{"formattedCitation":"[6, 7]","plainCitation":"[6, 7]","noteIndex":0},"citationItems":[{"id":823,"uris":["http://zotero.org/users/11273435/items/TC3579VN"],"itemData":{"id":823,"type":"article-journal","DOI":"doi:10.4088/JCP.16m11329","issue":"7","journalAbbreviation":"J Clin Psychiatry.","page":"873-881","title":"The THINC-Integrated Tool (THINC-it) Screening Assessment for Cognitive Dysfunction: Validation in Patients With Major Depressive Disorder.","volume":"78","author":[{"literal":"McIntyre RS, Best MW, Bowie CR, et al."}],"issued":{"date-parts":[["2017"]]}}},{"id":819,"uris":["http://zotero.org/users/11273435/items/AZUYW5TL"],"itemData":{"id":819,"type":"article-journal","container-title":"The Journal of Clinical Psychiatry","DOI":"10.4088/JCP.tk16043ah5c","ISSN":"0160-6689","issue":"9","journalAbbreviation":"J. Clin. Psychiatry","language":"en","page":"1383-1394","source":"DOI.org (Crossref)","title":"Cognitive Impairment in Patients With Depression: Awareness, Assessment, and Management: (Academic Highlights)","title-short":"Cognitive Impairment in Patients With Depression","volume":"78","author":[{"family":"Culpepper","given":"Larry"},{"family":"Lam","given":"Raymond W."},{"family":"McIntyre","given":"Roger S."}],"issued":{"date-parts":[["2017",12,27]]}}}],"schema":"https://github.com/citation-style-language/schema/raw/master/csl-citation.json"} </w:instrText>
      </w:r>
      <w:r w:rsidR="00C6418C">
        <w:rPr>
          <w:rFonts w:ascii="Arial" w:eastAsia="SimSun" w:hAnsi="Arial" w:cs="Arial"/>
          <w:kern w:val="0"/>
          <w:sz w:val="22"/>
          <w:szCs w:val="22"/>
          <w:lang w:val="en-US"/>
          <w14:ligatures w14:val="none"/>
        </w:rPr>
        <w:fldChar w:fldCharType="separate"/>
      </w:r>
      <w:r w:rsidR="00953E94" w:rsidRPr="00953E94">
        <w:rPr>
          <w:rFonts w:ascii="Arial" w:hAnsi="Arial" w:cs="Arial"/>
          <w:sz w:val="22"/>
          <w:lang w:val="en-US"/>
        </w:rPr>
        <w:t>[6, 7]</w:t>
      </w:r>
      <w:r w:rsidR="00C6418C">
        <w:rPr>
          <w:rFonts w:ascii="Arial" w:eastAsia="SimSun" w:hAnsi="Arial" w:cs="Arial"/>
          <w:kern w:val="0"/>
          <w:sz w:val="22"/>
          <w:szCs w:val="22"/>
          <w:lang w:val="en-US"/>
          <w14:ligatures w14:val="none"/>
        </w:rPr>
        <w:fldChar w:fldCharType="end"/>
      </w:r>
      <w:r w:rsidRPr="00226F79">
        <w:rPr>
          <w:rFonts w:ascii="Arial" w:eastAsia="SimSun" w:hAnsi="Arial" w:cs="Arial"/>
          <w:kern w:val="0"/>
          <w:sz w:val="22"/>
          <w:szCs w:val="22"/>
          <w:lang w:val="en-US"/>
          <w14:ligatures w14:val="none"/>
        </w:rPr>
        <w:t xml:space="preserve">. It comprises variants of four cognitive tests: the Choice Reaction Time Identification Task (CRT, within the app named “Spotter”), One-Back (n-back) Test (NBack, </w:t>
      </w:r>
      <w:r w:rsidRPr="00226F79">
        <w:rPr>
          <w:rFonts w:ascii="Arial" w:eastAsia="SimSun" w:hAnsi="Arial" w:cs="Arial"/>
          <w:kern w:val="0"/>
          <w:sz w:val="22"/>
          <w:szCs w:val="22"/>
          <w:lang w:val="en-US"/>
          <w14:ligatures w14:val="none"/>
        </w:rPr>
        <w:lastRenderedPageBreak/>
        <w:t>“Symbol Check”), Digit Symbol Substitution Test (DSST, “Code Breaker”) and Trail Making Test-Part B (TMT, “Trails”)</w:t>
      </w:r>
      <w:r w:rsidRPr="00226F79">
        <w:rPr>
          <w:rFonts w:ascii="Arial" w:eastAsia="SimSun" w:hAnsi="Arial" w:cs="Arial"/>
          <w:kern w:val="0"/>
          <w:sz w:val="16"/>
          <w:szCs w:val="16"/>
          <w:lang w:val="en-US"/>
          <w14:ligatures w14:val="none"/>
        </w:rPr>
        <w:t xml:space="preserve"> </w:t>
      </w:r>
      <w:r w:rsidRPr="00226F79">
        <w:rPr>
          <w:rFonts w:ascii="Arial" w:eastAsia="SimSun" w:hAnsi="Arial" w:cs="Arial"/>
          <w:kern w:val="0"/>
          <w:sz w:val="22"/>
          <w:szCs w:val="22"/>
          <w:lang w:val="en-US"/>
          <w14:ligatures w14:val="none"/>
        </w:rPr>
        <w:t>. This allows us to test for functions such as attention, working memory, and processing speed</w:t>
      </w:r>
      <w:r w:rsidR="00711E1B">
        <w:rPr>
          <w:rFonts w:ascii="Arial" w:eastAsia="SimSun" w:hAnsi="Arial" w:cs="Arial"/>
          <w:kern w:val="0"/>
          <w:sz w:val="22"/>
          <w:szCs w:val="22"/>
          <w:lang w:val="en-US"/>
          <w14:ligatures w14:val="none"/>
        </w:rPr>
        <w:t xml:space="preserve"> </w:t>
      </w:r>
      <w:r w:rsidR="00C6418C">
        <w:rPr>
          <w:rFonts w:ascii="Arial" w:eastAsia="SimSun" w:hAnsi="Arial" w:cs="Arial"/>
          <w:kern w:val="0"/>
          <w:sz w:val="22"/>
          <w:szCs w:val="22"/>
          <w:lang w:val="en-US"/>
          <w14:ligatures w14:val="none"/>
        </w:rPr>
        <w:fldChar w:fldCharType="begin"/>
      </w:r>
      <w:r w:rsidR="00953E94">
        <w:rPr>
          <w:rFonts w:ascii="Arial" w:eastAsia="SimSun" w:hAnsi="Arial" w:cs="Arial"/>
          <w:kern w:val="0"/>
          <w:sz w:val="22"/>
          <w:szCs w:val="22"/>
          <w:lang w:val="en-US"/>
          <w14:ligatures w14:val="none"/>
        </w:rPr>
        <w:instrText xml:space="preserve"> ADDIN ZOTERO_ITEM CSL_CITATION {"citationID":"brn9qqKG","properties":{"formattedCitation":"[8]","plainCitation":"[8]","noteIndex":0},"citationItems":[{"id":821,"uris":["http://zotero.org/users/11273435/items/TKT4626S"],"itemData":{"id":821,"type":"article-journal","abstract":"Background: Cognitive compromise is a common experience for patients with depression and other mood disorders. Depressed patients sustain deﬁcits in working memory and attentional distortions in emotional processing and negative attention biases, which may contribute to maintaining their depressive state.\nMethods: The Mood Assessment and Classiﬁcation (MAC) Committee comprised academic psychiatrists with clinical expertise in the management of mood disorders. The independently convened committee met to discuss contentious aspects of mood disorders diagnosis and assessment with the express aim of informing clinical practice and future research.\nResults: The Committee speciﬁcally identiﬁed cognition as an important aspect for clinicians to consider in the context of depression and mood disorders. This article highlights some of the barriers to assessment and proposes tools that have the potential to be implemented in clinical practice. Limitations: The conclusions drawn within this article are based on expert opinion. We have noted the limitations of the literature that informs this opinion.\nConclusions: As cognitive ability has been closely linked to patients’ ability to achieve functional recovery, it is imperative that clinicians are able to identify patients with cognitive deﬁcits and are equipped with tools to conduct eﬀective cognitive assessments. Examining cognitive factors may generate a deeper understanding of the pathogenesis of depression and mood disorders which can ultimately be used to inform treatment.","container-title":"Journal of Affective Disorders","DOI":"10.1016/j.jad.2017.08.080","ISSN":"01650327","journalAbbreviation":"Journal of Affective Disorders","language":"en","page":"559-562","source":"DOI.org (Crossref)","title":"Cognition in depression: Can we THINC-it better?","title-short":"Cognition in depression","volume":"225","author":[{"family":"Baune","given":"Bernhard T."},{"family":"Malhi","given":"Gin S."},{"family":"Morris","given":"Grace"},{"family":"Outhred","given":"Tim"},{"family":"Hamilton","given":"Amber"},{"family":"Das","given":"Pritha"},{"family":"Bassett","given":"Darryl"},{"family":"Berk","given":"Michael"},{"family":"Boyce","given":"Philip"},{"family":"Lyndon","given":"Bill"},{"family":"Mulder","given":"Roger"},{"family":"Parker","given":"Gordon"},{"family":"Singh","given":"Ajeet B."}],"issued":{"date-parts":[["2018",1]]}}}],"schema":"https://github.com/citation-style-language/schema/raw/master/csl-citation.json"} </w:instrText>
      </w:r>
      <w:r w:rsidR="00C6418C">
        <w:rPr>
          <w:rFonts w:ascii="Arial" w:eastAsia="SimSun" w:hAnsi="Arial" w:cs="Arial"/>
          <w:kern w:val="0"/>
          <w:sz w:val="22"/>
          <w:szCs w:val="22"/>
          <w:lang w:val="en-US"/>
          <w14:ligatures w14:val="none"/>
        </w:rPr>
        <w:fldChar w:fldCharType="separate"/>
      </w:r>
      <w:r w:rsidR="00953E94" w:rsidRPr="00953E94">
        <w:rPr>
          <w:rFonts w:ascii="Arial" w:hAnsi="Arial" w:cs="Arial"/>
          <w:sz w:val="22"/>
          <w:lang w:val="en-US"/>
        </w:rPr>
        <w:t>[8]</w:t>
      </w:r>
      <w:r w:rsidR="00C6418C">
        <w:rPr>
          <w:rFonts w:ascii="Arial" w:eastAsia="SimSun" w:hAnsi="Arial" w:cs="Arial"/>
          <w:kern w:val="0"/>
          <w:sz w:val="22"/>
          <w:szCs w:val="22"/>
          <w:lang w:val="en-US"/>
          <w14:ligatures w14:val="none"/>
        </w:rPr>
        <w:fldChar w:fldCharType="end"/>
      </w:r>
      <w:r w:rsidRPr="00226F79">
        <w:rPr>
          <w:rFonts w:ascii="Arial" w:eastAsia="SimSun" w:hAnsi="Arial" w:cs="Arial"/>
          <w:kern w:val="0"/>
          <w:sz w:val="22"/>
          <w:szCs w:val="22"/>
          <w:lang w:val="en-US"/>
          <w14:ligatures w14:val="none"/>
        </w:rPr>
        <w:t>. The tool exhibits good psychometric properties and results in the digital version correlating with pen and paper versions of the tasks</w:t>
      </w:r>
      <w:r w:rsidR="00711E1B">
        <w:rPr>
          <w:rFonts w:ascii="Arial" w:eastAsia="SimSun" w:hAnsi="Arial" w:cs="Arial"/>
          <w:kern w:val="0"/>
          <w:sz w:val="22"/>
          <w:szCs w:val="22"/>
          <w:lang w:val="en-US"/>
          <w14:ligatures w14:val="none"/>
        </w:rPr>
        <w:t xml:space="preserve"> </w:t>
      </w:r>
      <w:r w:rsidR="00C6418C">
        <w:rPr>
          <w:rFonts w:ascii="Arial" w:eastAsia="SimSun" w:hAnsi="Arial" w:cs="Arial"/>
          <w:kern w:val="0"/>
          <w:sz w:val="22"/>
          <w:szCs w:val="22"/>
          <w:lang w:val="en-US"/>
          <w14:ligatures w14:val="none"/>
        </w:rPr>
        <w:fldChar w:fldCharType="begin"/>
      </w:r>
      <w:r w:rsidR="00953E94">
        <w:rPr>
          <w:rFonts w:ascii="Arial" w:eastAsia="SimSun" w:hAnsi="Arial" w:cs="Arial"/>
          <w:kern w:val="0"/>
          <w:sz w:val="22"/>
          <w:szCs w:val="22"/>
          <w:lang w:val="en-US"/>
          <w14:ligatures w14:val="none"/>
        </w:rPr>
        <w:instrText xml:space="preserve"> ADDIN ZOTERO_ITEM CSL_CITATION {"citationID":"Nc0iCpzL","properties":{"formattedCitation":"[6]","plainCitation":"[6]","noteIndex":0},"citationItems":[{"id":823,"uris":["http://zotero.org/users/11273435/items/TC3579VN"],"itemData":{"id":823,"type":"article-journal","DOI":"doi:10.4088/JCP.16m11329","issue":"7","journalAbbreviation":"J Clin Psychiatry.","page":"873-881","title":"The THINC-Integrated Tool (THINC-it) Screening Assessment for Cognitive Dysfunction: Validation in Patients With Major Depressive Disorder.","volume":"78","author":[{"literal":"McIntyre RS, Best MW, Bowie CR, et al."}],"issued":{"date-parts":[["2017"]]}}}],"schema":"https://github.com/citation-style-language/schema/raw/master/csl-citation.json"} </w:instrText>
      </w:r>
      <w:r w:rsidR="00C6418C">
        <w:rPr>
          <w:rFonts w:ascii="Arial" w:eastAsia="SimSun" w:hAnsi="Arial" w:cs="Arial"/>
          <w:kern w:val="0"/>
          <w:sz w:val="22"/>
          <w:szCs w:val="22"/>
          <w:lang w:val="en-US"/>
          <w14:ligatures w14:val="none"/>
        </w:rPr>
        <w:fldChar w:fldCharType="separate"/>
      </w:r>
      <w:r w:rsidR="00953E94" w:rsidRPr="00953E94">
        <w:rPr>
          <w:rFonts w:ascii="Arial" w:hAnsi="Arial" w:cs="Arial"/>
          <w:sz w:val="22"/>
          <w:lang w:val="en-US"/>
        </w:rPr>
        <w:t>[6]</w:t>
      </w:r>
      <w:r w:rsidR="00C6418C">
        <w:rPr>
          <w:rFonts w:ascii="Arial" w:eastAsia="SimSun" w:hAnsi="Arial" w:cs="Arial"/>
          <w:kern w:val="0"/>
          <w:sz w:val="22"/>
          <w:szCs w:val="22"/>
          <w:lang w:val="en-US"/>
          <w14:ligatures w14:val="none"/>
        </w:rPr>
        <w:fldChar w:fldCharType="end"/>
      </w:r>
      <w:r w:rsidRPr="00226F79">
        <w:rPr>
          <w:rFonts w:ascii="Arial" w:eastAsia="SimSun" w:hAnsi="Arial" w:cs="Arial"/>
          <w:kern w:val="0"/>
          <w:sz w:val="22"/>
          <w:szCs w:val="22"/>
          <w:lang w:val="en-US"/>
          <w14:ligatures w14:val="none"/>
        </w:rPr>
        <w:t>.</w:t>
      </w:r>
    </w:p>
    <w:p w14:paraId="433C58CD" w14:textId="77777777" w:rsidR="00226F79" w:rsidRPr="00226F79" w:rsidRDefault="00226F79" w:rsidP="00226F79">
      <w:pPr>
        <w:spacing w:line="256" w:lineRule="auto"/>
        <w:rPr>
          <w:rFonts w:ascii="Arial" w:eastAsia="SimSun" w:hAnsi="Arial" w:cs="Arial"/>
          <w:kern w:val="0"/>
          <w:sz w:val="22"/>
          <w:szCs w:val="22"/>
          <w:lang w:val="en-US"/>
          <w14:ligatures w14:val="none"/>
        </w:rPr>
      </w:pPr>
      <w:r w:rsidRPr="00226F79">
        <w:rPr>
          <w:rFonts w:ascii="Arial" w:eastAsia="SimSun" w:hAnsi="Arial" w:cs="Arial"/>
          <w:b/>
          <w:kern w:val="0"/>
          <w:sz w:val="22"/>
          <w:szCs w:val="22"/>
          <w:lang w:val="en-US"/>
          <w14:ligatures w14:val="none"/>
        </w:rPr>
        <w:t xml:space="preserve">4. Table S1: </w:t>
      </w:r>
      <w:r w:rsidRPr="00226F79">
        <w:rPr>
          <w:rFonts w:ascii="Arial" w:eastAsia="SimSun" w:hAnsi="Arial" w:cs="Arial"/>
          <w:kern w:val="0"/>
          <w:sz w:val="22"/>
          <w:szCs w:val="22"/>
          <w:lang w:val="en-US"/>
          <w14:ligatures w14:val="none"/>
        </w:rPr>
        <w:t>Number of failed antidepressant trials, baseline antidepressant medications, baseline non-pharmacotherapy and comorbidities</w:t>
      </w: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720"/>
        <w:gridCol w:w="1860"/>
        <w:gridCol w:w="1710"/>
        <w:gridCol w:w="1395"/>
        <w:gridCol w:w="1395"/>
        <w:gridCol w:w="1965"/>
      </w:tblGrid>
      <w:tr w:rsidR="00226F79" w:rsidRPr="00131082" w14:paraId="14726FC2" w14:textId="77777777" w:rsidTr="00A0607C">
        <w:trPr>
          <w:trHeight w:val="690"/>
        </w:trPr>
        <w:tc>
          <w:tcPr>
            <w:tcW w:w="72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D279420"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ID</w:t>
            </w:r>
          </w:p>
        </w:tc>
        <w:tc>
          <w:tcPr>
            <w:tcW w:w="18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26A7FCA"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Failed antidepressant trials in the current episode*</w:t>
            </w:r>
          </w:p>
        </w:tc>
        <w:tc>
          <w:tcPr>
            <w:tcW w:w="17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B5656F"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Baseline ongoing antidepressant medication</w:t>
            </w:r>
          </w:p>
        </w:tc>
        <w:tc>
          <w:tcPr>
            <w:tcW w:w="13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C0159AC"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Baseline psychotherapy</w:t>
            </w:r>
          </w:p>
        </w:tc>
        <w:tc>
          <w:tcPr>
            <w:tcW w:w="13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D9E92F"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Previous non-invasive brain stimulation</w:t>
            </w:r>
          </w:p>
        </w:tc>
        <w:tc>
          <w:tcPr>
            <w:tcW w:w="19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4D397C7"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Comorbidities (M.I.N.I.)</w:t>
            </w:r>
          </w:p>
        </w:tc>
      </w:tr>
      <w:tr w:rsidR="00226F79" w:rsidRPr="00226F79" w14:paraId="30052C17" w14:textId="77777777" w:rsidTr="00A0607C">
        <w:trPr>
          <w:trHeight w:val="945"/>
        </w:trPr>
        <w:tc>
          <w:tcPr>
            <w:tcW w:w="7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361D61"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w:t>
            </w: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0811B2B0"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Levomilnacipran</w:t>
            </w:r>
          </w:p>
          <w:p w14:paraId="2A00B001"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Agomelatine</w:t>
            </w:r>
          </w:p>
          <w:p w14:paraId="776CD453"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Buproprion</w:t>
            </w:r>
          </w:p>
          <w:p w14:paraId="251A7CAC"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Tianeptine</w:t>
            </w:r>
          </w:p>
          <w:p w14:paraId="042DAA87"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Lithium</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66F3C0ED"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Bupropion 300 mg, Quetiapine 125 mg</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303D33AB"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36F3EC5B"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active tDCS through RCT</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46BF329B"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Suicidal ideation, panic disorder, social phobia</w:t>
            </w:r>
          </w:p>
        </w:tc>
      </w:tr>
      <w:tr w:rsidR="00226F79" w:rsidRPr="00131082" w14:paraId="67CA360E" w14:textId="77777777" w:rsidTr="00A0607C">
        <w:trPr>
          <w:trHeight w:val="1455"/>
        </w:trPr>
        <w:tc>
          <w:tcPr>
            <w:tcW w:w="7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7948A5"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2</w:t>
            </w: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34E4B710"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Duloxetine</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454FA17A"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Bupropion 150 mg, Fluoxetine 150 mg</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1AF295CC"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Individual CBT</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676969BB"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sham tDCS through RCT, outpatient left DLPFC iTBS treatment</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520A14BB"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Suicidal ideation and suicidal behavior disorder, post -traumatic stress disorder</w:t>
            </w:r>
          </w:p>
        </w:tc>
      </w:tr>
      <w:tr w:rsidR="00226F79" w:rsidRPr="00226F79" w14:paraId="6285C7B3" w14:textId="77777777" w:rsidTr="00A0607C">
        <w:trPr>
          <w:trHeight w:val="690"/>
        </w:trPr>
        <w:tc>
          <w:tcPr>
            <w:tcW w:w="7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88950C"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3</w:t>
            </w: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39CABEA8"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Citalopram</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32010FF2"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Citalopram 20 mg, Mitrazapine 30 mg</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6DCD7361"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Behavior therapy since 2021</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7DD0407A"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active tDCS through RCT</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39468C6B"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Panic disorder, social phobia</w:t>
            </w:r>
          </w:p>
        </w:tc>
      </w:tr>
      <w:tr w:rsidR="00226F79" w:rsidRPr="00226F79" w14:paraId="651C0B1B" w14:textId="77777777" w:rsidTr="00A0607C">
        <w:trPr>
          <w:trHeight w:val="435"/>
        </w:trPr>
        <w:tc>
          <w:tcPr>
            <w:tcW w:w="7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4B0E45"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4</w:t>
            </w: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776F4AA6"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038FBD7E"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3C652F90"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Individual CBT</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10DE8846"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active tDCS through RCT</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441E9A8E"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r>
      <w:tr w:rsidR="00226F79" w:rsidRPr="00226F79" w14:paraId="1E62C079" w14:textId="77777777" w:rsidTr="00A0607C">
        <w:trPr>
          <w:trHeight w:val="1200"/>
        </w:trPr>
        <w:tc>
          <w:tcPr>
            <w:tcW w:w="7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E2FC9F"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5</w:t>
            </w: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42025C98"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Duloxetine</w:t>
            </w:r>
          </w:p>
          <w:p w14:paraId="6FA6FE5F"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Buproprion</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74796377"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 xml:space="preserve">Dulexetine 120 mg, Bupropion 300 mg, Lithium 1200 </w:t>
            </w:r>
            <w:r w:rsidRPr="00226F79">
              <w:rPr>
                <w:rFonts w:ascii="Arial" w:eastAsia="SimSun" w:hAnsi="Arial" w:cs="Arial"/>
                <w:kern w:val="0"/>
                <w:sz w:val="22"/>
                <w:szCs w:val="22"/>
                <w:lang w:val="en-US"/>
                <w14:ligatures w14:val="none"/>
              </w:rPr>
              <w:lastRenderedPageBreak/>
              <w:t>mg, Quetiapine 50 mg</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6FE9CE3A"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lastRenderedPageBreak/>
              <w:t>Psychotherapy once a month</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77998CF7"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outpatient left DLPFC iTBS treatment</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58C1D059"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r>
      <w:tr w:rsidR="00226F79" w:rsidRPr="00131082" w14:paraId="1F96472C" w14:textId="77777777" w:rsidTr="00A0607C">
        <w:trPr>
          <w:trHeight w:val="1455"/>
        </w:trPr>
        <w:tc>
          <w:tcPr>
            <w:tcW w:w="7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7EA923"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6</w:t>
            </w: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0F2B92FD"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Venlafaxine</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15B29D46"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Venlafaxine 150 mg, Quetiapine 50 mg</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0048441A"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Outpatient psychotherapy since 2018, behavior therapy since 2023</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6F69395D"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32CA8D2A"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Generalized anxiety disorder, suspected trauma</w:t>
            </w:r>
          </w:p>
        </w:tc>
      </w:tr>
      <w:tr w:rsidR="00226F79" w:rsidRPr="00226F79" w14:paraId="49A75C03" w14:textId="77777777" w:rsidTr="00A0607C">
        <w:trPr>
          <w:trHeight w:val="690"/>
        </w:trPr>
        <w:tc>
          <w:tcPr>
            <w:tcW w:w="7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351E53"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7</w:t>
            </w: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07D950F7"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Venlafaxine</w:t>
            </w:r>
          </w:p>
          <w:p w14:paraId="3703BC0B"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Mitrazapine</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2551C132"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Venlafaxine 150 mg</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4C6D74C7"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Group psychotherapy</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1E25D96D"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bilateral iTBS through RCT, condition not revealed</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2D12E9FD"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Panic disorder</w:t>
            </w:r>
          </w:p>
        </w:tc>
      </w:tr>
      <w:tr w:rsidR="00226F79" w:rsidRPr="00226F79" w14:paraId="5C2ED0A2" w14:textId="77777777" w:rsidTr="00A0607C">
        <w:trPr>
          <w:trHeight w:val="435"/>
        </w:trPr>
        <w:tc>
          <w:tcPr>
            <w:tcW w:w="7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1B569"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8</w:t>
            </w: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6F193A35"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Fluoxetine</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35DB04E1"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Fluoxetine 60 mg</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2E570EDF"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c>
          <w:tcPr>
            <w:tcW w:w="1395" w:type="dxa"/>
            <w:tcBorders>
              <w:top w:val="nil"/>
              <w:left w:val="nil"/>
              <w:bottom w:val="single" w:sz="5" w:space="0" w:color="000000"/>
              <w:right w:val="single" w:sz="5" w:space="0" w:color="000000"/>
            </w:tcBorders>
            <w:tcMar>
              <w:top w:w="0" w:type="dxa"/>
              <w:left w:w="100" w:type="dxa"/>
              <w:bottom w:w="0" w:type="dxa"/>
              <w:right w:w="100" w:type="dxa"/>
            </w:tcMar>
          </w:tcPr>
          <w:p w14:paraId="5CE24066"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6ECD7C84" w14:textId="77777777" w:rsidR="00226F79" w:rsidRPr="00226F79" w:rsidRDefault="00226F79" w:rsidP="00226F79">
            <w:pPr>
              <w:spacing w:before="240" w:line="25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r>
    </w:tbl>
    <w:p w14:paraId="0B06BA49" w14:textId="77777777" w:rsidR="00226F79" w:rsidRPr="00226F79" w:rsidRDefault="00226F79" w:rsidP="00226F79">
      <w:pPr>
        <w:spacing w:after="0" w:line="27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*According to ATHF-SF.</w:t>
      </w:r>
    </w:p>
    <w:p w14:paraId="1C25376C" w14:textId="77777777" w:rsidR="00226F79" w:rsidRPr="00226F79" w:rsidRDefault="00226F79" w:rsidP="00226F79">
      <w:pPr>
        <w:spacing w:after="0" w:line="276" w:lineRule="auto"/>
        <w:rPr>
          <w:rFonts w:ascii="Arial" w:eastAsia="SimSun" w:hAnsi="Arial" w:cs="Arial"/>
          <w:kern w:val="0"/>
          <w:sz w:val="22"/>
          <w:szCs w:val="22"/>
          <w:lang w:val="en-US"/>
          <w14:ligatures w14:val="none"/>
        </w:rPr>
      </w:pPr>
    </w:p>
    <w:p w14:paraId="5ACBE6DA" w14:textId="49F7008D" w:rsidR="00226F79" w:rsidRPr="00226F79" w:rsidRDefault="00226F79" w:rsidP="00226F79">
      <w:pPr>
        <w:spacing w:line="256" w:lineRule="auto"/>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 xml:space="preserve">5. Table S2: Medication and non-pharmacotherapy </w:t>
      </w:r>
      <w:r w:rsidR="00124E9B">
        <w:rPr>
          <w:rFonts w:ascii="Arial" w:eastAsia="SimSun" w:hAnsi="Arial" w:cs="Arial"/>
          <w:b/>
          <w:kern w:val="0"/>
          <w:sz w:val="22"/>
          <w:szCs w:val="22"/>
          <w:lang w:val="en-US"/>
          <w14:ligatures w14:val="none"/>
        </w:rPr>
        <w:t xml:space="preserve">during </w:t>
      </w:r>
      <w:r w:rsidRPr="00226F79">
        <w:rPr>
          <w:rFonts w:ascii="Arial" w:eastAsia="SimSun" w:hAnsi="Arial" w:cs="Arial"/>
          <w:b/>
          <w:kern w:val="0"/>
          <w:sz w:val="22"/>
          <w:szCs w:val="22"/>
          <w:lang w:val="en-US"/>
          <w14:ligatures w14:val="none"/>
        </w:rPr>
        <w:t>6 months after the high-dose aiTBS</w:t>
      </w:r>
    </w:p>
    <w:p w14:paraId="5B641103" w14:textId="77777777" w:rsidR="00226F79" w:rsidRPr="00226F79" w:rsidRDefault="00226F79" w:rsidP="00226F79">
      <w:pPr>
        <w:spacing w:after="0" w:line="276" w:lineRule="auto"/>
        <w:rPr>
          <w:rFonts w:ascii="Arial" w:eastAsia="SimSun" w:hAnsi="Arial" w:cs="Arial"/>
          <w:kern w:val="0"/>
          <w:sz w:val="22"/>
          <w:szCs w:val="22"/>
          <w:lang w:val="en-US"/>
          <w14:ligatures w14:val="non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226F79" w:rsidRPr="00226F79" w14:paraId="0B59C116" w14:textId="77777777" w:rsidTr="00A0607C">
        <w:tc>
          <w:tcPr>
            <w:tcW w:w="3009" w:type="dxa"/>
            <w:tcMar>
              <w:top w:w="100" w:type="dxa"/>
              <w:left w:w="100" w:type="dxa"/>
              <w:bottom w:w="100" w:type="dxa"/>
              <w:right w:w="100" w:type="dxa"/>
            </w:tcMar>
          </w:tcPr>
          <w:p w14:paraId="28ED756F"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Patient ID</w:t>
            </w:r>
          </w:p>
        </w:tc>
        <w:tc>
          <w:tcPr>
            <w:tcW w:w="3009" w:type="dxa"/>
            <w:tcMar>
              <w:top w:w="100" w:type="dxa"/>
              <w:left w:w="100" w:type="dxa"/>
              <w:bottom w:w="100" w:type="dxa"/>
              <w:right w:w="100" w:type="dxa"/>
            </w:tcMar>
          </w:tcPr>
          <w:p w14:paraId="38BEF8E5"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Antidepressant medication</w:t>
            </w:r>
          </w:p>
        </w:tc>
        <w:tc>
          <w:tcPr>
            <w:tcW w:w="3009" w:type="dxa"/>
            <w:tcMar>
              <w:top w:w="100" w:type="dxa"/>
              <w:left w:w="100" w:type="dxa"/>
              <w:bottom w:w="100" w:type="dxa"/>
              <w:right w:w="100" w:type="dxa"/>
            </w:tcMar>
          </w:tcPr>
          <w:p w14:paraId="115F2D4E"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Non-invasive brain stimulation</w:t>
            </w:r>
          </w:p>
        </w:tc>
      </w:tr>
      <w:tr w:rsidR="00226F79" w:rsidRPr="00226F79" w14:paraId="7B5F189D" w14:textId="77777777" w:rsidTr="00A0607C">
        <w:tc>
          <w:tcPr>
            <w:tcW w:w="3009" w:type="dxa"/>
            <w:tcMar>
              <w:top w:w="100" w:type="dxa"/>
              <w:left w:w="100" w:type="dxa"/>
              <w:bottom w:w="100" w:type="dxa"/>
              <w:right w:w="100" w:type="dxa"/>
            </w:tcMar>
          </w:tcPr>
          <w:p w14:paraId="0D5121DE"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w:t>
            </w:r>
          </w:p>
        </w:tc>
        <w:tc>
          <w:tcPr>
            <w:tcW w:w="3009" w:type="dxa"/>
            <w:tcMar>
              <w:top w:w="100" w:type="dxa"/>
              <w:left w:w="100" w:type="dxa"/>
              <w:bottom w:w="100" w:type="dxa"/>
              <w:right w:w="100" w:type="dxa"/>
            </w:tcMar>
          </w:tcPr>
          <w:p w14:paraId="7C8CEFF3"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Tranylcypromine 30 mg, Quetiapin at night 100 mg</w:t>
            </w:r>
          </w:p>
        </w:tc>
        <w:tc>
          <w:tcPr>
            <w:tcW w:w="3009" w:type="dxa"/>
            <w:tcMar>
              <w:top w:w="100" w:type="dxa"/>
              <w:left w:w="100" w:type="dxa"/>
              <w:bottom w:w="100" w:type="dxa"/>
              <w:right w:w="100" w:type="dxa"/>
            </w:tcMar>
          </w:tcPr>
          <w:p w14:paraId="45DE4738" w14:textId="77777777" w:rsidR="00226F79" w:rsidRPr="00226F79" w:rsidRDefault="00226F79" w:rsidP="00226F79">
            <w:pPr>
              <w:widowControl w:val="0"/>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5 weeks clinical tDCS</w:t>
            </w:r>
          </w:p>
        </w:tc>
      </w:tr>
      <w:tr w:rsidR="00226F79" w:rsidRPr="00226F79" w14:paraId="106A0516" w14:textId="77777777" w:rsidTr="00A0607C">
        <w:tc>
          <w:tcPr>
            <w:tcW w:w="3009" w:type="dxa"/>
            <w:tcMar>
              <w:top w:w="100" w:type="dxa"/>
              <w:left w:w="100" w:type="dxa"/>
              <w:bottom w:w="100" w:type="dxa"/>
              <w:right w:w="100" w:type="dxa"/>
            </w:tcMar>
          </w:tcPr>
          <w:p w14:paraId="0A40471C"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2</w:t>
            </w:r>
          </w:p>
        </w:tc>
        <w:tc>
          <w:tcPr>
            <w:tcW w:w="3009" w:type="dxa"/>
            <w:tcMar>
              <w:top w:w="100" w:type="dxa"/>
              <w:left w:w="100" w:type="dxa"/>
              <w:bottom w:w="100" w:type="dxa"/>
              <w:right w:w="100" w:type="dxa"/>
            </w:tcMar>
          </w:tcPr>
          <w:p w14:paraId="5EF4AB40" w14:textId="77777777" w:rsidR="00226F79" w:rsidRPr="00226F79" w:rsidRDefault="00226F79" w:rsidP="00226F79">
            <w:pPr>
              <w:spacing w:before="240" w:line="256"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Fluoxetine 150 mg</w:t>
            </w:r>
          </w:p>
        </w:tc>
        <w:tc>
          <w:tcPr>
            <w:tcW w:w="3009" w:type="dxa"/>
            <w:tcMar>
              <w:top w:w="100" w:type="dxa"/>
              <w:left w:w="100" w:type="dxa"/>
              <w:bottom w:w="100" w:type="dxa"/>
              <w:right w:w="100" w:type="dxa"/>
            </w:tcMar>
          </w:tcPr>
          <w:p w14:paraId="6B5AAB49"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r>
      <w:tr w:rsidR="00226F79" w:rsidRPr="00131082" w14:paraId="34F36D8A" w14:textId="77777777" w:rsidTr="00A0607C">
        <w:tc>
          <w:tcPr>
            <w:tcW w:w="3009" w:type="dxa"/>
            <w:tcMar>
              <w:top w:w="100" w:type="dxa"/>
              <w:left w:w="100" w:type="dxa"/>
              <w:bottom w:w="100" w:type="dxa"/>
              <w:right w:w="100" w:type="dxa"/>
            </w:tcMar>
          </w:tcPr>
          <w:p w14:paraId="4E51D051"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3</w:t>
            </w:r>
          </w:p>
        </w:tc>
        <w:tc>
          <w:tcPr>
            <w:tcW w:w="3009" w:type="dxa"/>
            <w:tcMar>
              <w:top w:w="100" w:type="dxa"/>
              <w:left w:w="100" w:type="dxa"/>
              <w:bottom w:w="100" w:type="dxa"/>
              <w:right w:w="100" w:type="dxa"/>
            </w:tcMar>
          </w:tcPr>
          <w:p w14:paraId="33B19D86"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Sertraline 50 mg, Bupropion</w:t>
            </w:r>
          </w:p>
        </w:tc>
        <w:tc>
          <w:tcPr>
            <w:tcW w:w="3009" w:type="dxa"/>
            <w:tcMar>
              <w:top w:w="100" w:type="dxa"/>
              <w:left w:w="100" w:type="dxa"/>
              <w:bottom w:w="100" w:type="dxa"/>
              <w:right w:w="100" w:type="dxa"/>
            </w:tcMar>
          </w:tcPr>
          <w:p w14:paraId="3FF4FF50"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6 weeks clinical left DLPFC standard iTBS (3 weeks daily, 3 weeks twice per week)</w:t>
            </w:r>
          </w:p>
        </w:tc>
      </w:tr>
      <w:tr w:rsidR="00226F79" w:rsidRPr="00226F79" w14:paraId="63DBF567" w14:textId="77777777" w:rsidTr="00A0607C">
        <w:tc>
          <w:tcPr>
            <w:tcW w:w="3009" w:type="dxa"/>
            <w:tcMar>
              <w:top w:w="100" w:type="dxa"/>
              <w:left w:w="100" w:type="dxa"/>
              <w:bottom w:w="100" w:type="dxa"/>
              <w:right w:w="100" w:type="dxa"/>
            </w:tcMar>
          </w:tcPr>
          <w:p w14:paraId="79BE19ED"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4</w:t>
            </w:r>
          </w:p>
        </w:tc>
        <w:tc>
          <w:tcPr>
            <w:tcW w:w="3009" w:type="dxa"/>
            <w:tcMar>
              <w:top w:w="100" w:type="dxa"/>
              <w:left w:w="100" w:type="dxa"/>
              <w:bottom w:w="100" w:type="dxa"/>
              <w:right w:w="100" w:type="dxa"/>
            </w:tcMar>
          </w:tcPr>
          <w:p w14:paraId="0CF58E4A"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Bupropion 300 mg, Risperidone 0.5 mg</w:t>
            </w:r>
          </w:p>
        </w:tc>
        <w:tc>
          <w:tcPr>
            <w:tcW w:w="3009" w:type="dxa"/>
            <w:tcMar>
              <w:top w:w="100" w:type="dxa"/>
              <w:left w:w="100" w:type="dxa"/>
              <w:bottom w:w="100" w:type="dxa"/>
              <w:right w:w="100" w:type="dxa"/>
            </w:tcMar>
          </w:tcPr>
          <w:p w14:paraId="436063A8"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r>
      <w:tr w:rsidR="00226F79" w:rsidRPr="00226F79" w14:paraId="50743A0F" w14:textId="77777777" w:rsidTr="00A0607C">
        <w:tc>
          <w:tcPr>
            <w:tcW w:w="3009" w:type="dxa"/>
            <w:tcMar>
              <w:top w:w="100" w:type="dxa"/>
              <w:left w:w="100" w:type="dxa"/>
              <w:bottom w:w="100" w:type="dxa"/>
              <w:right w:w="100" w:type="dxa"/>
            </w:tcMar>
          </w:tcPr>
          <w:p w14:paraId="0862544D"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5</w:t>
            </w:r>
          </w:p>
        </w:tc>
        <w:tc>
          <w:tcPr>
            <w:tcW w:w="3009" w:type="dxa"/>
            <w:tcMar>
              <w:top w:w="100" w:type="dxa"/>
              <w:left w:w="100" w:type="dxa"/>
              <w:bottom w:w="100" w:type="dxa"/>
              <w:right w:w="100" w:type="dxa"/>
            </w:tcMar>
          </w:tcPr>
          <w:p w14:paraId="3F48C652"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lost FU</w:t>
            </w:r>
          </w:p>
        </w:tc>
        <w:tc>
          <w:tcPr>
            <w:tcW w:w="3009" w:type="dxa"/>
            <w:tcMar>
              <w:top w:w="100" w:type="dxa"/>
              <w:left w:w="100" w:type="dxa"/>
              <w:bottom w:w="100" w:type="dxa"/>
              <w:right w:w="100" w:type="dxa"/>
            </w:tcMar>
          </w:tcPr>
          <w:p w14:paraId="65ED020A"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lost FU</w:t>
            </w:r>
          </w:p>
        </w:tc>
      </w:tr>
      <w:tr w:rsidR="00226F79" w:rsidRPr="00226F79" w14:paraId="5C1F2697" w14:textId="77777777" w:rsidTr="00A0607C">
        <w:tc>
          <w:tcPr>
            <w:tcW w:w="3009" w:type="dxa"/>
            <w:tcMar>
              <w:top w:w="100" w:type="dxa"/>
              <w:left w:w="100" w:type="dxa"/>
              <w:bottom w:w="100" w:type="dxa"/>
              <w:right w:w="100" w:type="dxa"/>
            </w:tcMar>
          </w:tcPr>
          <w:p w14:paraId="15E43807"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lastRenderedPageBreak/>
              <w:t>6</w:t>
            </w:r>
          </w:p>
        </w:tc>
        <w:tc>
          <w:tcPr>
            <w:tcW w:w="3009" w:type="dxa"/>
            <w:tcMar>
              <w:top w:w="100" w:type="dxa"/>
              <w:left w:w="100" w:type="dxa"/>
              <w:bottom w:w="100" w:type="dxa"/>
              <w:right w:w="100" w:type="dxa"/>
            </w:tcMar>
          </w:tcPr>
          <w:p w14:paraId="6F463191"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Venlafaxine, Quetiapine, Lorazepam only for emergency</w:t>
            </w:r>
          </w:p>
        </w:tc>
        <w:tc>
          <w:tcPr>
            <w:tcW w:w="3009" w:type="dxa"/>
            <w:tcMar>
              <w:top w:w="100" w:type="dxa"/>
              <w:left w:w="100" w:type="dxa"/>
              <w:bottom w:w="100" w:type="dxa"/>
              <w:right w:w="100" w:type="dxa"/>
            </w:tcMar>
          </w:tcPr>
          <w:p w14:paraId="72E87D63"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r>
      <w:tr w:rsidR="00226F79" w:rsidRPr="00226F79" w14:paraId="70598CF9" w14:textId="77777777" w:rsidTr="00A0607C">
        <w:tc>
          <w:tcPr>
            <w:tcW w:w="3009" w:type="dxa"/>
            <w:tcMar>
              <w:top w:w="100" w:type="dxa"/>
              <w:left w:w="100" w:type="dxa"/>
              <w:bottom w:w="100" w:type="dxa"/>
              <w:right w:w="100" w:type="dxa"/>
            </w:tcMar>
          </w:tcPr>
          <w:p w14:paraId="321850CA"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7</w:t>
            </w:r>
          </w:p>
        </w:tc>
        <w:tc>
          <w:tcPr>
            <w:tcW w:w="3009" w:type="dxa"/>
            <w:tcMar>
              <w:top w:w="100" w:type="dxa"/>
              <w:left w:w="100" w:type="dxa"/>
              <w:bottom w:w="100" w:type="dxa"/>
              <w:right w:w="100" w:type="dxa"/>
            </w:tcMar>
          </w:tcPr>
          <w:p w14:paraId="69E0185E"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Mirtazapine 15 mg</w:t>
            </w:r>
          </w:p>
        </w:tc>
        <w:tc>
          <w:tcPr>
            <w:tcW w:w="3009" w:type="dxa"/>
            <w:tcMar>
              <w:top w:w="100" w:type="dxa"/>
              <w:left w:w="100" w:type="dxa"/>
              <w:bottom w:w="100" w:type="dxa"/>
              <w:right w:w="100" w:type="dxa"/>
            </w:tcMar>
          </w:tcPr>
          <w:p w14:paraId="5513B6D3"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w:t>
            </w:r>
          </w:p>
        </w:tc>
      </w:tr>
      <w:tr w:rsidR="00226F79" w:rsidRPr="00226F79" w14:paraId="68406F97" w14:textId="77777777" w:rsidTr="00A0607C">
        <w:tc>
          <w:tcPr>
            <w:tcW w:w="3009" w:type="dxa"/>
            <w:tcMar>
              <w:top w:w="100" w:type="dxa"/>
              <w:left w:w="100" w:type="dxa"/>
              <w:bottom w:w="100" w:type="dxa"/>
              <w:right w:w="100" w:type="dxa"/>
            </w:tcMar>
          </w:tcPr>
          <w:p w14:paraId="368221DF" w14:textId="77777777" w:rsidR="00226F79" w:rsidRPr="00226F79" w:rsidRDefault="00226F79" w:rsidP="00226F79">
            <w:pPr>
              <w:widowControl w:val="0"/>
              <w:pBdr>
                <w:top w:val="nil"/>
                <w:left w:val="nil"/>
                <w:bottom w:val="nil"/>
                <w:right w:val="nil"/>
                <w:between w:val="nil"/>
              </w:pBdr>
              <w:spacing w:after="0" w:line="240"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8</w:t>
            </w:r>
          </w:p>
        </w:tc>
        <w:tc>
          <w:tcPr>
            <w:tcW w:w="3009" w:type="dxa"/>
            <w:tcMar>
              <w:top w:w="100" w:type="dxa"/>
              <w:left w:w="100" w:type="dxa"/>
              <w:bottom w:w="100" w:type="dxa"/>
              <w:right w:w="100" w:type="dxa"/>
            </w:tcMar>
          </w:tcPr>
          <w:p w14:paraId="395A33C4"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lost FU</w:t>
            </w:r>
          </w:p>
        </w:tc>
        <w:tc>
          <w:tcPr>
            <w:tcW w:w="3009" w:type="dxa"/>
            <w:tcMar>
              <w:top w:w="100" w:type="dxa"/>
              <w:left w:w="100" w:type="dxa"/>
              <w:bottom w:w="100" w:type="dxa"/>
              <w:right w:w="100" w:type="dxa"/>
            </w:tcMar>
          </w:tcPr>
          <w:p w14:paraId="5480B22E"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lost FU</w:t>
            </w:r>
          </w:p>
        </w:tc>
      </w:tr>
    </w:tbl>
    <w:p w14:paraId="0B05EEBE" w14:textId="77777777" w:rsidR="00226F79" w:rsidRPr="00226F79" w:rsidRDefault="00226F79" w:rsidP="00226F79">
      <w:pPr>
        <w:spacing w:after="0" w:line="276" w:lineRule="auto"/>
        <w:rPr>
          <w:rFonts w:ascii="Arial" w:eastAsia="SimSun" w:hAnsi="Arial" w:cs="Arial"/>
          <w:kern w:val="0"/>
          <w:sz w:val="22"/>
          <w:szCs w:val="22"/>
          <w:lang w:val="en-US"/>
          <w14:ligatures w14:val="none"/>
        </w:rPr>
      </w:pPr>
    </w:p>
    <w:p w14:paraId="7DA49E4D" w14:textId="77777777" w:rsidR="00226F79" w:rsidRPr="00226F79" w:rsidRDefault="00226F79" w:rsidP="00226F79">
      <w:pPr>
        <w:spacing w:after="0" w:line="276" w:lineRule="auto"/>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6. Table S3: Side effects of high-dose accelerated iTBS</w:t>
      </w:r>
    </w:p>
    <w:p w14:paraId="2F59E16A" w14:textId="77777777" w:rsidR="00226F79" w:rsidRPr="00226F79" w:rsidRDefault="00226F79" w:rsidP="00226F79">
      <w:pPr>
        <w:spacing w:after="0" w:line="276" w:lineRule="auto"/>
        <w:rPr>
          <w:rFonts w:ascii="Arial" w:eastAsia="SimSun" w:hAnsi="Arial" w:cs="Arial"/>
          <w:kern w:val="0"/>
          <w:sz w:val="22"/>
          <w:szCs w:val="22"/>
          <w:lang w:val="en-US"/>
          <w14:ligatures w14:val="non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226F79" w:rsidRPr="00226F79" w14:paraId="6A7C3050" w14:textId="77777777" w:rsidTr="00A0607C">
        <w:tc>
          <w:tcPr>
            <w:tcW w:w="4514" w:type="dxa"/>
            <w:tcMar>
              <w:top w:w="100" w:type="dxa"/>
              <w:left w:w="100" w:type="dxa"/>
              <w:bottom w:w="100" w:type="dxa"/>
              <w:right w:w="100" w:type="dxa"/>
            </w:tcMar>
          </w:tcPr>
          <w:p w14:paraId="262979A6"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Type</w:t>
            </w:r>
          </w:p>
        </w:tc>
        <w:tc>
          <w:tcPr>
            <w:tcW w:w="4514" w:type="dxa"/>
            <w:tcMar>
              <w:top w:w="100" w:type="dxa"/>
              <w:left w:w="100" w:type="dxa"/>
              <w:bottom w:w="100" w:type="dxa"/>
              <w:right w:w="100" w:type="dxa"/>
            </w:tcMar>
          </w:tcPr>
          <w:p w14:paraId="202C9C7D"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Percentage</w:t>
            </w:r>
          </w:p>
        </w:tc>
      </w:tr>
      <w:tr w:rsidR="00226F79" w:rsidRPr="00226F79" w14:paraId="5BF5B406" w14:textId="77777777" w:rsidTr="00A0607C">
        <w:tc>
          <w:tcPr>
            <w:tcW w:w="4514" w:type="dxa"/>
            <w:tcMar>
              <w:top w:w="100" w:type="dxa"/>
              <w:left w:w="100" w:type="dxa"/>
              <w:bottom w:w="100" w:type="dxa"/>
              <w:right w:w="100" w:type="dxa"/>
            </w:tcMar>
          </w:tcPr>
          <w:p w14:paraId="39566326"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Fatigue</w:t>
            </w:r>
          </w:p>
        </w:tc>
        <w:tc>
          <w:tcPr>
            <w:tcW w:w="4514" w:type="dxa"/>
            <w:tcMar>
              <w:top w:w="100" w:type="dxa"/>
              <w:left w:w="100" w:type="dxa"/>
              <w:bottom w:w="100" w:type="dxa"/>
              <w:right w:w="100" w:type="dxa"/>
            </w:tcMar>
          </w:tcPr>
          <w:p w14:paraId="42268CD6"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87.5% (7)</w:t>
            </w:r>
          </w:p>
        </w:tc>
      </w:tr>
      <w:tr w:rsidR="00226F79" w:rsidRPr="00226F79" w14:paraId="44E7C497" w14:textId="77777777" w:rsidTr="00A0607C">
        <w:tc>
          <w:tcPr>
            <w:tcW w:w="4514" w:type="dxa"/>
            <w:tcMar>
              <w:top w:w="100" w:type="dxa"/>
              <w:left w:w="100" w:type="dxa"/>
              <w:bottom w:w="100" w:type="dxa"/>
              <w:right w:w="100" w:type="dxa"/>
            </w:tcMar>
          </w:tcPr>
          <w:p w14:paraId="7C08328D"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Sleep disturbance</w:t>
            </w:r>
          </w:p>
        </w:tc>
        <w:tc>
          <w:tcPr>
            <w:tcW w:w="4514" w:type="dxa"/>
            <w:tcMar>
              <w:top w:w="100" w:type="dxa"/>
              <w:left w:w="100" w:type="dxa"/>
              <w:bottom w:w="100" w:type="dxa"/>
              <w:right w:w="100" w:type="dxa"/>
            </w:tcMar>
          </w:tcPr>
          <w:p w14:paraId="61884C66"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75% (6)</w:t>
            </w:r>
          </w:p>
        </w:tc>
      </w:tr>
      <w:tr w:rsidR="00226F79" w:rsidRPr="00226F79" w14:paraId="493DAD7C" w14:textId="77777777" w:rsidTr="00A0607C">
        <w:tc>
          <w:tcPr>
            <w:tcW w:w="4514" w:type="dxa"/>
            <w:tcMar>
              <w:top w:w="100" w:type="dxa"/>
              <w:left w:w="100" w:type="dxa"/>
              <w:bottom w:w="100" w:type="dxa"/>
              <w:right w:w="100" w:type="dxa"/>
            </w:tcMar>
          </w:tcPr>
          <w:p w14:paraId="0A6D9F0A"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Gastroenterological problem</w:t>
            </w:r>
          </w:p>
        </w:tc>
        <w:tc>
          <w:tcPr>
            <w:tcW w:w="4514" w:type="dxa"/>
            <w:tcMar>
              <w:top w:w="100" w:type="dxa"/>
              <w:left w:w="100" w:type="dxa"/>
              <w:bottom w:w="100" w:type="dxa"/>
              <w:right w:w="100" w:type="dxa"/>
            </w:tcMar>
          </w:tcPr>
          <w:p w14:paraId="2A7AEF5E" w14:textId="1BB4DBE5" w:rsidR="00226F79" w:rsidRPr="00226F79" w:rsidRDefault="00131082"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Pr>
                <w:rFonts w:ascii="Arial" w:eastAsia="SimSun" w:hAnsi="Arial" w:cs="Arial"/>
                <w:kern w:val="0"/>
                <w:sz w:val="22"/>
                <w:szCs w:val="22"/>
                <w:lang w:val="en-US"/>
                <w14:ligatures w14:val="none"/>
              </w:rPr>
              <w:t>25</w:t>
            </w:r>
            <w:r w:rsidR="00226F79" w:rsidRPr="00226F79">
              <w:rPr>
                <w:rFonts w:ascii="Arial" w:eastAsia="SimSun" w:hAnsi="Arial" w:cs="Arial"/>
                <w:kern w:val="0"/>
                <w:sz w:val="22"/>
                <w:szCs w:val="22"/>
                <w:lang w:val="en-US"/>
                <w14:ligatures w14:val="none"/>
              </w:rPr>
              <w:t>% (</w:t>
            </w:r>
            <w:r>
              <w:rPr>
                <w:rFonts w:ascii="Arial" w:eastAsia="SimSun" w:hAnsi="Arial" w:cs="Arial"/>
                <w:kern w:val="0"/>
                <w:sz w:val="22"/>
                <w:szCs w:val="22"/>
                <w:lang w:val="en-US"/>
                <w14:ligatures w14:val="none"/>
              </w:rPr>
              <w:t>2</w:t>
            </w:r>
            <w:r w:rsidR="00226F79" w:rsidRPr="00226F79">
              <w:rPr>
                <w:rFonts w:ascii="Arial" w:eastAsia="SimSun" w:hAnsi="Arial" w:cs="Arial"/>
                <w:kern w:val="0"/>
                <w:sz w:val="22"/>
                <w:szCs w:val="22"/>
                <w:lang w:val="en-US"/>
                <w14:ligatures w14:val="none"/>
              </w:rPr>
              <w:t>)</w:t>
            </w:r>
          </w:p>
        </w:tc>
      </w:tr>
      <w:tr w:rsidR="00226F79" w:rsidRPr="00226F79" w14:paraId="64B0C858" w14:textId="77777777" w:rsidTr="00A0607C">
        <w:tc>
          <w:tcPr>
            <w:tcW w:w="4514" w:type="dxa"/>
            <w:tcMar>
              <w:top w:w="100" w:type="dxa"/>
              <w:left w:w="100" w:type="dxa"/>
              <w:bottom w:w="100" w:type="dxa"/>
              <w:right w:w="100" w:type="dxa"/>
            </w:tcMar>
          </w:tcPr>
          <w:p w14:paraId="5E353AB2"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Muscle twitch</w:t>
            </w:r>
          </w:p>
        </w:tc>
        <w:tc>
          <w:tcPr>
            <w:tcW w:w="4514" w:type="dxa"/>
            <w:tcMar>
              <w:top w:w="100" w:type="dxa"/>
              <w:left w:w="100" w:type="dxa"/>
              <w:bottom w:w="100" w:type="dxa"/>
              <w:right w:w="100" w:type="dxa"/>
            </w:tcMar>
          </w:tcPr>
          <w:p w14:paraId="3B19B7E6"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12.5% (1)</w:t>
            </w:r>
          </w:p>
        </w:tc>
      </w:tr>
      <w:tr w:rsidR="00226F79" w:rsidRPr="00226F79" w14:paraId="6E7636B2" w14:textId="77777777" w:rsidTr="00A0607C">
        <w:tc>
          <w:tcPr>
            <w:tcW w:w="4514" w:type="dxa"/>
            <w:tcMar>
              <w:top w:w="100" w:type="dxa"/>
              <w:left w:w="100" w:type="dxa"/>
              <w:bottom w:w="100" w:type="dxa"/>
              <w:right w:w="100" w:type="dxa"/>
            </w:tcMar>
          </w:tcPr>
          <w:p w14:paraId="6D02D758"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Migraine</w:t>
            </w:r>
          </w:p>
        </w:tc>
        <w:tc>
          <w:tcPr>
            <w:tcW w:w="4514" w:type="dxa"/>
            <w:tcMar>
              <w:top w:w="100" w:type="dxa"/>
              <w:left w:w="100" w:type="dxa"/>
              <w:bottom w:w="100" w:type="dxa"/>
              <w:right w:w="100" w:type="dxa"/>
            </w:tcMar>
          </w:tcPr>
          <w:p w14:paraId="210C4315"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12.5% (1)</w:t>
            </w:r>
          </w:p>
        </w:tc>
      </w:tr>
      <w:tr w:rsidR="00226F79" w:rsidRPr="00226F79" w14:paraId="609395B6" w14:textId="77777777" w:rsidTr="00A0607C">
        <w:tc>
          <w:tcPr>
            <w:tcW w:w="4514" w:type="dxa"/>
            <w:tcMar>
              <w:top w:w="100" w:type="dxa"/>
              <w:left w:w="100" w:type="dxa"/>
              <w:bottom w:w="100" w:type="dxa"/>
              <w:right w:w="100" w:type="dxa"/>
            </w:tcMar>
          </w:tcPr>
          <w:p w14:paraId="481D4219"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Euphoria experience</w:t>
            </w:r>
          </w:p>
        </w:tc>
        <w:tc>
          <w:tcPr>
            <w:tcW w:w="4514" w:type="dxa"/>
            <w:tcMar>
              <w:top w:w="100" w:type="dxa"/>
              <w:left w:w="100" w:type="dxa"/>
              <w:bottom w:w="100" w:type="dxa"/>
              <w:right w:w="100" w:type="dxa"/>
            </w:tcMar>
          </w:tcPr>
          <w:p w14:paraId="257DA79A"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12.5% (1)</w:t>
            </w:r>
          </w:p>
        </w:tc>
      </w:tr>
      <w:tr w:rsidR="00226F79" w:rsidRPr="00226F79" w14:paraId="5ADE6736" w14:textId="77777777" w:rsidTr="00A0607C">
        <w:tc>
          <w:tcPr>
            <w:tcW w:w="4514" w:type="dxa"/>
            <w:tcMar>
              <w:top w:w="100" w:type="dxa"/>
              <w:left w:w="100" w:type="dxa"/>
              <w:bottom w:w="100" w:type="dxa"/>
              <w:right w:w="100" w:type="dxa"/>
            </w:tcMar>
          </w:tcPr>
          <w:p w14:paraId="18E34DFF"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Subtle resting/postural tremors</w:t>
            </w:r>
          </w:p>
        </w:tc>
        <w:tc>
          <w:tcPr>
            <w:tcW w:w="4514" w:type="dxa"/>
            <w:tcMar>
              <w:top w:w="100" w:type="dxa"/>
              <w:left w:w="100" w:type="dxa"/>
              <w:bottom w:w="100" w:type="dxa"/>
              <w:right w:w="100" w:type="dxa"/>
            </w:tcMar>
          </w:tcPr>
          <w:p w14:paraId="6333F22C"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12.5% (1)</w:t>
            </w:r>
          </w:p>
        </w:tc>
      </w:tr>
    </w:tbl>
    <w:p w14:paraId="212A6BAB" w14:textId="77777777" w:rsidR="00226F79" w:rsidRPr="00226F79" w:rsidRDefault="00226F79" w:rsidP="00226F79">
      <w:pPr>
        <w:spacing w:before="240" w:after="240" w:line="276" w:lineRule="auto"/>
        <w:jc w:val="both"/>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 xml:space="preserve">Two patients experienced gastrointestinal problems but they were not believed to be triggered by the stimulation due to the frequent occurrence in past life or suspected infection through family members. One patient had muscle twitch in the left arm, but it did not cause any inconvenience to everyday life. One patient with a history of migraine attacks had quite intense migraine and had to take a rest on the third day, but continued the treatment after one day break. One patient had extreme euphoria from the second treatment day on, but this state distinguished after the weekend. One patient had subtle resting/postural tremors on the fifth treatment day, which has not been reported by any previous iTBS trial.    </w:t>
      </w:r>
    </w:p>
    <w:p w14:paraId="73714BEB" w14:textId="77777777" w:rsidR="00226F79" w:rsidRPr="00226F79" w:rsidRDefault="00226F79" w:rsidP="00226F79">
      <w:pPr>
        <w:spacing w:after="0" w:line="276" w:lineRule="auto"/>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7. Table S4: Score change, response and remission rate after accelerated high-dose iTBS treatment</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948"/>
        <w:gridCol w:w="884"/>
        <w:gridCol w:w="773"/>
        <w:gridCol w:w="884"/>
        <w:gridCol w:w="884"/>
        <w:gridCol w:w="884"/>
        <w:gridCol w:w="884"/>
        <w:gridCol w:w="884"/>
      </w:tblGrid>
      <w:tr w:rsidR="00226F79" w:rsidRPr="00226F79" w14:paraId="4AF5DA12" w14:textId="77777777" w:rsidTr="00A0607C">
        <w:trPr>
          <w:trHeight w:val="850"/>
          <w:tblHeader/>
        </w:trPr>
        <w:tc>
          <w:tcPr>
            <w:tcW w:w="294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C7A7D8A" w14:textId="77777777" w:rsidR="00226F79" w:rsidRPr="00226F79" w:rsidRDefault="00226F79" w:rsidP="00226F79">
            <w:pPr>
              <w:spacing w:before="240" w:after="240" w:line="276" w:lineRule="auto"/>
              <w:jc w:val="center"/>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Timepoint</w:t>
            </w:r>
          </w:p>
        </w:tc>
        <w:tc>
          <w:tcPr>
            <w:tcW w:w="88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22F0B0C" w14:textId="77777777" w:rsidR="00226F79" w:rsidRPr="00226F79" w:rsidRDefault="00226F79" w:rsidP="00226F79">
            <w:pPr>
              <w:spacing w:before="240" w:after="240" w:line="276" w:lineRule="auto"/>
              <w:jc w:val="center"/>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Post-treatment</w:t>
            </w:r>
          </w:p>
        </w:tc>
        <w:tc>
          <w:tcPr>
            <w:tcW w:w="77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1C7A520" w14:textId="77777777" w:rsidR="00226F79" w:rsidRPr="00226F79" w:rsidRDefault="00226F79" w:rsidP="00226F79">
            <w:pPr>
              <w:spacing w:before="240" w:after="240" w:line="276" w:lineRule="auto"/>
              <w:jc w:val="center"/>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Follow-up 1</w:t>
            </w:r>
          </w:p>
        </w:tc>
        <w:tc>
          <w:tcPr>
            <w:tcW w:w="88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3168755" w14:textId="77777777" w:rsidR="00226F79" w:rsidRPr="00226F79" w:rsidRDefault="00226F79" w:rsidP="00226F79">
            <w:pPr>
              <w:spacing w:before="240" w:after="240" w:line="276" w:lineRule="auto"/>
              <w:jc w:val="center"/>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Follow-up 2</w:t>
            </w:r>
          </w:p>
        </w:tc>
        <w:tc>
          <w:tcPr>
            <w:tcW w:w="88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2527F07" w14:textId="77777777" w:rsidR="00226F79" w:rsidRPr="00226F79" w:rsidRDefault="00226F79" w:rsidP="00226F79">
            <w:pPr>
              <w:spacing w:before="240" w:after="240" w:line="276" w:lineRule="auto"/>
              <w:jc w:val="center"/>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Follow-up 3</w:t>
            </w:r>
          </w:p>
        </w:tc>
        <w:tc>
          <w:tcPr>
            <w:tcW w:w="88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DFFD65" w14:textId="77777777" w:rsidR="00226F79" w:rsidRPr="00226F79" w:rsidRDefault="00226F79" w:rsidP="00226F79">
            <w:pPr>
              <w:spacing w:before="240" w:after="240" w:line="276" w:lineRule="auto"/>
              <w:jc w:val="center"/>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Follow-up 4</w:t>
            </w:r>
          </w:p>
        </w:tc>
        <w:tc>
          <w:tcPr>
            <w:tcW w:w="88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908DAF8" w14:textId="77777777" w:rsidR="00226F79" w:rsidRPr="00226F79" w:rsidRDefault="00226F79" w:rsidP="00226F79">
            <w:pPr>
              <w:spacing w:before="240" w:after="240" w:line="276" w:lineRule="auto"/>
              <w:jc w:val="center"/>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post-tDCS</w:t>
            </w:r>
          </w:p>
        </w:tc>
        <w:tc>
          <w:tcPr>
            <w:tcW w:w="88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3C51650" w14:textId="77777777" w:rsidR="00226F79" w:rsidRPr="00226F79" w:rsidRDefault="00226F79" w:rsidP="00226F79">
            <w:pPr>
              <w:spacing w:before="240" w:after="240" w:line="276" w:lineRule="auto"/>
              <w:jc w:val="center"/>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6-month follow-up</w:t>
            </w:r>
          </w:p>
        </w:tc>
      </w:tr>
      <w:tr w:rsidR="00226F79" w:rsidRPr="00226F79" w14:paraId="2AFB8E46" w14:textId="77777777" w:rsidTr="00A0607C">
        <w:trPr>
          <w:trHeight w:val="850"/>
        </w:trPr>
        <w:tc>
          <w:tcPr>
            <w:tcW w:w="2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BBCAAA"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MADRS score change, mean(SD)</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435ACBB3"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-13.13 (7.84)</w:t>
            </w:r>
          </w:p>
        </w:tc>
        <w:tc>
          <w:tcPr>
            <w:tcW w:w="773" w:type="dxa"/>
            <w:tcBorders>
              <w:top w:val="nil"/>
              <w:left w:val="nil"/>
              <w:bottom w:val="single" w:sz="5" w:space="0" w:color="000000"/>
              <w:right w:val="single" w:sz="5" w:space="0" w:color="000000"/>
            </w:tcBorders>
            <w:tcMar>
              <w:top w:w="0" w:type="dxa"/>
              <w:left w:w="100" w:type="dxa"/>
              <w:bottom w:w="0" w:type="dxa"/>
              <w:right w:w="100" w:type="dxa"/>
            </w:tcMar>
          </w:tcPr>
          <w:p w14:paraId="0D457A1B"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-11.5 (5.62)</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D6A1CC0"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-14.003 (5.54)</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2ADDBB68"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-14.25 (7.85)</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176B4D77"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-12.50 (9.81)</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0A87890E"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-10.13 (8.85)</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0CA181C1"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-9.96 (5.71)</w:t>
            </w:r>
          </w:p>
        </w:tc>
      </w:tr>
      <w:tr w:rsidR="00226F79" w:rsidRPr="00226F79" w14:paraId="7CE229F8" w14:textId="77777777" w:rsidTr="00A0607C">
        <w:trPr>
          <w:trHeight w:val="850"/>
        </w:trPr>
        <w:tc>
          <w:tcPr>
            <w:tcW w:w="2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8DE002"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lastRenderedPageBreak/>
              <w:t>MADRS response rate</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50D778A1"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50.00%</w:t>
            </w:r>
          </w:p>
        </w:tc>
        <w:tc>
          <w:tcPr>
            <w:tcW w:w="773" w:type="dxa"/>
            <w:tcBorders>
              <w:top w:val="nil"/>
              <w:left w:val="nil"/>
              <w:bottom w:val="single" w:sz="5" w:space="0" w:color="000000"/>
              <w:right w:val="single" w:sz="5" w:space="0" w:color="000000"/>
            </w:tcBorders>
            <w:tcMar>
              <w:top w:w="0" w:type="dxa"/>
              <w:left w:w="100" w:type="dxa"/>
              <w:bottom w:w="0" w:type="dxa"/>
              <w:right w:w="100" w:type="dxa"/>
            </w:tcMar>
          </w:tcPr>
          <w:p w14:paraId="753B9266"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25.00%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096C5210"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1B94DECC"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933E751"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50.00%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173DD28A"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28.5</w:t>
            </w:r>
            <w:r w:rsidRPr="00226F79">
              <w:rPr>
                <w:rFonts w:ascii="Arial" w:eastAsia="SimSun" w:hAnsi="Arial" w:cs="Arial" w:hint="eastAsia"/>
                <w:kern w:val="0"/>
                <w:sz w:val="18"/>
                <w:szCs w:val="18"/>
                <w:lang w:val="en-US"/>
                <w14:ligatures w14:val="none"/>
              </w:rPr>
              <w:t>7</w:t>
            </w:r>
            <w:r w:rsidRPr="00226F79">
              <w:rPr>
                <w:rFonts w:ascii="Arial" w:eastAsia="SimSun" w:hAnsi="Arial" w:cs="Arial"/>
                <w:kern w:val="0"/>
                <w:sz w:val="18"/>
                <w:szCs w:val="18"/>
                <w:lang w:val="en-US"/>
                <w14:ligatures w14:val="none"/>
              </w:rPr>
              <w:t>%</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9C2AFE1"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16.</w:t>
            </w:r>
            <w:r w:rsidRPr="00226F79">
              <w:rPr>
                <w:rFonts w:ascii="Arial" w:eastAsia="SimSun" w:hAnsi="Arial" w:cs="Arial" w:hint="eastAsia"/>
                <w:kern w:val="0"/>
                <w:sz w:val="18"/>
                <w:szCs w:val="18"/>
                <w:lang w:val="en-US"/>
                <w14:ligatures w14:val="none"/>
              </w:rPr>
              <w:t>67</w:t>
            </w:r>
            <w:r w:rsidRPr="00226F79">
              <w:rPr>
                <w:rFonts w:ascii="Arial" w:eastAsia="SimSun" w:hAnsi="Arial" w:cs="Arial"/>
                <w:kern w:val="0"/>
                <w:sz w:val="18"/>
                <w:szCs w:val="18"/>
                <w:lang w:val="en-US"/>
                <w14:ligatures w14:val="none"/>
              </w:rPr>
              <w:t>%</w:t>
            </w:r>
          </w:p>
        </w:tc>
      </w:tr>
      <w:tr w:rsidR="00226F79" w:rsidRPr="00226F79" w14:paraId="162FC48A" w14:textId="77777777" w:rsidTr="00A0607C">
        <w:trPr>
          <w:trHeight w:val="850"/>
        </w:trPr>
        <w:tc>
          <w:tcPr>
            <w:tcW w:w="2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710A21"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MADRS remission rate</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0A9E515C"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773" w:type="dxa"/>
            <w:tcBorders>
              <w:top w:val="nil"/>
              <w:left w:val="nil"/>
              <w:bottom w:val="single" w:sz="5" w:space="0" w:color="000000"/>
              <w:right w:val="single" w:sz="5" w:space="0" w:color="000000"/>
            </w:tcBorders>
            <w:tcMar>
              <w:top w:w="0" w:type="dxa"/>
              <w:left w:w="100" w:type="dxa"/>
              <w:bottom w:w="0" w:type="dxa"/>
              <w:right w:w="100" w:type="dxa"/>
            </w:tcMar>
          </w:tcPr>
          <w:p w14:paraId="76A3E0D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25.00%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07F51DE1"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12.50%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6187F3C3"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25.00%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79F746E"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12.50%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7B426BB6"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w:t>
            </w:r>
            <w:r w:rsidRPr="00226F79">
              <w:rPr>
                <w:rFonts w:ascii="Arial" w:eastAsia="SimSun" w:hAnsi="Arial" w:cs="Arial" w:hint="eastAsia"/>
                <w:kern w:val="0"/>
                <w:sz w:val="18"/>
                <w:szCs w:val="18"/>
                <w:lang w:val="en-US"/>
                <w14:ligatures w14:val="none"/>
              </w:rPr>
              <w:t>28</w:t>
            </w:r>
            <w:r w:rsidRPr="00226F79">
              <w:rPr>
                <w:rFonts w:ascii="Arial" w:eastAsia="SimSun" w:hAnsi="Arial" w:cs="Arial"/>
                <w:kern w:val="0"/>
                <w:sz w:val="18"/>
                <w:szCs w:val="18"/>
                <w:lang w:val="en-US"/>
                <w14:ligatures w14:val="none"/>
              </w:rPr>
              <w:t>%</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E2B1775"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0%</w:t>
            </w:r>
          </w:p>
        </w:tc>
      </w:tr>
      <w:tr w:rsidR="00226F79" w:rsidRPr="00226F79" w14:paraId="11AF8DA8" w14:textId="77777777" w:rsidTr="00A0607C">
        <w:trPr>
          <w:trHeight w:val="850"/>
        </w:trPr>
        <w:tc>
          <w:tcPr>
            <w:tcW w:w="2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939E3A"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17-item HAM-D score change, mean (SD)</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5729E478"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-10.75 (4.79)</w:t>
            </w:r>
          </w:p>
        </w:tc>
        <w:tc>
          <w:tcPr>
            <w:tcW w:w="773" w:type="dxa"/>
            <w:tcBorders>
              <w:top w:val="nil"/>
              <w:left w:val="nil"/>
              <w:bottom w:val="single" w:sz="5" w:space="0" w:color="000000"/>
              <w:right w:val="single" w:sz="5" w:space="0" w:color="000000"/>
            </w:tcBorders>
            <w:tcMar>
              <w:top w:w="0" w:type="dxa"/>
              <w:left w:w="100" w:type="dxa"/>
              <w:bottom w:w="0" w:type="dxa"/>
              <w:right w:w="100" w:type="dxa"/>
            </w:tcMar>
          </w:tcPr>
          <w:p w14:paraId="7D2EC1C8"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-9.31 (3.55)</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05CD0EF8"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-10.88 (4.63)</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26C3F692"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-11.38 (5.32)</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46D6F48A"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-10.38 (6.07)</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F702022"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-9.02 (6.87)</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4B8D9590"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-7.55 (4.23)</w:t>
            </w:r>
          </w:p>
        </w:tc>
      </w:tr>
      <w:tr w:rsidR="00226F79" w:rsidRPr="00226F79" w14:paraId="73976948" w14:textId="77777777" w:rsidTr="00A0607C">
        <w:trPr>
          <w:trHeight w:val="850"/>
        </w:trPr>
        <w:tc>
          <w:tcPr>
            <w:tcW w:w="2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DA1F6E"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17-item HAM-D response rate</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48F477AE"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62.50%</w:t>
            </w:r>
          </w:p>
        </w:tc>
        <w:tc>
          <w:tcPr>
            <w:tcW w:w="773" w:type="dxa"/>
            <w:tcBorders>
              <w:top w:val="nil"/>
              <w:left w:val="nil"/>
              <w:bottom w:val="single" w:sz="5" w:space="0" w:color="000000"/>
              <w:right w:val="single" w:sz="5" w:space="0" w:color="000000"/>
            </w:tcBorders>
            <w:tcMar>
              <w:top w:w="0" w:type="dxa"/>
              <w:left w:w="100" w:type="dxa"/>
              <w:bottom w:w="0" w:type="dxa"/>
              <w:right w:w="100" w:type="dxa"/>
            </w:tcMar>
          </w:tcPr>
          <w:p w14:paraId="65A03B4E"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4F100B28"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62.50%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588E5FB"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5FEBAFF7"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75.00%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6FCA722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42.</w:t>
            </w:r>
            <w:r w:rsidRPr="00226F79">
              <w:rPr>
                <w:rFonts w:ascii="Arial" w:eastAsia="SimSun" w:hAnsi="Arial" w:cs="Arial" w:hint="eastAsia"/>
                <w:kern w:val="0"/>
                <w:sz w:val="18"/>
                <w:szCs w:val="18"/>
                <w:lang w:val="en-US"/>
                <w14:ligatures w14:val="none"/>
              </w:rPr>
              <w:t>86</w:t>
            </w:r>
            <w:r w:rsidRPr="00226F79">
              <w:rPr>
                <w:rFonts w:ascii="Arial" w:eastAsia="SimSun" w:hAnsi="Arial" w:cs="Arial"/>
                <w:kern w:val="0"/>
                <w:sz w:val="18"/>
                <w:szCs w:val="18"/>
                <w:lang w:val="en-US"/>
                <w14:ligatures w14:val="none"/>
              </w:rPr>
              <w:t>%</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4489BFFF"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33.3</w:t>
            </w:r>
            <w:r w:rsidRPr="00226F79">
              <w:rPr>
                <w:rFonts w:ascii="Arial" w:eastAsia="SimSun" w:hAnsi="Arial" w:cs="Arial" w:hint="eastAsia"/>
                <w:kern w:val="0"/>
                <w:sz w:val="18"/>
                <w:szCs w:val="18"/>
                <w:lang w:val="en-US"/>
                <w14:ligatures w14:val="none"/>
              </w:rPr>
              <w:t>3</w:t>
            </w:r>
            <w:r w:rsidRPr="00226F79">
              <w:rPr>
                <w:rFonts w:ascii="Arial" w:eastAsia="SimSun" w:hAnsi="Arial" w:cs="Arial"/>
                <w:kern w:val="0"/>
                <w:sz w:val="18"/>
                <w:szCs w:val="18"/>
                <w:lang w:val="en-US"/>
                <w14:ligatures w14:val="none"/>
              </w:rPr>
              <w:t>%</w:t>
            </w:r>
          </w:p>
        </w:tc>
      </w:tr>
      <w:tr w:rsidR="00226F79" w:rsidRPr="00226F79" w14:paraId="50BAE070" w14:textId="77777777" w:rsidTr="00A0607C">
        <w:trPr>
          <w:trHeight w:val="850"/>
        </w:trPr>
        <w:tc>
          <w:tcPr>
            <w:tcW w:w="2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AEF295"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17-item HAM-D remission rate</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5C9D08AE"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773" w:type="dxa"/>
            <w:tcBorders>
              <w:top w:val="nil"/>
              <w:left w:val="nil"/>
              <w:bottom w:val="single" w:sz="5" w:space="0" w:color="000000"/>
              <w:right w:val="single" w:sz="5" w:space="0" w:color="000000"/>
            </w:tcBorders>
            <w:tcMar>
              <w:top w:w="0" w:type="dxa"/>
              <w:left w:w="100" w:type="dxa"/>
              <w:bottom w:w="0" w:type="dxa"/>
              <w:right w:w="100" w:type="dxa"/>
            </w:tcMar>
          </w:tcPr>
          <w:p w14:paraId="0F62F127"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25.00%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61CA14E5"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20908A15"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640E08E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25.00%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0977F4B0"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28.</w:t>
            </w:r>
            <w:r w:rsidRPr="00226F79">
              <w:rPr>
                <w:rFonts w:ascii="Arial" w:eastAsia="SimSun" w:hAnsi="Arial" w:cs="Arial" w:hint="eastAsia"/>
                <w:kern w:val="0"/>
                <w:sz w:val="18"/>
                <w:szCs w:val="18"/>
                <w:lang w:val="en-US"/>
                <w14:ligatures w14:val="none"/>
              </w:rPr>
              <w:t>57</w:t>
            </w:r>
            <w:r w:rsidRPr="00226F79">
              <w:rPr>
                <w:rFonts w:ascii="Arial" w:eastAsia="SimSun" w:hAnsi="Arial" w:cs="Arial"/>
                <w:kern w:val="0"/>
                <w:sz w:val="18"/>
                <w:szCs w:val="18"/>
                <w:lang w:val="en-US"/>
                <w14:ligatures w14:val="none"/>
              </w:rPr>
              <w:t>%</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59F2BFF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16.</w:t>
            </w:r>
            <w:r w:rsidRPr="00226F79">
              <w:rPr>
                <w:rFonts w:ascii="Arial" w:eastAsia="SimSun" w:hAnsi="Arial" w:cs="Arial" w:hint="eastAsia"/>
                <w:kern w:val="0"/>
                <w:sz w:val="18"/>
                <w:szCs w:val="18"/>
                <w:lang w:val="en-US"/>
                <w14:ligatures w14:val="none"/>
              </w:rPr>
              <w:t>67</w:t>
            </w:r>
            <w:r w:rsidRPr="00226F79">
              <w:rPr>
                <w:rFonts w:ascii="Arial" w:eastAsia="SimSun" w:hAnsi="Arial" w:cs="Arial"/>
                <w:kern w:val="0"/>
                <w:sz w:val="18"/>
                <w:szCs w:val="18"/>
                <w:lang w:val="en-US"/>
                <w14:ligatures w14:val="none"/>
              </w:rPr>
              <w:t>%</w:t>
            </w:r>
          </w:p>
        </w:tc>
      </w:tr>
      <w:tr w:rsidR="00226F79" w:rsidRPr="00226F79" w14:paraId="4717C603" w14:textId="77777777" w:rsidTr="00A0607C">
        <w:trPr>
          <w:trHeight w:val="850"/>
        </w:trPr>
        <w:tc>
          <w:tcPr>
            <w:tcW w:w="2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40F8A3"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BDI-II score change, mean (SD)</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538F57C9"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-10.34 (10.90)</w:t>
            </w:r>
          </w:p>
        </w:tc>
        <w:tc>
          <w:tcPr>
            <w:tcW w:w="773" w:type="dxa"/>
            <w:tcBorders>
              <w:top w:val="nil"/>
              <w:left w:val="nil"/>
              <w:bottom w:val="single" w:sz="5" w:space="0" w:color="000000"/>
              <w:right w:val="single" w:sz="5" w:space="0" w:color="000000"/>
            </w:tcBorders>
            <w:tcMar>
              <w:top w:w="0" w:type="dxa"/>
              <w:left w:w="100" w:type="dxa"/>
              <w:bottom w:w="0" w:type="dxa"/>
              <w:right w:w="100" w:type="dxa"/>
            </w:tcMar>
          </w:tcPr>
          <w:p w14:paraId="3D279A4E"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-4.63 (7.77)</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3576579"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-6.34 (8.50)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ADCA335"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-10.92 (11.77)</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D6DF056"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-8.20 (10.37)</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DA9E30B"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-7.77 (12.17)</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977E1A2"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-4.96 (12.44)</w:t>
            </w:r>
          </w:p>
        </w:tc>
      </w:tr>
      <w:tr w:rsidR="00226F79" w:rsidRPr="00226F79" w14:paraId="7C860606" w14:textId="77777777" w:rsidTr="00A0607C">
        <w:trPr>
          <w:trHeight w:val="850"/>
        </w:trPr>
        <w:tc>
          <w:tcPr>
            <w:tcW w:w="2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1449D6"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BDI-II response rate</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03619467"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14.29%</w:t>
            </w:r>
          </w:p>
        </w:tc>
        <w:tc>
          <w:tcPr>
            <w:tcW w:w="773" w:type="dxa"/>
            <w:tcBorders>
              <w:top w:val="nil"/>
              <w:left w:val="nil"/>
              <w:bottom w:val="single" w:sz="5" w:space="0" w:color="000000"/>
              <w:right w:val="single" w:sz="5" w:space="0" w:color="000000"/>
            </w:tcBorders>
            <w:tcMar>
              <w:top w:w="0" w:type="dxa"/>
              <w:left w:w="100" w:type="dxa"/>
              <w:bottom w:w="0" w:type="dxa"/>
              <w:right w:w="100" w:type="dxa"/>
            </w:tcMar>
          </w:tcPr>
          <w:p w14:paraId="5186D80F"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0%</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3D1B8A78"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14.29%</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649C0152"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28.57%</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4FEB9DED"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14.29%</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1D165F99"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28.</w:t>
            </w:r>
            <w:r w:rsidRPr="00226F79">
              <w:rPr>
                <w:rFonts w:ascii="Arial" w:eastAsia="SimSun" w:hAnsi="Arial" w:cs="Arial" w:hint="eastAsia"/>
                <w:kern w:val="0"/>
                <w:sz w:val="18"/>
                <w:szCs w:val="18"/>
                <w:lang w:val="en-US"/>
                <w14:ligatures w14:val="none"/>
              </w:rPr>
              <w:t>57</w:t>
            </w:r>
            <w:r w:rsidRPr="00226F79">
              <w:rPr>
                <w:rFonts w:ascii="Arial" w:eastAsia="SimSun" w:hAnsi="Arial" w:cs="Arial"/>
                <w:kern w:val="0"/>
                <w:sz w:val="18"/>
                <w:szCs w:val="18"/>
                <w:lang w:val="en-US"/>
                <w14:ligatures w14:val="none"/>
              </w:rPr>
              <w:t>%</w:t>
            </w:r>
          </w:p>
        </w:tc>
        <w:tc>
          <w:tcPr>
            <w:tcW w:w="884" w:type="dxa"/>
            <w:tcBorders>
              <w:top w:val="nil"/>
              <w:left w:val="nil"/>
              <w:bottom w:val="single" w:sz="5" w:space="0" w:color="000000"/>
              <w:right w:val="single" w:sz="5" w:space="0" w:color="000000"/>
            </w:tcBorders>
            <w:tcMar>
              <w:top w:w="0" w:type="dxa"/>
              <w:left w:w="100" w:type="dxa"/>
              <w:bottom w:w="0" w:type="dxa"/>
              <w:right w:w="100" w:type="dxa"/>
            </w:tcMar>
          </w:tcPr>
          <w:p w14:paraId="7E5E2388"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33.3</w:t>
            </w:r>
            <w:r w:rsidRPr="00226F79">
              <w:rPr>
                <w:rFonts w:ascii="Arial" w:eastAsia="SimSun" w:hAnsi="Arial" w:cs="Arial" w:hint="eastAsia"/>
                <w:kern w:val="0"/>
                <w:sz w:val="18"/>
                <w:szCs w:val="18"/>
                <w:lang w:val="en-US"/>
                <w14:ligatures w14:val="none"/>
              </w:rPr>
              <w:t>3</w:t>
            </w:r>
            <w:r w:rsidRPr="00226F79">
              <w:rPr>
                <w:rFonts w:ascii="Arial" w:eastAsia="SimSun" w:hAnsi="Arial" w:cs="Arial"/>
                <w:kern w:val="0"/>
                <w:sz w:val="18"/>
                <w:szCs w:val="18"/>
                <w:lang w:val="en-US"/>
                <w14:ligatures w14:val="none"/>
              </w:rPr>
              <w:t>%</w:t>
            </w:r>
          </w:p>
        </w:tc>
      </w:tr>
      <w:tr w:rsidR="00226F79" w:rsidRPr="00226F79" w14:paraId="006D356A" w14:textId="77777777" w:rsidTr="00A0607C">
        <w:trPr>
          <w:trHeight w:val="850"/>
        </w:trPr>
        <w:tc>
          <w:tcPr>
            <w:tcW w:w="2948"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3CA20A7E"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BDI remission rate</w:t>
            </w:r>
          </w:p>
        </w:tc>
        <w:tc>
          <w:tcPr>
            <w:tcW w:w="884" w:type="dxa"/>
            <w:tcBorders>
              <w:top w:val="nil"/>
              <w:left w:val="nil"/>
              <w:bottom w:val="single" w:sz="4" w:space="0" w:color="auto"/>
              <w:right w:val="single" w:sz="5" w:space="0" w:color="000000"/>
            </w:tcBorders>
            <w:tcMar>
              <w:top w:w="0" w:type="dxa"/>
              <w:left w:w="100" w:type="dxa"/>
              <w:bottom w:w="0" w:type="dxa"/>
              <w:right w:w="100" w:type="dxa"/>
            </w:tcMar>
          </w:tcPr>
          <w:p w14:paraId="2F79566C"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14.29%</w:t>
            </w:r>
          </w:p>
        </w:tc>
        <w:tc>
          <w:tcPr>
            <w:tcW w:w="773" w:type="dxa"/>
            <w:tcBorders>
              <w:top w:val="nil"/>
              <w:left w:val="nil"/>
              <w:bottom w:val="single" w:sz="4" w:space="0" w:color="auto"/>
              <w:right w:val="single" w:sz="5" w:space="0" w:color="000000"/>
            </w:tcBorders>
            <w:tcMar>
              <w:top w:w="0" w:type="dxa"/>
              <w:left w:w="100" w:type="dxa"/>
              <w:bottom w:w="0" w:type="dxa"/>
              <w:right w:w="100" w:type="dxa"/>
            </w:tcMar>
          </w:tcPr>
          <w:p w14:paraId="5CF52E1F"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0%</w:t>
            </w:r>
          </w:p>
        </w:tc>
        <w:tc>
          <w:tcPr>
            <w:tcW w:w="884" w:type="dxa"/>
            <w:tcBorders>
              <w:top w:val="nil"/>
              <w:left w:val="nil"/>
              <w:bottom w:val="single" w:sz="4" w:space="0" w:color="auto"/>
              <w:right w:val="single" w:sz="5" w:space="0" w:color="000000"/>
            </w:tcBorders>
            <w:tcMar>
              <w:top w:w="0" w:type="dxa"/>
              <w:left w:w="100" w:type="dxa"/>
              <w:bottom w:w="0" w:type="dxa"/>
              <w:right w:w="100" w:type="dxa"/>
            </w:tcMar>
          </w:tcPr>
          <w:p w14:paraId="44F740A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0%</w:t>
            </w:r>
          </w:p>
        </w:tc>
        <w:tc>
          <w:tcPr>
            <w:tcW w:w="884" w:type="dxa"/>
            <w:tcBorders>
              <w:top w:val="nil"/>
              <w:left w:val="nil"/>
              <w:bottom w:val="single" w:sz="4" w:space="0" w:color="auto"/>
              <w:right w:val="single" w:sz="5" w:space="0" w:color="000000"/>
            </w:tcBorders>
            <w:tcMar>
              <w:top w:w="0" w:type="dxa"/>
              <w:left w:w="100" w:type="dxa"/>
              <w:bottom w:w="0" w:type="dxa"/>
              <w:right w:w="100" w:type="dxa"/>
            </w:tcMar>
          </w:tcPr>
          <w:p w14:paraId="5C77A433"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14.29%</w:t>
            </w:r>
          </w:p>
        </w:tc>
        <w:tc>
          <w:tcPr>
            <w:tcW w:w="884" w:type="dxa"/>
            <w:tcBorders>
              <w:top w:val="nil"/>
              <w:left w:val="nil"/>
              <w:bottom w:val="single" w:sz="4" w:space="0" w:color="auto"/>
              <w:right w:val="single" w:sz="5" w:space="0" w:color="000000"/>
            </w:tcBorders>
            <w:tcMar>
              <w:top w:w="0" w:type="dxa"/>
              <w:left w:w="100" w:type="dxa"/>
              <w:bottom w:w="0" w:type="dxa"/>
              <w:right w:w="100" w:type="dxa"/>
            </w:tcMar>
          </w:tcPr>
          <w:p w14:paraId="74E32372"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14.29%</w:t>
            </w:r>
          </w:p>
        </w:tc>
        <w:tc>
          <w:tcPr>
            <w:tcW w:w="884" w:type="dxa"/>
            <w:tcBorders>
              <w:top w:val="nil"/>
              <w:left w:val="nil"/>
              <w:bottom w:val="single" w:sz="4" w:space="0" w:color="auto"/>
              <w:right w:val="single" w:sz="5" w:space="0" w:color="000000"/>
            </w:tcBorders>
            <w:tcMar>
              <w:top w:w="0" w:type="dxa"/>
              <w:left w:w="100" w:type="dxa"/>
              <w:bottom w:w="0" w:type="dxa"/>
              <w:right w:w="100" w:type="dxa"/>
            </w:tcMar>
          </w:tcPr>
          <w:p w14:paraId="48D3D455" w14:textId="77777777" w:rsidR="00226F79" w:rsidRPr="00226F79" w:rsidRDefault="00226F79" w:rsidP="00226F79">
            <w:pPr>
              <w:spacing w:before="240" w:after="240" w:line="276" w:lineRule="auto"/>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14.</w:t>
            </w:r>
            <w:r w:rsidRPr="00226F79">
              <w:rPr>
                <w:rFonts w:ascii="Arial" w:eastAsia="SimSun" w:hAnsi="Arial" w:cs="Arial" w:hint="eastAsia"/>
                <w:kern w:val="0"/>
                <w:sz w:val="18"/>
                <w:szCs w:val="18"/>
                <w:lang w:val="en-US"/>
                <w14:ligatures w14:val="none"/>
              </w:rPr>
              <w:t>28</w:t>
            </w:r>
            <w:r w:rsidRPr="00226F79">
              <w:rPr>
                <w:rFonts w:ascii="Arial" w:eastAsia="SimSun" w:hAnsi="Arial" w:cs="Arial"/>
                <w:kern w:val="0"/>
                <w:sz w:val="18"/>
                <w:szCs w:val="18"/>
                <w:lang w:val="en-US"/>
                <w14:ligatures w14:val="none"/>
              </w:rPr>
              <w:t>%</w:t>
            </w:r>
          </w:p>
        </w:tc>
        <w:tc>
          <w:tcPr>
            <w:tcW w:w="884" w:type="dxa"/>
            <w:tcBorders>
              <w:top w:val="nil"/>
              <w:left w:val="nil"/>
              <w:bottom w:val="single" w:sz="4" w:space="0" w:color="auto"/>
              <w:right w:val="single" w:sz="5" w:space="0" w:color="000000"/>
            </w:tcBorders>
            <w:tcMar>
              <w:top w:w="0" w:type="dxa"/>
              <w:left w:w="100" w:type="dxa"/>
              <w:bottom w:w="0" w:type="dxa"/>
              <w:right w:w="100" w:type="dxa"/>
            </w:tcMar>
          </w:tcPr>
          <w:p w14:paraId="0185ADE7"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16.</w:t>
            </w:r>
            <w:r w:rsidRPr="00226F79">
              <w:rPr>
                <w:rFonts w:ascii="Arial" w:eastAsia="SimSun" w:hAnsi="Arial" w:cs="Arial" w:hint="eastAsia"/>
                <w:kern w:val="0"/>
                <w:sz w:val="18"/>
                <w:szCs w:val="18"/>
                <w:lang w:val="en-US"/>
                <w14:ligatures w14:val="none"/>
              </w:rPr>
              <w:t>67</w:t>
            </w:r>
            <w:r w:rsidRPr="00226F79">
              <w:rPr>
                <w:rFonts w:ascii="Arial" w:eastAsia="SimSun" w:hAnsi="Arial" w:cs="Arial"/>
                <w:kern w:val="0"/>
                <w:sz w:val="18"/>
                <w:szCs w:val="18"/>
                <w:lang w:val="en-US"/>
                <w14:ligatures w14:val="none"/>
              </w:rPr>
              <w:t>%</w:t>
            </w:r>
          </w:p>
        </w:tc>
      </w:tr>
      <w:tr w:rsidR="00226F79" w:rsidRPr="00226F79" w14:paraId="5E2FB012" w14:textId="77777777" w:rsidTr="00A0607C">
        <w:trPr>
          <w:trHeight w:val="850"/>
        </w:trPr>
        <w:tc>
          <w:tcPr>
            <w:tcW w:w="2948"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78A6C35A"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6-item HAM-D score change, mean (SD)</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0A1409A"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-6.50</w:t>
            </w:r>
          </w:p>
          <w:p w14:paraId="35382AA3"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(2.85)</w:t>
            </w:r>
          </w:p>
        </w:tc>
        <w:tc>
          <w:tcPr>
            <w:tcW w:w="773"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6C88F1F"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-5.52</w:t>
            </w:r>
          </w:p>
          <w:p w14:paraId="17278549"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(2.48)</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310002"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-6.63</w:t>
            </w:r>
          </w:p>
          <w:p w14:paraId="0CDA394D"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(2.31)</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AD4FA05"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-6.75</w:t>
            </w:r>
          </w:p>
          <w:p w14:paraId="47884A63"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(2.97)</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29A971F"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-7.13</w:t>
            </w:r>
          </w:p>
          <w:p w14:paraId="0FA4745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(2.66)</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30F7BDB"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-5.81</w:t>
            </w:r>
          </w:p>
          <w:p w14:paraId="740F430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(3.60)</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88AF51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-5.55</w:t>
            </w:r>
          </w:p>
          <w:p w14:paraId="55E8C739"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(1.72)</w:t>
            </w:r>
          </w:p>
        </w:tc>
      </w:tr>
      <w:tr w:rsidR="00226F79" w:rsidRPr="00226F79" w14:paraId="56A8C35D" w14:textId="77777777" w:rsidTr="00A0607C">
        <w:trPr>
          <w:trHeight w:val="850"/>
        </w:trPr>
        <w:tc>
          <w:tcPr>
            <w:tcW w:w="2948"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66827EA0" w14:textId="77777777"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6-item HAM-D response rate</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740A308"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50.00%</w:t>
            </w:r>
          </w:p>
        </w:tc>
        <w:tc>
          <w:tcPr>
            <w:tcW w:w="773"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5BB3AC1"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57.14%</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AC9D794"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62.50%</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C601DF5"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50.00%</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E6A2E00"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75.00%</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A73825B" w14:textId="77777777" w:rsidR="00226F79" w:rsidRPr="00226F79" w:rsidRDefault="00226F79" w:rsidP="00226F79">
            <w:pPr>
              <w:spacing w:before="240" w:after="240" w:line="276" w:lineRule="auto"/>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42.86%</w:t>
            </w:r>
          </w:p>
        </w:tc>
        <w:tc>
          <w:tcPr>
            <w:tcW w:w="88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C5C940F"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50.00%</w:t>
            </w:r>
          </w:p>
        </w:tc>
      </w:tr>
      <w:tr w:rsidR="00226F79" w:rsidRPr="00226F79" w14:paraId="2CDB3F14" w14:textId="77777777" w:rsidTr="00A0607C">
        <w:trPr>
          <w:trHeight w:val="850"/>
        </w:trPr>
        <w:tc>
          <w:tcPr>
            <w:tcW w:w="2948"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235B9E4E" w14:textId="74D91D7F" w:rsidR="00226F79" w:rsidRPr="00226F79" w:rsidRDefault="00226F79" w:rsidP="00226F79">
            <w:pPr>
              <w:spacing w:before="240" w:after="240" w:line="276" w:lineRule="auto"/>
              <w:jc w:val="center"/>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6-item HAM-D remission rate</w:t>
            </w:r>
          </w:p>
        </w:tc>
        <w:tc>
          <w:tcPr>
            <w:tcW w:w="8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0CD4CFCF"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37.50%</w:t>
            </w:r>
          </w:p>
        </w:tc>
        <w:tc>
          <w:tcPr>
            <w:tcW w:w="773"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B34F7E3"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kern w:val="0"/>
                <w:sz w:val="18"/>
                <w:szCs w:val="18"/>
                <w:lang w:val="en-US"/>
                <w14:ligatures w14:val="none"/>
              </w:rPr>
              <w:t>28.57%</w:t>
            </w:r>
          </w:p>
        </w:tc>
        <w:tc>
          <w:tcPr>
            <w:tcW w:w="8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1A16A871"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37.50%</w:t>
            </w:r>
          </w:p>
        </w:tc>
        <w:tc>
          <w:tcPr>
            <w:tcW w:w="8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248BCE2"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25.00%</w:t>
            </w:r>
          </w:p>
        </w:tc>
        <w:tc>
          <w:tcPr>
            <w:tcW w:w="8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6B830F07"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37.50%</w:t>
            </w:r>
          </w:p>
        </w:tc>
        <w:tc>
          <w:tcPr>
            <w:tcW w:w="8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1DE47329" w14:textId="77777777" w:rsidR="00226F79" w:rsidRPr="00226F79" w:rsidRDefault="00226F79" w:rsidP="00226F79">
            <w:pPr>
              <w:spacing w:before="240" w:after="240" w:line="276" w:lineRule="auto"/>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42.86%</w:t>
            </w:r>
          </w:p>
        </w:tc>
        <w:tc>
          <w:tcPr>
            <w:tcW w:w="8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6022A9DC" w14:textId="77777777" w:rsidR="00226F79" w:rsidRPr="00226F79" w:rsidRDefault="00226F79" w:rsidP="00226F79">
            <w:pPr>
              <w:spacing w:before="240" w:after="240" w:line="276" w:lineRule="auto"/>
              <w:jc w:val="center"/>
              <w:rPr>
                <w:rFonts w:ascii="Arial" w:eastAsia="SimSun" w:hAnsi="Arial" w:cs="Arial"/>
                <w:kern w:val="0"/>
                <w:sz w:val="18"/>
                <w:szCs w:val="18"/>
                <w:lang w:val="en-US"/>
                <w14:ligatures w14:val="none"/>
              </w:rPr>
            </w:pPr>
            <w:r w:rsidRPr="00226F79">
              <w:rPr>
                <w:rFonts w:ascii="Arial" w:eastAsia="SimSun" w:hAnsi="Arial" w:cs="Arial" w:hint="eastAsia"/>
                <w:kern w:val="0"/>
                <w:sz w:val="18"/>
                <w:szCs w:val="18"/>
                <w:lang w:val="en-US"/>
                <w14:ligatures w14:val="none"/>
              </w:rPr>
              <w:t>0%</w:t>
            </w:r>
          </w:p>
        </w:tc>
      </w:tr>
    </w:tbl>
    <w:p w14:paraId="720FBA27" w14:textId="31499FF6"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kern w:val="0"/>
          <w:sz w:val="22"/>
          <w:szCs w:val="22"/>
          <w:lang w:val="en-US"/>
          <w14:ligatures w14:val="none"/>
        </w:rPr>
        <w:t xml:space="preserve">8. </w:t>
      </w:r>
      <w:r w:rsidRPr="00226F79">
        <w:rPr>
          <w:rFonts w:ascii="Arial" w:eastAsia="SimSun" w:hAnsi="Arial" w:cs="Arial"/>
          <w:b/>
          <w:kern w:val="0"/>
          <w:sz w:val="22"/>
          <w:szCs w:val="22"/>
          <w:lang w:val="en-US"/>
          <w14:ligatures w14:val="none"/>
        </w:rPr>
        <w:t>Fig. S1: 6-month clinical outcome</w:t>
      </w:r>
    </w:p>
    <w:p w14:paraId="60656CD7" w14:textId="2BD50909" w:rsidR="00226F79" w:rsidRPr="00226F79" w:rsidRDefault="00226F79" w:rsidP="00226F79">
      <w:pPr>
        <w:spacing w:before="240" w:after="240" w:line="276" w:lineRule="auto"/>
        <w:jc w:val="both"/>
        <w:rPr>
          <w:rFonts w:ascii="Arial" w:eastAsia="SimSun" w:hAnsi="Arial" w:cs="Arial"/>
          <w:kern w:val="0"/>
          <w:sz w:val="22"/>
          <w:szCs w:val="22"/>
          <w:lang w:val="en-US"/>
          <w14:ligatures w14:val="none"/>
        </w:rPr>
      </w:pPr>
    </w:p>
    <w:p w14:paraId="2E0D6BEB" w14:textId="4AE7BF69" w:rsidR="00226F79" w:rsidRPr="00226F79" w:rsidRDefault="00226F79" w:rsidP="00226F79">
      <w:pPr>
        <w:spacing w:before="240" w:after="240" w:line="276" w:lineRule="auto"/>
        <w:jc w:val="both"/>
        <w:rPr>
          <w:rFonts w:ascii="Arial" w:eastAsia="SimSun" w:hAnsi="Arial" w:cs="Arial"/>
          <w:kern w:val="0"/>
          <w:sz w:val="22"/>
          <w:szCs w:val="22"/>
          <w:lang w:val="en-US"/>
          <w14:ligatures w14:val="none"/>
        </w:rPr>
      </w:pPr>
    </w:p>
    <w:p w14:paraId="53F1DADB" w14:textId="484D8D5E" w:rsidR="00226F79" w:rsidRPr="00226F79" w:rsidRDefault="002640C8" w:rsidP="00226F79">
      <w:pPr>
        <w:spacing w:before="240" w:after="240" w:line="276" w:lineRule="auto"/>
        <w:jc w:val="both"/>
        <w:rPr>
          <w:rFonts w:ascii="Arial" w:eastAsia="SimSun" w:hAnsi="Arial" w:cs="Arial"/>
          <w:kern w:val="0"/>
          <w:sz w:val="22"/>
          <w:szCs w:val="22"/>
          <w:lang w:val="en-US"/>
          <w14:ligatures w14:val="none"/>
        </w:rPr>
      </w:pPr>
      <w:r>
        <w:rPr>
          <w:rFonts w:ascii="Arial" w:eastAsia="SimSun" w:hAnsi="Arial" w:cs="Arial"/>
          <w:noProof/>
          <w:kern w:val="0"/>
          <w:sz w:val="22"/>
          <w:szCs w:val="22"/>
          <w:lang w:val="en-US"/>
          <w14:ligatures w14:val="none"/>
        </w:rPr>
        <w:drawing>
          <wp:anchor distT="0" distB="0" distL="114300" distR="114300" simplePos="0" relativeHeight="251661312" behindDoc="0" locked="0" layoutInCell="1" allowOverlap="1" wp14:anchorId="598872AA" wp14:editId="53C675F0">
            <wp:simplePos x="0" y="0"/>
            <wp:positionH relativeFrom="margin">
              <wp:posOffset>-879682</wp:posOffset>
            </wp:positionH>
            <wp:positionV relativeFrom="paragraph">
              <wp:posOffset>522</wp:posOffset>
            </wp:positionV>
            <wp:extent cx="7472460" cy="3946638"/>
            <wp:effectExtent l="0" t="0" r="0" b="0"/>
            <wp:wrapTopAndBottom/>
            <wp:docPr id="3849554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76379" cy="3948708"/>
                    </a:xfrm>
                    <a:prstGeom prst="rect">
                      <a:avLst/>
                    </a:prstGeom>
                    <a:noFill/>
                  </pic:spPr>
                </pic:pic>
              </a:graphicData>
            </a:graphic>
            <wp14:sizeRelH relativeFrom="margin">
              <wp14:pctWidth>0</wp14:pctWidth>
            </wp14:sizeRelH>
            <wp14:sizeRelV relativeFrom="margin">
              <wp14:pctHeight>0</wp14:pctHeight>
            </wp14:sizeRelV>
          </wp:anchor>
        </w:drawing>
      </w:r>
      <w:r w:rsidR="00226F79" w:rsidRPr="00226F79">
        <w:rPr>
          <w:rFonts w:ascii="Arial" w:eastAsia="SimSun" w:hAnsi="Arial" w:cs="Arial"/>
          <w:kern w:val="0"/>
          <w:sz w:val="22"/>
          <w:szCs w:val="22"/>
          <w:lang w:val="en-US"/>
          <w14:ligatures w14:val="none"/>
        </w:rPr>
        <w:t xml:space="preserve">Week 0 = Baseline, Week 1 = post-treatment, Week 2 = FU 1, Week 3 = FU 2, Week 4 = FU 3, Week 5 = FU 4, Week 9 = post-tDCS, Week 26 = 6-month FU. Panel A depicts the MADRS score change, with remission defined as a score &lt; 11. Panel B depicts the 17-item HAM-D change, with remission defined as a score &lt; 8. Panel C depicts the BDI-II change, with remission defined as a score &lt; 13. Panel D depicts the daily 6-item HAM-D change, with remission defined as a score &lt; 5. Remission thresholds are indicated by green dashed lines. Individual trajectories are represented by grey lines. The gaps in the line plots correspond to missing values, either due to missing treatment sessions or missed follow-up visits. </w:t>
      </w:r>
    </w:p>
    <w:p w14:paraId="0065DE27" w14:textId="77777777"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9. Fig. S2: MADRS item-wise change</w:t>
      </w:r>
    </w:p>
    <w:p w14:paraId="5F08226F" w14:textId="77777777"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lastRenderedPageBreak/>
        <w:t>10. Fig. S3: 6-item HAM-D item-wise change</w:t>
      </w:r>
      <w:r w:rsidRPr="00226F79">
        <w:rPr>
          <w:rFonts w:ascii="Arial" w:eastAsia="SimSun" w:hAnsi="Arial" w:cs="Arial"/>
          <w:noProof/>
          <w:kern w:val="0"/>
          <w:sz w:val="22"/>
          <w:szCs w:val="22"/>
          <w:lang w:val="en-US"/>
          <w14:ligatures w14:val="none"/>
        </w:rPr>
        <w:drawing>
          <wp:anchor distT="114300" distB="114300" distL="114300" distR="114300" simplePos="0" relativeHeight="251660288" behindDoc="0" locked="0" layoutInCell="1" hidden="0" allowOverlap="1" wp14:anchorId="5CB973A6" wp14:editId="51968A22">
            <wp:simplePos x="0" y="0"/>
            <wp:positionH relativeFrom="column">
              <wp:posOffset>-537191</wp:posOffset>
            </wp:positionH>
            <wp:positionV relativeFrom="paragraph">
              <wp:posOffset>114300</wp:posOffset>
            </wp:positionV>
            <wp:extent cx="6719888" cy="5337234"/>
            <wp:effectExtent l="0" t="0" r="0" b="0"/>
            <wp:wrapTopAndBottom distT="114300" distB="11430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6719888" cy="5337234"/>
                    </a:xfrm>
                    <a:prstGeom prst="rect">
                      <a:avLst/>
                    </a:prstGeom>
                    <a:ln/>
                  </pic:spPr>
                </pic:pic>
              </a:graphicData>
            </a:graphic>
          </wp:anchor>
        </w:drawing>
      </w:r>
    </w:p>
    <w:p w14:paraId="561DD2DE" w14:textId="77777777"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b/>
          <w:noProof/>
          <w:kern w:val="0"/>
          <w:sz w:val="22"/>
          <w:szCs w:val="22"/>
          <w:lang w:val="en-US"/>
          <w14:ligatures w14:val="none"/>
        </w:rPr>
        <w:lastRenderedPageBreak/>
        <w:drawing>
          <wp:inline distT="114300" distB="114300" distL="114300" distR="114300" wp14:anchorId="173E2A99" wp14:editId="46F4E6CE">
            <wp:extent cx="5731200" cy="53721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731200" cy="5372100"/>
                    </a:xfrm>
                    <a:prstGeom prst="rect">
                      <a:avLst/>
                    </a:prstGeom>
                    <a:ln/>
                  </pic:spPr>
                </pic:pic>
              </a:graphicData>
            </a:graphic>
          </wp:inline>
        </w:drawing>
      </w:r>
    </w:p>
    <w:p w14:paraId="512F6F01" w14:textId="77777777" w:rsidR="00226F79" w:rsidRPr="00226F79" w:rsidRDefault="00226F79" w:rsidP="00226F79">
      <w:pPr>
        <w:spacing w:before="240" w:after="240" w:line="276" w:lineRule="auto"/>
        <w:jc w:val="both"/>
        <w:rPr>
          <w:rFonts w:ascii="Arial" w:eastAsia="SimSun" w:hAnsi="Arial" w:cs="Arial"/>
          <w:b/>
          <w:kern w:val="0"/>
          <w:sz w:val="22"/>
          <w:szCs w:val="22"/>
          <w:lang w:val="en-US"/>
          <w14:ligatures w14:val="none"/>
        </w:rPr>
      </w:pPr>
      <w:r w:rsidRPr="00226F79">
        <w:rPr>
          <w:rFonts w:ascii="Arial" w:eastAsia="SimSun" w:hAnsi="Arial" w:cs="Arial"/>
          <w:b/>
          <w:kern w:val="0"/>
          <w:sz w:val="22"/>
          <w:szCs w:val="22"/>
          <w:lang w:val="en-US"/>
          <w14:ligatures w14:val="none"/>
        </w:rPr>
        <w:t>11. Table S5: tDCS maintenance therapy regime</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226F79" w:rsidRPr="00226F79" w14:paraId="33B51976" w14:textId="77777777" w:rsidTr="00A0607C">
        <w:tc>
          <w:tcPr>
            <w:tcW w:w="2257" w:type="dxa"/>
            <w:tcMar>
              <w:top w:w="100" w:type="dxa"/>
              <w:left w:w="100" w:type="dxa"/>
              <w:bottom w:w="100" w:type="dxa"/>
              <w:right w:w="100" w:type="dxa"/>
            </w:tcMar>
          </w:tcPr>
          <w:p w14:paraId="23C269D5"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Patient</w:t>
            </w:r>
          </w:p>
        </w:tc>
        <w:tc>
          <w:tcPr>
            <w:tcW w:w="2257" w:type="dxa"/>
            <w:tcMar>
              <w:top w:w="100" w:type="dxa"/>
              <w:left w:w="100" w:type="dxa"/>
              <w:bottom w:w="100" w:type="dxa"/>
              <w:right w:w="100" w:type="dxa"/>
            </w:tcMar>
          </w:tcPr>
          <w:p w14:paraId="7462DC81"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Start</w:t>
            </w:r>
          </w:p>
        </w:tc>
        <w:tc>
          <w:tcPr>
            <w:tcW w:w="2257" w:type="dxa"/>
            <w:tcMar>
              <w:top w:w="100" w:type="dxa"/>
              <w:left w:w="100" w:type="dxa"/>
              <w:bottom w:w="100" w:type="dxa"/>
              <w:right w:w="100" w:type="dxa"/>
            </w:tcMar>
          </w:tcPr>
          <w:p w14:paraId="0FB22FAF"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End</w:t>
            </w:r>
          </w:p>
        </w:tc>
        <w:tc>
          <w:tcPr>
            <w:tcW w:w="2257" w:type="dxa"/>
            <w:tcMar>
              <w:top w:w="100" w:type="dxa"/>
              <w:left w:w="100" w:type="dxa"/>
              <w:bottom w:w="100" w:type="dxa"/>
              <w:right w:w="100" w:type="dxa"/>
            </w:tcMar>
          </w:tcPr>
          <w:p w14:paraId="41DC18ED"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tDCS session</w:t>
            </w:r>
          </w:p>
        </w:tc>
      </w:tr>
      <w:tr w:rsidR="00226F79" w:rsidRPr="00226F79" w14:paraId="5C06ACAA" w14:textId="77777777" w:rsidTr="00A0607C">
        <w:tc>
          <w:tcPr>
            <w:tcW w:w="2257" w:type="dxa"/>
            <w:tcMar>
              <w:top w:w="100" w:type="dxa"/>
              <w:left w:w="100" w:type="dxa"/>
              <w:bottom w:w="100" w:type="dxa"/>
              <w:right w:w="100" w:type="dxa"/>
            </w:tcMar>
          </w:tcPr>
          <w:p w14:paraId="459E83C8"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w:t>
            </w:r>
          </w:p>
        </w:tc>
        <w:tc>
          <w:tcPr>
            <w:tcW w:w="2257" w:type="dxa"/>
            <w:tcMar>
              <w:top w:w="100" w:type="dxa"/>
              <w:left w:w="100" w:type="dxa"/>
              <w:bottom w:w="100" w:type="dxa"/>
              <w:right w:w="100" w:type="dxa"/>
            </w:tcMar>
          </w:tcPr>
          <w:p w14:paraId="6D32672C"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14.11.2023</w:t>
            </w:r>
          </w:p>
        </w:tc>
        <w:tc>
          <w:tcPr>
            <w:tcW w:w="2257" w:type="dxa"/>
            <w:tcMar>
              <w:top w:w="100" w:type="dxa"/>
              <w:left w:w="100" w:type="dxa"/>
              <w:bottom w:w="100" w:type="dxa"/>
              <w:right w:w="100" w:type="dxa"/>
            </w:tcMar>
          </w:tcPr>
          <w:p w14:paraId="41ACE2D1"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14.12.2023</w:t>
            </w:r>
          </w:p>
        </w:tc>
        <w:tc>
          <w:tcPr>
            <w:tcW w:w="2257" w:type="dxa"/>
            <w:tcMar>
              <w:top w:w="100" w:type="dxa"/>
              <w:left w:w="100" w:type="dxa"/>
              <w:bottom w:w="100" w:type="dxa"/>
              <w:right w:w="100" w:type="dxa"/>
            </w:tcMar>
          </w:tcPr>
          <w:p w14:paraId="2086520E"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13</w:t>
            </w:r>
          </w:p>
        </w:tc>
      </w:tr>
      <w:tr w:rsidR="00226F79" w:rsidRPr="00226F79" w14:paraId="39BE31DE" w14:textId="77777777" w:rsidTr="00A0607C">
        <w:tc>
          <w:tcPr>
            <w:tcW w:w="2257" w:type="dxa"/>
            <w:tcMar>
              <w:top w:w="100" w:type="dxa"/>
              <w:left w:w="100" w:type="dxa"/>
              <w:bottom w:w="100" w:type="dxa"/>
              <w:right w:w="100" w:type="dxa"/>
            </w:tcMar>
          </w:tcPr>
          <w:p w14:paraId="071ADDD6"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2</w:t>
            </w:r>
          </w:p>
        </w:tc>
        <w:tc>
          <w:tcPr>
            <w:tcW w:w="2257" w:type="dxa"/>
            <w:tcMar>
              <w:top w:w="100" w:type="dxa"/>
              <w:left w:w="100" w:type="dxa"/>
              <w:bottom w:w="100" w:type="dxa"/>
              <w:right w:w="100" w:type="dxa"/>
            </w:tcMar>
          </w:tcPr>
          <w:p w14:paraId="2CBD19AF"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16.11.2023</w:t>
            </w:r>
          </w:p>
        </w:tc>
        <w:tc>
          <w:tcPr>
            <w:tcW w:w="2257" w:type="dxa"/>
            <w:tcMar>
              <w:top w:w="100" w:type="dxa"/>
              <w:left w:w="100" w:type="dxa"/>
              <w:bottom w:w="100" w:type="dxa"/>
              <w:right w:w="100" w:type="dxa"/>
            </w:tcMar>
          </w:tcPr>
          <w:p w14:paraId="6D8F183A"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16.12.2023</w:t>
            </w:r>
          </w:p>
        </w:tc>
        <w:tc>
          <w:tcPr>
            <w:tcW w:w="2257" w:type="dxa"/>
            <w:tcMar>
              <w:top w:w="100" w:type="dxa"/>
              <w:left w:w="100" w:type="dxa"/>
              <w:bottom w:w="100" w:type="dxa"/>
              <w:right w:w="100" w:type="dxa"/>
            </w:tcMar>
          </w:tcPr>
          <w:p w14:paraId="25A1581E"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14</w:t>
            </w:r>
          </w:p>
        </w:tc>
      </w:tr>
      <w:tr w:rsidR="00226F79" w:rsidRPr="00226F79" w14:paraId="6EB9D285" w14:textId="77777777" w:rsidTr="00A0607C">
        <w:tc>
          <w:tcPr>
            <w:tcW w:w="2257" w:type="dxa"/>
            <w:tcMar>
              <w:top w:w="100" w:type="dxa"/>
              <w:left w:w="100" w:type="dxa"/>
              <w:bottom w:w="100" w:type="dxa"/>
              <w:right w:w="100" w:type="dxa"/>
            </w:tcMar>
          </w:tcPr>
          <w:p w14:paraId="508BE99D"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3</w:t>
            </w:r>
          </w:p>
        </w:tc>
        <w:tc>
          <w:tcPr>
            <w:tcW w:w="2257" w:type="dxa"/>
            <w:tcMar>
              <w:top w:w="100" w:type="dxa"/>
              <w:left w:w="100" w:type="dxa"/>
              <w:bottom w:w="100" w:type="dxa"/>
              <w:right w:w="100" w:type="dxa"/>
            </w:tcMar>
          </w:tcPr>
          <w:p w14:paraId="228E0F51"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16.11.2023</w:t>
            </w:r>
          </w:p>
        </w:tc>
        <w:tc>
          <w:tcPr>
            <w:tcW w:w="2257" w:type="dxa"/>
            <w:tcMar>
              <w:top w:w="100" w:type="dxa"/>
              <w:left w:w="100" w:type="dxa"/>
              <w:bottom w:w="100" w:type="dxa"/>
              <w:right w:w="100" w:type="dxa"/>
            </w:tcMar>
          </w:tcPr>
          <w:p w14:paraId="3EEE63C1"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09.01.2024</w:t>
            </w:r>
          </w:p>
        </w:tc>
        <w:tc>
          <w:tcPr>
            <w:tcW w:w="2257" w:type="dxa"/>
            <w:tcMar>
              <w:top w:w="100" w:type="dxa"/>
              <w:left w:w="100" w:type="dxa"/>
              <w:bottom w:w="100" w:type="dxa"/>
              <w:right w:w="100" w:type="dxa"/>
            </w:tcMar>
          </w:tcPr>
          <w:p w14:paraId="5A75A7F9"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33</w:t>
            </w:r>
          </w:p>
        </w:tc>
      </w:tr>
      <w:tr w:rsidR="00226F79" w:rsidRPr="00226F79" w14:paraId="2A36E108" w14:textId="77777777" w:rsidTr="00A0607C">
        <w:tc>
          <w:tcPr>
            <w:tcW w:w="2257" w:type="dxa"/>
            <w:tcMar>
              <w:top w:w="100" w:type="dxa"/>
              <w:left w:w="100" w:type="dxa"/>
              <w:bottom w:w="100" w:type="dxa"/>
              <w:right w:w="100" w:type="dxa"/>
            </w:tcMar>
          </w:tcPr>
          <w:p w14:paraId="69CE3B10"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4</w:t>
            </w:r>
          </w:p>
        </w:tc>
        <w:tc>
          <w:tcPr>
            <w:tcW w:w="2257" w:type="dxa"/>
            <w:tcMar>
              <w:top w:w="100" w:type="dxa"/>
              <w:left w:w="100" w:type="dxa"/>
              <w:bottom w:w="100" w:type="dxa"/>
              <w:right w:w="100" w:type="dxa"/>
            </w:tcMar>
          </w:tcPr>
          <w:p w14:paraId="27BCD3AB"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16.11.2023</w:t>
            </w:r>
          </w:p>
        </w:tc>
        <w:tc>
          <w:tcPr>
            <w:tcW w:w="2257" w:type="dxa"/>
            <w:tcMar>
              <w:top w:w="100" w:type="dxa"/>
              <w:left w:w="100" w:type="dxa"/>
              <w:bottom w:w="100" w:type="dxa"/>
              <w:right w:w="100" w:type="dxa"/>
            </w:tcMar>
          </w:tcPr>
          <w:p w14:paraId="12110E75"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14.12.2023</w:t>
            </w:r>
          </w:p>
        </w:tc>
        <w:tc>
          <w:tcPr>
            <w:tcW w:w="2257" w:type="dxa"/>
            <w:tcMar>
              <w:top w:w="100" w:type="dxa"/>
              <w:left w:w="100" w:type="dxa"/>
              <w:bottom w:w="100" w:type="dxa"/>
              <w:right w:w="100" w:type="dxa"/>
            </w:tcMar>
          </w:tcPr>
          <w:p w14:paraId="33644EFC"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3</w:t>
            </w:r>
          </w:p>
        </w:tc>
      </w:tr>
      <w:tr w:rsidR="00226F79" w:rsidRPr="00226F79" w14:paraId="1363F395" w14:textId="77777777" w:rsidTr="00A0607C">
        <w:tc>
          <w:tcPr>
            <w:tcW w:w="2257" w:type="dxa"/>
            <w:tcMar>
              <w:top w:w="100" w:type="dxa"/>
              <w:left w:w="100" w:type="dxa"/>
              <w:bottom w:w="100" w:type="dxa"/>
              <w:right w:w="100" w:type="dxa"/>
            </w:tcMar>
          </w:tcPr>
          <w:p w14:paraId="1663AE53"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5</w:t>
            </w:r>
          </w:p>
        </w:tc>
        <w:tc>
          <w:tcPr>
            <w:tcW w:w="2257" w:type="dxa"/>
            <w:tcMar>
              <w:top w:w="100" w:type="dxa"/>
              <w:left w:w="100" w:type="dxa"/>
              <w:bottom w:w="100" w:type="dxa"/>
              <w:right w:w="100" w:type="dxa"/>
            </w:tcMar>
          </w:tcPr>
          <w:p w14:paraId="09236565"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28.12.2023</w:t>
            </w:r>
          </w:p>
        </w:tc>
        <w:tc>
          <w:tcPr>
            <w:tcW w:w="2257" w:type="dxa"/>
            <w:tcMar>
              <w:top w:w="100" w:type="dxa"/>
              <w:left w:w="100" w:type="dxa"/>
              <w:bottom w:w="100" w:type="dxa"/>
              <w:right w:w="100" w:type="dxa"/>
            </w:tcMar>
          </w:tcPr>
          <w:p w14:paraId="2DF592DB"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06.02.2024</w:t>
            </w:r>
          </w:p>
        </w:tc>
        <w:tc>
          <w:tcPr>
            <w:tcW w:w="2257" w:type="dxa"/>
            <w:tcMar>
              <w:top w:w="100" w:type="dxa"/>
              <w:left w:w="100" w:type="dxa"/>
              <w:bottom w:w="100" w:type="dxa"/>
              <w:right w:w="100" w:type="dxa"/>
            </w:tcMar>
          </w:tcPr>
          <w:p w14:paraId="410FBA1E"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9</w:t>
            </w:r>
          </w:p>
        </w:tc>
      </w:tr>
      <w:tr w:rsidR="00226F79" w:rsidRPr="00226F79" w14:paraId="082132B4" w14:textId="77777777" w:rsidTr="00A0607C">
        <w:tc>
          <w:tcPr>
            <w:tcW w:w="2257" w:type="dxa"/>
            <w:tcMar>
              <w:top w:w="100" w:type="dxa"/>
              <w:left w:w="100" w:type="dxa"/>
              <w:bottom w:w="100" w:type="dxa"/>
              <w:right w:w="100" w:type="dxa"/>
            </w:tcMar>
          </w:tcPr>
          <w:p w14:paraId="7C845711"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6</w:t>
            </w:r>
          </w:p>
        </w:tc>
        <w:tc>
          <w:tcPr>
            <w:tcW w:w="2257" w:type="dxa"/>
            <w:tcMar>
              <w:top w:w="100" w:type="dxa"/>
              <w:left w:w="100" w:type="dxa"/>
              <w:bottom w:w="100" w:type="dxa"/>
              <w:right w:w="100" w:type="dxa"/>
            </w:tcMar>
          </w:tcPr>
          <w:p w14:paraId="7C0D335D"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28.12.2023</w:t>
            </w:r>
          </w:p>
        </w:tc>
        <w:tc>
          <w:tcPr>
            <w:tcW w:w="2257" w:type="dxa"/>
            <w:tcMar>
              <w:top w:w="100" w:type="dxa"/>
              <w:left w:w="100" w:type="dxa"/>
              <w:bottom w:w="100" w:type="dxa"/>
              <w:right w:w="100" w:type="dxa"/>
            </w:tcMar>
          </w:tcPr>
          <w:p w14:paraId="2178714C"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31.01.2024</w:t>
            </w:r>
          </w:p>
        </w:tc>
        <w:tc>
          <w:tcPr>
            <w:tcW w:w="2257" w:type="dxa"/>
            <w:tcMar>
              <w:top w:w="100" w:type="dxa"/>
              <w:left w:w="100" w:type="dxa"/>
              <w:bottom w:w="100" w:type="dxa"/>
              <w:right w:w="100" w:type="dxa"/>
            </w:tcMar>
          </w:tcPr>
          <w:p w14:paraId="249F237D"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10</w:t>
            </w:r>
          </w:p>
        </w:tc>
      </w:tr>
      <w:tr w:rsidR="00226F79" w:rsidRPr="00226F79" w14:paraId="7B776D4E" w14:textId="77777777" w:rsidTr="00A0607C">
        <w:tc>
          <w:tcPr>
            <w:tcW w:w="2257" w:type="dxa"/>
            <w:tcMar>
              <w:top w:w="100" w:type="dxa"/>
              <w:left w:w="100" w:type="dxa"/>
              <w:bottom w:w="100" w:type="dxa"/>
              <w:right w:w="100" w:type="dxa"/>
            </w:tcMar>
          </w:tcPr>
          <w:p w14:paraId="7CA2D105"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7</w:t>
            </w:r>
          </w:p>
        </w:tc>
        <w:tc>
          <w:tcPr>
            <w:tcW w:w="2257" w:type="dxa"/>
            <w:tcMar>
              <w:top w:w="100" w:type="dxa"/>
              <w:left w:w="100" w:type="dxa"/>
              <w:bottom w:w="100" w:type="dxa"/>
              <w:right w:w="100" w:type="dxa"/>
            </w:tcMar>
          </w:tcPr>
          <w:p w14:paraId="0D399E69"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06.02.2024</w:t>
            </w:r>
          </w:p>
        </w:tc>
        <w:tc>
          <w:tcPr>
            <w:tcW w:w="2257" w:type="dxa"/>
            <w:tcMar>
              <w:top w:w="100" w:type="dxa"/>
              <w:left w:w="100" w:type="dxa"/>
              <w:bottom w:w="100" w:type="dxa"/>
              <w:right w:w="100" w:type="dxa"/>
            </w:tcMar>
          </w:tcPr>
          <w:p w14:paraId="767EE3B4"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19.03.2024</w:t>
            </w:r>
          </w:p>
        </w:tc>
        <w:tc>
          <w:tcPr>
            <w:tcW w:w="2257" w:type="dxa"/>
            <w:tcMar>
              <w:top w:w="100" w:type="dxa"/>
              <w:left w:w="100" w:type="dxa"/>
              <w:bottom w:w="100" w:type="dxa"/>
              <w:right w:w="100" w:type="dxa"/>
            </w:tcMar>
          </w:tcPr>
          <w:p w14:paraId="7CF26E1E"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15</w:t>
            </w:r>
          </w:p>
        </w:tc>
      </w:tr>
      <w:tr w:rsidR="00226F79" w:rsidRPr="00226F79" w14:paraId="37006F61" w14:textId="77777777" w:rsidTr="00A0607C">
        <w:tc>
          <w:tcPr>
            <w:tcW w:w="2257" w:type="dxa"/>
            <w:tcMar>
              <w:top w:w="100" w:type="dxa"/>
              <w:left w:w="100" w:type="dxa"/>
              <w:bottom w:w="100" w:type="dxa"/>
              <w:right w:w="100" w:type="dxa"/>
            </w:tcMar>
          </w:tcPr>
          <w:p w14:paraId="2FA945A5"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8</w:t>
            </w:r>
          </w:p>
        </w:tc>
        <w:tc>
          <w:tcPr>
            <w:tcW w:w="2257" w:type="dxa"/>
            <w:tcMar>
              <w:top w:w="100" w:type="dxa"/>
              <w:left w:w="100" w:type="dxa"/>
              <w:bottom w:w="100" w:type="dxa"/>
              <w:right w:w="100" w:type="dxa"/>
            </w:tcMar>
          </w:tcPr>
          <w:p w14:paraId="0BE18B9C"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17.01.2024</w:t>
            </w:r>
          </w:p>
        </w:tc>
        <w:tc>
          <w:tcPr>
            <w:tcW w:w="2257" w:type="dxa"/>
            <w:tcMar>
              <w:top w:w="100" w:type="dxa"/>
              <w:left w:w="100" w:type="dxa"/>
              <w:bottom w:w="100" w:type="dxa"/>
              <w:right w:w="100" w:type="dxa"/>
            </w:tcMar>
          </w:tcPr>
          <w:p w14:paraId="66B589C8"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19.02.2024</w:t>
            </w:r>
          </w:p>
        </w:tc>
        <w:tc>
          <w:tcPr>
            <w:tcW w:w="2257" w:type="dxa"/>
            <w:tcMar>
              <w:top w:w="100" w:type="dxa"/>
              <w:left w:w="100" w:type="dxa"/>
              <w:bottom w:w="100" w:type="dxa"/>
              <w:right w:w="100" w:type="dxa"/>
            </w:tcMar>
          </w:tcPr>
          <w:p w14:paraId="5D739AA4" w14:textId="77777777" w:rsidR="00226F79" w:rsidRPr="00226F79" w:rsidRDefault="00226F79" w:rsidP="00226F79">
            <w:pPr>
              <w:widowControl w:val="0"/>
              <w:pBdr>
                <w:top w:val="nil"/>
                <w:left w:val="nil"/>
                <w:bottom w:val="nil"/>
                <w:right w:val="nil"/>
                <w:between w:val="nil"/>
              </w:pBdr>
              <w:spacing w:after="0" w:line="240" w:lineRule="auto"/>
              <w:rPr>
                <w:rFonts w:ascii="Arial" w:eastAsia="SimSun" w:hAnsi="Arial" w:cs="Arial"/>
                <w:kern w:val="0"/>
                <w:sz w:val="22"/>
                <w:szCs w:val="22"/>
                <w:lang w:val="en-US"/>
                <w14:ligatures w14:val="none"/>
              </w:rPr>
            </w:pPr>
            <w:r w:rsidRPr="00226F79">
              <w:rPr>
                <w:rFonts w:ascii="Arial" w:eastAsia="SimSun" w:hAnsi="Arial" w:cs="Arial"/>
                <w:kern w:val="0"/>
                <w:sz w:val="22"/>
                <w:szCs w:val="22"/>
                <w:lang w:val="en-US"/>
                <w14:ligatures w14:val="none"/>
              </w:rPr>
              <w:t>9</w:t>
            </w:r>
          </w:p>
        </w:tc>
      </w:tr>
    </w:tbl>
    <w:p w14:paraId="26BDA200" w14:textId="54B53032" w:rsidR="00226F79" w:rsidRPr="00226F79" w:rsidRDefault="006B529F" w:rsidP="00226F79">
      <w:pPr>
        <w:spacing w:before="240" w:after="240" w:line="276" w:lineRule="auto"/>
        <w:jc w:val="both"/>
        <w:rPr>
          <w:rFonts w:ascii="Arial" w:eastAsia="SimSun" w:hAnsi="Arial" w:cs="Arial"/>
          <w:b/>
          <w:kern w:val="0"/>
          <w:sz w:val="22"/>
          <w:szCs w:val="22"/>
          <w:lang w:val="en-US"/>
          <w14:ligatures w14:val="none"/>
        </w:rPr>
      </w:pPr>
      <w:r>
        <w:rPr>
          <w:rFonts w:ascii="Arial" w:eastAsia="SimSun" w:hAnsi="Arial" w:cs="Arial"/>
          <w:b/>
          <w:kern w:val="0"/>
          <w:sz w:val="22"/>
          <w:szCs w:val="22"/>
          <w:lang w:val="en-US"/>
          <w14:ligatures w14:val="none"/>
        </w:rPr>
        <w:lastRenderedPageBreak/>
        <w:t>Supplement references</w:t>
      </w:r>
    </w:p>
    <w:p w14:paraId="3DA664A9" w14:textId="77777777" w:rsidR="00953E94" w:rsidRPr="00953E94" w:rsidRDefault="006B529F" w:rsidP="00953E94">
      <w:pPr>
        <w:pStyle w:val="Literaturverzeichnis"/>
        <w:rPr>
          <w:rFonts w:ascii="Calibri" w:hAnsi="Calibri" w:cs="Calibri"/>
          <w:lang w:val="en-US"/>
        </w:rPr>
      </w:pPr>
      <w:r>
        <w:fldChar w:fldCharType="begin"/>
      </w:r>
      <w:r w:rsidR="00953E94">
        <w:rPr>
          <w:lang w:val="en-US"/>
        </w:rPr>
        <w:instrText xml:space="preserve"> ADDIN ZOTERO_BIBL {"uncited":[],"omitted":[],"custom":[]} CSL_BIBLIOGRAPHY </w:instrText>
      </w:r>
      <w:r>
        <w:fldChar w:fldCharType="separate"/>
      </w:r>
      <w:r w:rsidR="00953E94" w:rsidRPr="00953E94">
        <w:rPr>
          <w:rFonts w:ascii="Calibri" w:hAnsi="Calibri" w:cs="Calibri"/>
          <w:lang w:val="en-US"/>
        </w:rPr>
        <w:t xml:space="preserve">1. </w:t>
      </w:r>
      <w:r w:rsidR="00953E94" w:rsidRPr="00953E94">
        <w:rPr>
          <w:rFonts w:ascii="Calibri" w:hAnsi="Calibri" w:cs="Calibri"/>
          <w:lang w:val="en-US"/>
        </w:rPr>
        <w:tab/>
        <w:t>Montgomery SA, Åsberg M (1979) A New Depression Scale Designed to be Sensitive to Change. Br J Psychiatry 134:382–389. https://doi.org/10.1192/bjp.134.4.382</w:t>
      </w:r>
    </w:p>
    <w:p w14:paraId="337081AF" w14:textId="77777777" w:rsidR="00953E94" w:rsidRPr="00953E94" w:rsidRDefault="00953E94" w:rsidP="00953E94">
      <w:pPr>
        <w:pStyle w:val="Literaturverzeichnis"/>
        <w:rPr>
          <w:rFonts w:ascii="Calibri" w:hAnsi="Calibri" w:cs="Calibri"/>
          <w:lang w:val="fr-FR"/>
        </w:rPr>
      </w:pPr>
      <w:r w:rsidRPr="00953E94">
        <w:rPr>
          <w:rFonts w:ascii="Calibri" w:hAnsi="Calibri" w:cs="Calibri"/>
          <w:lang w:val="en-US"/>
        </w:rPr>
        <w:t xml:space="preserve">2. </w:t>
      </w:r>
      <w:r w:rsidRPr="00953E94">
        <w:rPr>
          <w:rFonts w:ascii="Calibri" w:hAnsi="Calibri" w:cs="Calibri"/>
          <w:lang w:val="en-US"/>
        </w:rPr>
        <w:tab/>
        <w:t xml:space="preserve">Hamilton M (1967) Development of a Rating Scale for Primary Depressive Illness. </w:t>
      </w:r>
      <w:r w:rsidRPr="00953E94">
        <w:rPr>
          <w:rFonts w:ascii="Calibri" w:hAnsi="Calibri" w:cs="Calibri"/>
          <w:lang w:val="fr-FR"/>
        </w:rPr>
        <w:t>Br J Soc Clin Psychol 6:278–296. https://doi.org/10.1111/j.2044-8260.1967.tb00530.x</w:t>
      </w:r>
    </w:p>
    <w:p w14:paraId="7E2BEBB0" w14:textId="77777777" w:rsidR="00953E94" w:rsidRPr="00953E94" w:rsidRDefault="00953E94" w:rsidP="00953E94">
      <w:pPr>
        <w:pStyle w:val="Literaturverzeichnis"/>
        <w:rPr>
          <w:rFonts w:ascii="Calibri" w:hAnsi="Calibri" w:cs="Calibri"/>
          <w:lang w:val="en-US"/>
        </w:rPr>
      </w:pPr>
      <w:r w:rsidRPr="00953E94">
        <w:rPr>
          <w:rFonts w:ascii="Calibri" w:hAnsi="Calibri" w:cs="Calibri"/>
          <w:lang w:val="en-US"/>
        </w:rPr>
        <w:t xml:space="preserve">3. </w:t>
      </w:r>
      <w:r w:rsidRPr="00953E94">
        <w:rPr>
          <w:rFonts w:ascii="Calibri" w:hAnsi="Calibri" w:cs="Calibri"/>
          <w:lang w:val="en-US"/>
        </w:rPr>
        <w:tab/>
        <w:t>Williams JBW (1988) A Structured Interview Guide for the Hamilton Depression Rating Scale. Arch Gen Psychiatry 45:742. https://doi.org/10.1001/archpsyc.1988.01800320058007</w:t>
      </w:r>
    </w:p>
    <w:p w14:paraId="75FDCC53" w14:textId="77777777" w:rsidR="00953E94" w:rsidRPr="00953E94" w:rsidRDefault="00953E94" w:rsidP="00953E94">
      <w:pPr>
        <w:pStyle w:val="Literaturverzeichnis"/>
        <w:rPr>
          <w:rFonts w:ascii="Calibri" w:hAnsi="Calibri" w:cs="Calibri"/>
          <w:lang w:val="en-US"/>
        </w:rPr>
      </w:pPr>
      <w:r w:rsidRPr="00953E94">
        <w:rPr>
          <w:rFonts w:ascii="Calibri" w:hAnsi="Calibri" w:cs="Calibri"/>
          <w:lang w:val="en-US"/>
        </w:rPr>
        <w:t xml:space="preserve">4. </w:t>
      </w:r>
      <w:r w:rsidRPr="00953E94">
        <w:rPr>
          <w:rFonts w:ascii="Calibri" w:hAnsi="Calibri" w:cs="Calibri"/>
          <w:lang w:val="en-US"/>
        </w:rPr>
        <w:tab/>
        <w:t>Bech P, Gram LF, Dein E, et al (1975) QUANTITATIVE RATING OF DEPRESSIVE STATES: Correlation Between Clinical Assessment, Beck’s Self‐Rating Scale and Hamilton’s Objective Rating Scale. Acta Psychiatr Scand 51:161–170. https://doi.org/10.1111/j.1600-0447.1975.tb00002.x</w:t>
      </w:r>
    </w:p>
    <w:p w14:paraId="24948311" w14:textId="77777777" w:rsidR="00953E94" w:rsidRPr="00953E94" w:rsidRDefault="00953E94" w:rsidP="00953E94">
      <w:pPr>
        <w:pStyle w:val="Literaturverzeichnis"/>
        <w:rPr>
          <w:rFonts w:ascii="Calibri" w:hAnsi="Calibri" w:cs="Calibri"/>
          <w:lang w:val="en-US"/>
        </w:rPr>
      </w:pPr>
      <w:r w:rsidRPr="00953E94">
        <w:rPr>
          <w:rFonts w:ascii="Calibri" w:hAnsi="Calibri" w:cs="Calibri"/>
          <w:lang w:val="en-US"/>
        </w:rPr>
        <w:t xml:space="preserve">5. </w:t>
      </w:r>
      <w:r w:rsidRPr="00953E94">
        <w:rPr>
          <w:rFonts w:ascii="Calibri" w:hAnsi="Calibri" w:cs="Calibri"/>
          <w:lang w:val="en-US"/>
        </w:rPr>
        <w:tab/>
        <w:t>Beck, A. T., Steer, R. A., &amp; Brown, G. (1996) Beck Depression Inventory–II (BDI-II) [Database record]. APA PsycTests</w:t>
      </w:r>
    </w:p>
    <w:p w14:paraId="7074E0D7" w14:textId="77777777" w:rsidR="00953E94" w:rsidRPr="00953E94" w:rsidRDefault="00953E94" w:rsidP="00953E94">
      <w:pPr>
        <w:pStyle w:val="Literaturverzeichnis"/>
        <w:rPr>
          <w:rFonts w:ascii="Calibri" w:hAnsi="Calibri" w:cs="Calibri"/>
          <w:lang w:val="en-US"/>
        </w:rPr>
      </w:pPr>
      <w:r w:rsidRPr="00953E94">
        <w:rPr>
          <w:rFonts w:ascii="Calibri" w:hAnsi="Calibri" w:cs="Calibri"/>
          <w:lang w:val="en-US"/>
        </w:rPr>
        <w:t xml:space="preserve">6. </w:t>
      </w:r>
      <w:r w:rsidRPr="00953E94">
        <w:rPr>
          <w:rFonts w:ascii="Calibri" w:hAnsi="Calibri" w:cs="Calibri"/>
          <w:lang w:val="en-US"/>
        </w:rPr>
        <w:tab/>
        <w:t>McIntyre RS, Best MW, Bowie CR, et al. (2017) The THINC-Integrated Tool (THINC-it) Screening Assessment for Cognitive Dysfunction: Validation in Patients With Major Depressive Disorder. J Clin Psychiatry 78:873–881. https://doi.org/doi:10.4088/JCP.16m11329</w:t>
      </w:r>
    </w:p>
    <w:p w14:paraId="4EE284C0" w14:textId="77777777" w:rsidR="00953E94" w:rsidRPr="00953E94" w:rsidRDefault="00953E94" w:rsidP="00953E94">
      <w:pPr>
        <w:pStyle w:val="Literaturverzeichnis"/>
        <w:rPr>
          <w:rFonts w:ascii="Calibri" w:hAnsi="Calibri" w:cs="Calibri"/>
          <w:lang w:val="en-US"/>
        </w:rPr>
      </w:pPr>
      <w:r w:rsidRPr="00953E94">
        <w:rPr>
          <w:rFonts w:ascii="Calibri" w:hAnsi="Calibri" w:cs="Calibri"/>
          <w:lang w:val="en-US"/>
        </w:rPr>
        <w:t xml:space="preserve">7. </w:t>
      </w:r>
      <w:r w:rsidRPr="00953E94">
        <w:rPr>
          <w:rFonts w:ascii="Calibri" w:hAnsi="Calibri" w:cs="Calibri"/>
          <w:lang w:val="en-US"/>
        </w:rPr>
        <w:tab/>
        <w:t>Culpepper L, Lam RW, McIntyre RS (2017) Cognitive Impairment in Patients With Depression: Awareness, Assessment, and Management: (Academic Highlights). J Clin Psychiatry 78:1383–1394. https://doi.org/10.4088/JCP.tk16043ah5c</w:t>
      </w:r>
    </w:p>
    <w:p w14:paraId="630BA246" w14:textId="77777777" w:rsidR="00953E94" w:rsidRPr="00953E94" w:rsidRDefault="00953E94" w:rsidP="00953E94">
      <w:pPr>
        <w:pStyle w:val="Literaturverzeichnis"/>
        <w:rPr>
          <w:rFonts w:ascii="Calibri" w:hAnsi="Calibri" w:cs="Calibri"/>
        </w:rPr>
      </w:pPr>
      <w:r w:rsidRPr="00953E94">
        <w:rPr>
          <w:rFonts w:ascii="Calibri" w:hAnsi="Calibri" w:cs="Calibri"/>
          <w:lang w:val="en-US"/>
        </w:rPr>
        <w:t xml:space="preserve">8. </w:t>
      </w:r>
      <w:r w:rsidRPr="00953E94">
        <w:rPr>
          <w:rFonts w:ascii="Calibri" w:hAnsi="Calibri" w:cs="Calibri"/>
          <w:lang w:val="en-US"/>
        </w:rPr>
        <w:tab/>
        <w:t xml:space="preserve">Baune BT, Malhi GS, Morris G, et al (2018) Cognition in depression: Can we THINC-it better? </w:t>
      </w:r>
      <w:r w:rsidRPr="00953E94">
        <w:rPr>
          <w:rFonts w:ascii="Calibri" w:hAnsi="Calibri" w:cs="Calibri"/>
        </w:rPr>
        <w:t>Journal of Affective Disorders 225:559–562. https://doi.org/10.1016/j.jad.2017.08.080</w:t>
      </w:r>
    </w:p>
    <w:p w14:paraId="38259BD3" w14:textId="2473FC01" w:rsidR="00ED0D73" w:rsidRPr="006B529F" w:rsidRDefault="006B529F">
      <w:pPr>
        <w:rPr>
          <w:lang w:val="en-US"/>
        </w:rPr>
      </w:pPr>
      <w:r>
        <w:fldChar w:fldCharType="end"/>
      </w:r>
    </w:p>
    <w:sectPr w:rsidR="00ED0D73" w:rsidRPr="006B529F" w:rsidSect="00226F79">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63BCB" w14:textId="77777777" w:rsidR="00B45FD5" w:rsidRDefault="00B45FD5">
      <w:pPr>
        <w:spacing w:after="0" w:line="240" w:lineRule="auto"/>
      </w:pPr>
      <w:r>
        <w:separator/>
      </w:r>
    </w:p>
  </w:endnote>
  <w:endnote w:type="continuationSeparator" w:id="0">
    <w:p w14:paraId="23597506" w14:textId="77777777" w:rsidR="00B45FD5" w:rsidRDefault="00B4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3F37" w14:textId="77777777" w:rsidR="00135715" w:rsidRPr="00DB3ED3" w:rsidRDefault="00000000">
    <w:r w:rsidRPr="00DB3ED3">
      <w:fldChar w:fldCharType="begin"/>
    </w:r>
    <w:r w:rsidRPr="00DB3ED3">
      <w:instrText>PAGE</w:instrText>
    </w:r>
    <w:r w:rsidRPr="00DB3ED3">
      <w:fldChar w:fldCharType="separate"/>
    </w:r>
    <w:r w:rsidRPr="00DB3ED3">
      <w:t>1</w:t>
    </w:r>
    <w:r w:rsidRPr="00DB3E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853BC" w14:textId="77777777" w:rsidR="00B45FD5" w:rsidRDefault="00B45FD5">
      <w:pPr>
        <w:spacing w:after="0" w:line="240" w:lineRule="auto"/>
      </w:pPr>
      <w:r>
        <w:separator/>
      </w:r>
    </w:p>
  </w:footnote>
  <w:footnote w:type="continuationSeparator" w:id="0">
    <w:p w14:paraId="5A0C7B08" w14:textId="77777777" w:rsidR="00B45FD5" w:rsidRDefault="00B45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41A8" w14:textId="77777777" w:rsidR="00135715" w:rsidRPr="00DB3ED3" w:rsidRDefault="00135715">
    <w:pPr>
      <w:pStyle w:val="berschrift1"/>
      <w:keepNext w:val="0"/>
      <w:keepLines w:val="0"/>
      <w:spacing w:before="480"/>
      <w:jc w:val="both"/>
    </w:pPr>
    <w:bookmarkStart w:id="0" w:name="_f7le55hung9f" w:colFirst="0" w:colLast="0"/>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0F8"/>
    <w:rsid w:val="00102318"/>
    <w:rsid w:val="00124E9B"/>
    <w:rsid w:val="00131082"/>
    <w:rsid w:val="00135715"/>
    <w:rsid w:val="00226F79"/>
    <w:rsid w:val="00240B72"/>
    <w:rsid w:val="002640C8"/>
    <w:rsid w:val="002D4C9A"/>
    <w:rsid w:val="003A795D"/>
    <w:rsid w:val="004A5642"/>
    <w:rsid w:val="004D59B0"/>
    <w:rsid w:val="006B529F"/>
    <w:rsid w:val="006C5F4C"/>
    <w:rsid w:val="00711E1B"/>
    <w:rsid w:val="00732ADF"/>
    <w:rsid w:val="00747616"/>
    <w:rsid w:val="007A3896"/>
    <w:rsid w:val="00815AFB"/>
    <w:rsid w:val="008E3D07"/>
    <w:rsid w:val="00953E94"/>
    <w:rsid w:val="00AC4701"/>
    <w:rsid w:val="00B45FD5"/>
    <w:rsid w:val="00BF4489"/>
    <w:rsid w:val="00C6418C"/>
    <w:rsid w:val="00D710F8"/>
    <w:rsid w:val="00ED0D7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1C34"/>
  <w15:chartTrackingRefBased/>
  <w15:docId w15:val="{5B89038B-CA06-4995-AB34-F3F7C6012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10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710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710F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710F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710F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710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710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710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710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710F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710F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710F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710F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710F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710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710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710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710F8"/>
    <w:rPr>
      <w:rFonts w:eastAsiaTheme="majorEastAsia" w:cstheme="majorBidi"/>
      <w:color w:val="272727" w:themeColor="text1" w:themeTint="D8"/>
    </w:rPr>
  </w:style>
  <w:style w:type="paragraph" w:styleId="Titel">
    <w:name w:val="Title"/>
    <w:basedOn w:val="Standard"/>
    <w:next w:val="Standard"/>
    <w:link w:val="TitelZchn"/>
    <w:uiPriority w:val="10"/>
    <w:qFormat/>
    <w:rsid w:val="00D71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710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710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710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710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710F8"/>
    <w:rPr>
      <w:i/>
      <w:iCs/>
      <w:color w:val="404040" w:themeColor="text1" w:themeTint="BF"/>
    </w:rPr>
  </w:style>
  <w:style w:type="paragraph" w:styleId="Listenabsatz">
    <w:name w:val="List Paragraph"/>
    <w:basedOn w:val="Standard"/>
    <w:uiPriority w:val="34"/>
    <w:qFormat/>
    <w:rsid w:val="00D710F8"/>
    <w:pPr>
      <w:ind w:left="720"/>
      <w:contextualSpacing/>
    </w:pPr>
  </w:style>
  <w:style w:type="character" w:styleId="IntensiveHervorhebung">
    <w:name w:val="Intense Emphasis"/>
    <w:basedOn w:val="Absatz-Standardschriftart"/>
    <w:uiPriority w:val="21"/>
    <w:qFormat/>
    <w:rsid w:val="00D710F8"/>
    <w:rPr>
      <w:i/>
      <w:iCs/>
      <w:color w:val="2F5496" w:themeColor="accent1" w:themeShade="BF"/>
    </w:rPr>
  </w:style>
  <w:style w:type="paragraph" w:styleId="IntensivesZitat">
    <w:name w:val="Intense Quote"/>
    <w:basedOn w:val="Standard"/>
    <w:next w:val="Standard"/>
    <w:link w:val="IntensivesZitatZchn"/>
    <w:uiPriority w:val="30"/>
    <w:qFormat/>
    <w:rsid w:val="00D710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710F8"/>
    <w:rPr>
      <w:i/>
      <w:iCs/>
      <w:color w:val="2F5496" w:themeColor="accent1" w:themeShade="BF"/>
    </w:rPr>
  </w:style>
  <w:style w:type="character" w:styleId="IntensiverVerweis">
    <w:name w:val="Intense Reference"/>
    <w:basedOn w:val="Absatz-Standardschriftart"/>
    <w:uiPriority w:val="32"/>
    <w:qFormat/>
    <w:rsid w:val="00D710F8"/>
    <w:rPr>
      <w:b/>
      <w:bCs/>
      <w:smallCaps/>
      <w:color w:val="2F5496" w:themeColor="accent1" w:themeShade="BF"/>
      <w:spacing w:val="5"/>
    </w:rPr>
  </w:style>
  <w:style w:type="paragraph" w:styleId="Kopfzeile">
    <w:name w:val="header"/>
    <w:basedOn w:val="Standard"/>
    <w:link w:val="KopfzeileZchn"/>
    <w:uiPriority w:val="99"/>
    <w:unhideWhenUsed/>
    <w:rsid w:val="006B52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529F"/>
  </w:style>
  <w:style w:type="paragraph" w:styleId="Fuzeile">
    <w:name w:val="footer"/>
    <w:basedOn w:val="Standard"/>
    <w:link w:val="FuzeileZchn"/>
    <w:uiPriority w:val="99"/>
    <w:unhideWhenUsed/>
    <w:rsid w:val="006B52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529F"/>
  </w:style>
  <w:style w:type="paragraph" w:styleId="Literaturverzeichnis">
    <w:name w:val="Bibliography"/>
    <w:basedOn w:val="Standard"/>
    <w:next w:val="Standard"/>
    <w:uiPriority w:val="37"/>
    <w:unhideWhenUsed/>
    <w:rsid w:val="006B529F"/>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2925</Words>
  <Characters>18431</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Miaoxi Chen</dc:creator>
  <cp:keywords/>
  <dc:description/>
  <cp:lastModifiedBy>Miaoxi Chen</cp:lastModifiedBy>
  <cp:revision>7</cp:revision>
  <dcterms:created xsi:type="dcterms:W3CDTF">2025-02-14T10:47:00Z</dcterms:created>
  <dcterms:modified xsi:type="dcterms:W3CDTF">2025-07-21T14:35:00Z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id="RFUNUFNV"/&gt;&lt;style id="http://www.zotero.org/styles/european-archives-of-psychiatry-and-clinical-neuroscience" hasBibliography="1" bibliographyStyleHasBeenSet="1"/&gt;&lt;prefs&gt;&lt;pref name="fieldType" va</vt:lpwstr>
  </property>
  <property fmtid="{D5CDD505-2E9C-101B-9397-08002B2CF9AE}" pid="3" name="ZOTERO_PREF_2">
    <vt:lpwstr>lue="Field"/&gt;&lt;/prefs&gt;&lt;/data&gt;</vt:lpwstr>
  </property>
</Properties>
</file>