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CONSORT 2025 Checklist</w:t>
      </w:r>
    </w:p>
    <w:p>
      <w:pPr>
        <w:jc w:val="center"/>
      </w:pPr>
      <w:r>
        <w:rPr>
          <w:i/>
          <w:sz w:val="20"/>
        </w:rPr>
        <w:t>Effects of an Internet-Based Combined Exercise and Cognitive-Behavioral Therapy Intervention on Endocannabinoid System Biomarkers and Physical Fitness in Adults with Mild-to-Moderate Depression: a SONRIE Randomized Controlled Trial</w:t>
      </w:r>
    </w:p>
    <w:p>
      <w:pPr>
        <w:jc w:val="center"/>
      </w:pPr>
      <w:r>
        <w:rPr>
          <w:color w:val="555555"/>
          <w:sz w:val="18"/>
        </w:rPr>
        <w:t>Trial registration: ClinicalTrials.gov NCT05849792</w:t>
      </w:r>
    </w:p>
    <w:p>
      <w:pPr>
        <w:spacing w:after="200"/>
        <w:jc w:val="center"/>
      </w:pPr>
      <w:r>
        <w:rPr>
          <w:i/>
          <w:color w:val="555555"/>
          <w:sz w:val="18"/>
        </w:rPr>
        <w:t>Reference: Hopewell S et al. CONSORT 2025 statement: updated guideline for reporting randomized trials. Nature Medicine 31, 1776–1783 (2025).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50"/>
        <w:gridCol w:w="3450"/>
        <w:gridCol w:w="3450"/>
        <w:gridCol w:w="3450"/>
      </w:tblGrid>
      <w:tr>
        <w:tc>
          <w:tcPr>
            <w:tcW w:type="dxa" w:w="850"/>
            <w:tcBorders>
              <w:top w:val="single" w:sz="12" w:color="000000"/>
              <w:left w:val="nil"/>
              <w:bottom w:val="single" w:sz="4" w:color="000000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Item No</w:t>
            </w:r>
          </w:p>
        </w:tc>
        <w:tc>
          <w:tcPr>
            <w:tcW w:type="dxa" w:w="2551"/>
            <w:tcBorders>
              <w:top w:val="single" w:sz="12" w:color="000000"/>
              <w:left w:val="nil"/>
              <w:bottom w:val="single" w:sz="4" w:color="000000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Section / Topic</w:t>
            </w:r>
          </w:p>
        </w:tc>
        <w:tc>
          <w:tcPr>
            <w:tcW w:type="dxa" w:w="4535"/>
            <w:tcBorders>
              <w:top w:val="single" w:sz="12" w:color="000000"/>
              <w:left w:val="nil"/>
              <w:bottom w:val="single" w:sz="4" w:color="000000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Checklist item</w:t>
            </w:r>
          </w:p>
        </w:tc>
        <w:tc>
          <w:tcPr>
            <w:tcW w:type="dxa" w:w="6520"/>
            <w:tcBorders>
              <w:top w:val="single" w:sz="12" w:color="000000"/>
              <w:left w:val="nil"/>
              <w:bottom w:val="single" w:sz="4" w:color="000000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Reported on page / section</w:t>
            </w:r>
          </w:p>
        </w:tc>
      </w:tr>
      <w:tr>
        <w:tc>
          <w:tcPr>
            <w:tcW w:type="dxa" w:w="6520"/>
            <w:gridSpan w:val="4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/>
                <w:i/>
                <w:sz w:val="20"/>
              </w:rPr>
              <w:t>Title and abstract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1a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Title and structured abstract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Identification as a randomized trial in the title.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Title: "...a SONRIE Randomized Controlled Trial". Page 1.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1b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Structured summary of trial design, methods, results and conclusions.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Abstract: structured Background, Methods, Results, Conclusion. Pages 2–3.</w:t>
            </w:r>
          </w:p>
        </w:tc>
      </w:tr>
      <w:tr>
        <w:tc>
          <w:tcPr>
            <w:tcW w:type="dxa" w:w="6520"/>
            <w:gridSpan w:val="4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/>
                <w:i/>
                <w:sz w:val="20"/>
              </w:rPr>
              <w:t>Open science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2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Trial registration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Name of trial registry, identifying number (with URL) and date of registration.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Study design: "ClinicalTrials.gov NCT05849792; registered 6 May 2023". Page 6. Open Science Statements (page 22).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3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Protocol and statistical analysis plan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Where the trial protocol and statistical analysis plan can be accessed.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Study design: citing Escudier-Vázquez et al., 2025. Page 6. Open Science Statements (page 22).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4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Data sharing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Where and how the de-identified individual participant data, statistical code and any other materials can be accessed.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Open Science Statements, Data sharing: "available from the corresponding author on reasonable request, conditional on signed data-use agreement". Page 22.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5a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Funding and conflicts of interest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Sources of funding and other support, role of funders.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Open Science Statements, Funding: PI0068-2018, CIBERFES; funders had no role. Page 22.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5b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Financial and non-financial conflicts of interest of the manuscript authors.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Open Science Statements, Conflicts of interest: "no financial or non-financial conflicts of interest related to this work". Page 22.</w:t>
            </w:r>
          </w:p>
        </w:tc>
      </w:tr>
      <w:tr>
        <w:tc>
          <w:tcPr>
            <w:tcW w:type="dxa" w:w="6520"/>
            <w:gridSpan w:val="4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/>
                <w:i/>
                <w:sz w:val="20"/>
              </w:rPr>
              <w:t>Introduction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6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Background and rationale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Scientific background and rationale.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Introduction. Pages 4–5.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7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Objectives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Specific objectives related to benefits and harms.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Introduction, last paragraph (page 5): pre-specified primary outcomes (2-AG, AEA, 6MWT) and exploratory outcomes; harms reported in Methods, Harms subsection (page 11).</w:t>
            </w:r>
          </w:p>
        </w:tc>
      </w:tr>
      <w:tr>
        <w:tc>
          <w:tcPr>
            <w:tcW w:type="dxa" w:w="6520"/>
            <w:gridSpan w:val="4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/>
                <w:i/>
                <w:sz w:val="20"/>
              </w:rPr>
              <w:t>Methods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8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Patient and public involvement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Details of patient or public involvement in the design, conduct and reporting of the trial.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Patient and public involvement subsection (page 6): no patient/public involvement; intervention co-developed with clinical staff.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9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Trial design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Description of trial design including type of trial, allocation ratio and framework.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Study design (page 6): randomized controlled trial, parallel-group, 1:1 allocation, superiority framework.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10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Changes to trial protocol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Important changes to the trial after it commenced including any outcomes or analyses that were not pre-specified, with reason.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Statistical analysis (page 12): protocol pre-specified ANCOVA; updated to repeated-measures ANOVA prior to data lock to better accommodate three-time-point structure with partial missingness.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11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Trial setting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Settings and locations where the trial was conducted.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Study design (page 6): Mental Health Clinical Management Unit of Puerto Real, Cádiz, Spain. Conducted September 2020–December 2023.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12a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Eligibility criteria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Eligibility criteria for participants.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Eligibility criteria (page 7).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12b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Eligibility criteria for sites and individuals delivering the intervention.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Eligibility criteria (page 7): degree in Sciences of Physical Activity and Sport with prior clinical exercise experience; doctoral-level clinical psychologist with CBT and emotional regulation experience.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13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Intervention and comparator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Intervention and comparator with sufficient details to allow replication.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Procedure (page 8); Physical exercise intervention (page 8); Psychological intervention (page 9). Reported following CERT (Slade et al., 2016).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14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Outcomes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Pre-specified primary and secondary outcomes, including measurement variable, analysis metric and time point.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Outcomes (page 9): pre-specified primary 2-AG, AEA, 6MWT; exploratory analogues and muscular fitness measures; primary contrast is time × group interaction at 12 weeks.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15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Harms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How harms were defined and assessed.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Harms subsection (page 11): assessed non-systematically by self-report to the exercise specialist, with incident log.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16a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Sample size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How sample size was determined.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Sample size (page 12, lines 11–20): determined for the primary outcome of the SONRIE trial (depressive symptoms; BDI). Post-hoc detectable effect sizes for ES (Cohen's d ≈ 0.85) and CRF (d ≈ 0.95) reported.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16b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Explanation of any interim analyses and stopping guidelines.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Not applicable; no interim analyses or stopping rules.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17a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Randomization — Sequence generation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Who generated the random allocation sequence and the method used.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Participants and randomization (page 7): allocation sequence generated by the principal investigator using STATA 16.0; simple randomization.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17b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Type of randomization and details of any restriction.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Participants and randomization (page 7): simple randomization, 1:1 allocation, no stratification or blocking.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18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Allocation concealment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Mechanism used to implement the random allocation sequence.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Participants and randomization (page 7): allocation sequence prepared by PI before recruitment; allocations transmitted to field staff only after each participant's baseline assessment was completed.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19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Implementation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Whether personnel who enrolled and assigned participants had access to the random allocation sequence.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Participants and randomization (page 7): personnel performing baseline measurements did not know the upcoming allocation.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20a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Blinding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Who was blinded after assignment to interventions.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Participants and randomization (page 7): outcome assessors blinded at all time points; data de-identified before analysis. Participants and intervention deliverers unblinded due to nature of the intervention.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20b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If blinded, how blinding was achieved and description of similarity of interventions.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Participants and randomization (page 7): blinding of outcome assessors maintained by withholding allocation labels from staff conducting blood sampling and physical fitness testing.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21a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Statistical methods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Statistical methods used to compare groups for primary and secondary outcomes, including harms.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Statistical analysis (pages 12–13): primary analysis 2 × 3 repeated-measures ANOVA on completers; sensitivity mixed-effects ITT model; within-group paired t-tests with 95% CI; partial η²p and Cohen's d as effect sizes.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21b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Definition of who is included in each analysis, and in which group.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Statistical analysis (pages 12–13): primary analysis on participants completing all three assessments (per-protocol completers, n = 44 ES / n = 39 CRF); sensitivity on all randomized participants with at least one observation (intention-to-treat).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21c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How missing data were handled in the analysis.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Statistical analysis (page 13): mixed-effects model accommodates missing data under MAR assumption; per-protocol completers analysis includes only participants with complete data.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21d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Methods for any additional analyses (subgroup, sensitivity), distinguishing pre-specified from post hoc.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Statistical analysis (page 13): mixed-effects ITT pre-specified as sensitivity analysis; Holm–Bonferroni correction on three pre-specified primary tests; exploratory analyses unadjusted.</w:t>
            </w:r>
          </w:p>
        </w:tc>
      </w:tr>
      <w:tr>
        <w:tc>
          <w:tcPr>
            <w:tcW w:type="dxa" w:w="6520"/>
            <w:gridSpan w:val="4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/>
                <w:i/>
                <w:sz w:val="20"/>
              </w:rPr>
              <w:t>Results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22a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Participant flow, including flow diagram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Numbers of participants randomly assigned, received intended intervention and analysed for the primary outcome, by group.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Results, Participant flow and baseline characteristics (page 14); Figure 1 (CONSORT flow diagram, separate editable file Figure1_CONSORT_flow.pptx).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22b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Losses and exclusions after randomization, with reasons, by group.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Results, Participant flow and baseline characteristics (page 14); Figure 1.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23a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Recruitment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Dates defining the periods of recruitment and follow-up.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Study design (page 6): trial conducted between September 2020 and December 2023.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23b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If relevant, why the trial ended or was stopped.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Not applicable; trial completed as planned.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24a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Intervention and comparator delivery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Intervention and comparator as actually administered (who delivered, adherence, fidelity).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Physical exercise intervention (pages 8–9): exercise specialist with prior clinical experience; supported by physical therapist during first four weeks; achieved adherence in IG = 72.5% (median 28/36 sessions, IQR 24–32). Methods, Psychological intervention (page 9): doctoral-level clinical psychologist.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24b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Concomitant care received during the trial for each group.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Procedure (page 8, lines 1–6): CG received treatment as usual at the Mental Health Clinical Management Unit; no structured exercise prescription, iCBT or additional contact from the research team beyond the three scheduled assessments.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25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Baseline data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Table showing baseline demographic and clinical characteristics for each group.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Table 1.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26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Numbers analyzed, outcomes and estimation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For each primary and secondary outcome, by group: number of participants included in the analysis, number with available data at each time point, results, estimated effect size and precision.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Table 2; Supplementary Table S1 (per-timepoint sample sizes); Supplementary Tables S2 and S3 (within-group post-hoc with mean differences, 95% CI and Cohen's d categorical bins); Supplementary Table S4 (sensitivity ITT mixed-effects).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27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Harms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All harms or unintended events in each group.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Harms (page 11): no serious adverse events; minor self-limited muscle soreness reported by 6 (15%) IG participants in the first two weeks; no adverse events in CG.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28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Ancillary analyses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Any other analyses performed, including subgroup and sensitivity analyses, distinguishing pre-specified from post hoc.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Methods, Statistical analysis (page 13); Results: pre-specified primary analysis (RM-ANOVA on completers); pre-specified sensitivity (mixed-effects ITT, Supplementary Table S4); pre-specified Holm–Bonferroni correction on three primary tests (2-AG, AEA, 6MWT).</w:t>
            </w:r>
          </w:p>
        </w:tc>
      </w:tr>
      <w:tr>
        <w:tc>
          <w:tcPr>
            <w:tcW w:type="dxa" w:w="6520"/>
            <w:gridSpan w:val="4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/>
                <w:i/>
                <w:sz w:val="20"/>
              </w:rPr>
              <w:t>Discussion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29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Interpretation</w:t>
            </w:r>
          </w:p>
        </w:tc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Interpretation consistent with results, balancing benefits and harms, and considering other relevant evidence.</w:t>
            </w:r>
          </w:p>
        </w:tc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Discussion (pages 16–21): main interpretation focuses on the significant CRF improvement; ES findings interpreted as non-significant intervention effect against background of parallel temporal change in both groups; arm curl interpreted as a non-significant trend (borderline interaction p = 0.065), hypothesis-generating only.</w:t>
            </w:r>
          </w:p>
        </w:tc>
      </w:tr>
      <w:tr>
        <w:tc>
          <w:tcPr>
            <w:tcW w:type="dxa" w:w="850"/>
            <w:tcBorders>
              <w:top w:val="nil"/>
              <w:left w:val="nil"/>
              <w:bottom w:val="single" w:sz="12" w:color="000000"/>
              <w:right w:val="nil"/>
            </w:tcBorders>
            <w:vAlign w:val="top"/>
          </w:tcPr>
          <w:p>
            <w:pPr>
              <w:spacing w:after="40" w:line="264" w:lineRule="auto"/>
              <w:jc w:val="center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30</w:t>
            </w:r>
          </w:p>
        </w:tc>
        <w:tc>
          <w:tcPr>
            <w:tcW w:type="dxa" w:w="2551"/>
            <w:tcBorders>
              <w:top w:val="nil"/>
              <w:left w:val="nil"/>
              <w:bottom w:val="single" w:sz="12" w:color="000000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/>
                <w:sz w:val="18"/>
              </w:rPr>
              <w:t>Limitations</w:t>
            </w:r>
          </w:p>
        </w:tc>
        <w:tc>
          <w:tcPr>
            <w:tcW w:type="dxa" w:w="4535"/>
            <w:tcBorders>
              <w:top w:val="nil"/>
              <w:left w:val="nil"/>
              <w:bottom w:val="single" w:sz="12" w:color="000000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Trial limitations, addressing sources of potential bias, imprecision, generalizability and multiplicity of analyses.</w:t>
            </w:r>
          </w:p>
        </w:tc>
        <w:tc>
          <w:tcPr>
            <w:tcW w:type="dxa" w:w="6520"/>
            <w:tcBorders>
              <w:top w:val="nil"/>
              <w:left w:val="nil"/>
              <w:bottom w:val="single" w:sz="12" w:color="000000"/>
              <w:right w:val="nil"/>
            </w:tcBorders>
            <w:vAlign w:val="top"/>
          </w:tcPr>
          <w:p>
            <w:pPr>
              <w:spacing w:after="40" w:line="264" w:lineRule="auto"/>
              <w:jc w:val="left"/>
            </w:pPr>
            <w:r>
              <w:t>Discussion, Strengths and limitations (pages 19–21): differential attrition; underpowered for ES; multiplicity (none of the exploratory tests reached statistical significance); deviation from protocol-pre-specified ANCOVA; plasma vs CNS; female-predominant sample; underpowered standing-jump subgroup.</w:t>
            </w:r>
          </w:p>
        </w:tc>
      </w:tr>
    </w:tbl>
    <w:p>
      <w:pPr>
        <w:jc w:val="left"/>
      </w:pPr>
      <w:r>
        <w:rPr>
          <w:i w:val="0"/>
          <w:sz w:val="20"/>
        </w:rPr>
      </w:r>
    </w:p>
    <w:p>
      <w:pPr>
        <w:spacing w:before="160" w:line="276" w:lineRule="auto"/>
      </w:pPr>
      <w:r>
        <w:t>This checklist follows the CONSORT 2025 statement for reporting randomized trials (Hopewell S et al., Nature Medicine 31, 1776–1783, 2025). Page references correspond to the revised manuscript. Item numbering and wording adhere to the CONSORT 2025 expanded checklist.</w:t>
      </w:r>
    </w:p>
    <w:sectPr w:rsidR="00FC693F" w:rsidRPr="0006063C" w:rsidSect="00034616">
      <w:pgSz w:w="15840" w:h="12240" w:orient="landscape"/>
      <w:pgMar w:top="1134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