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Y="1597"/>
        <w:tblW w:w="9833" w:type="dxa"/>
        <w:tblLayout w:type="fixed"/>
        <w:tblLook w:val="04A0" w:firstRow="1" w:lastRow="0" w:firstColumn="1" w:lastColumn="0" w:noHBand="0" w:noVBand="1"/>
      </w:tblPr>
      <w:tblGrid>
        <w:gridCol w:w="3264"/>
        <w:gridCol w:w="1306"/>
        <w:gridCol w:w="816"/>
        <w:gridCol w:w="1471"/>
        <w:gridCol w:w="978"/>
        <w:gridCol w:w="887"/>
        <w:gridCol w:w="1092"/>
        <w:gridCol w:w="19"/>
      </w:tblGrid>
      <w:tr w:rsidR="00CE70E7" w:rsidRPr="007049E9" w:rsidTr="00C9261C">
        <w:trPr>
          <w:trHeight w:val="74"/>
        </w:trPr>
        <w:tc>
          <w:tcPr>
            <w:tcW w:w="98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70E7" w:rsidRPr="00B07988" w:rsidRDefault="00CE70E7" w:rsidP="00C9261C">
            <w:pPr>
              <w:spacing w:before="160" w:after="80" w:line="240" w:lineRule="auto"/>
              <w:rPr>
                <w:rFonts w:cs="Times New Roman"/>
                <w:sz w:val="22"/>
              </w:rPr>
            </w:pPr>
            <w:r w:rsidRPr="00B07988">
              <w:rPr>
                <w:b/>
                <w:sz w:val="22"/>
              </w:rPr>
              <w:t xml:space="preserve">Table S1: </w:t>
            </w:r>
            <w:r w:rsidRPr="00B07988">
              <w:rPr>
                <w:bCs/>
                <w:sz w:val="22"/>
              </w:rPr>
              <w:t>Number of participants with available data in each main study variable, by group and time point.</w:t>
            </w:r>
          </w:p>
        </w:tc>
      </w:tr>
      <w:tr w:rsidR="00CE70E7" w:rsidRPr="00190082" w:rsidTr="00C9261C">
        <w:trPr>
          <w:trHeight w:val="74"/>
        </w:trPr>
        <w:tc>
          <w:tcPr>
            <w:tcW w:w="3264" w:type="dxa"/>
            <w:tcBorders>
              <w:left w:val="nil"/>
              <w:bottom w:val="single" w:sz="8" w:space="0" w:color="000000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93" w:type="dxa"/>
            <w:gridSpan w:val="3"/>
            <w:tcBorders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Control Group</w:t>
            </w:r>
          </w:p>
        </w:tc>
        <w:tc>
          <w:tcPr>
            <w:tcW w:w="2975" w:type="dxa"/>
            <w:gridSpan w:val="4"/>
            <w:tcBorders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Intervention Group</w:t>
            </w:r>
          </w:p>
        </w:tc>
      </w:tr>
      <w:tr w:rsidR="00CE70E7" w:rsidRPr="00971D82" w:rsidTr="00C9261C">
        <w:trPr>
          <w:gridAfter w:val="1"/>
          <w:wAfter w:w="19" w:type="dxa"/>
          <w:trHeight w:val="74"/>
        </w:trPr>
        <w:tc>
          <w:tcPr>
            <w:tcW w:w="326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Pre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Retest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Pre</w:t>
            </w:r>
          </w:p>
        </w:tc>
        <w:tc>
          <w:tcPr>
            <w:tcW w:w="8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07988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988">
              <w:rPr>
                <w:rFonts w:cs="Times New Roman"/>
                <w:b/>
                <w:bCs/>
                <w:sz w:val="20"/>
                <w:szCs w:val="20"/>
              </w:rPr>
              <w:t>Retest</w:t>
            </w:r>
          </w:p>
        </w:tc>
      </w:tr>
      <w:tr w:rsidR="00CE70E7" w:rsidRPr="00971D82" w:rsidTr="00C9261C">
        <w:trPr>
          <w:gridAfter w:val="1"/>
          <w:wAfter w:w="19" w:type="dxa"/>
          <w:trHeight w:val="293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1900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190082">
              <w:rPr>
                <w:rFonts w:cs="Times New Roman"/>
                <w:b/>
                <w:bCs/>
                <w:sz w:val="20"/>
                <w:szCs w:val="20"/>
              </w:rPr>
              <w:t xml:space="preserve">Endocannabinoid system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biomarkers</w:t>
            </w: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88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09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29</w:t>
            </w:r>
          </w:p>
        </w:tc>
      </w:tr>
      <w:tr w:rsidR="00CE70E7" w:rsidRPr="00971D82" w:rsidTr="00C9261C">
        <w:trPr>
          <w:gridAfter w:val="1"/>
          <w:wAfter w:w="19" w:type="dxa"/>
          <w:trHeight w:val="293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17"/>
              </w:rPr>
              <w:t>(</w:t>
            </w:r>
            <w:r w:rsidRPr="00B07988">
              <w:rPr>
                <w:rFonts w:cs="Times New Roman"/>
                <w:sz w:val="17"/>
              </w:rPr>
              <w:t>2-AG, AEA, OEA, 2-LG, 2-OG, DEA, DHEA, LEA, SEA)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E70E7" w:rsidRPr="00971D82" w:rsidTr="00C9261C">
        <w:trPr>
          <w:gridAfter w:val="1"/>
          <w:wAfter w:w="19" w:type="dxa"/>
          <w:trHeight w:val="252"/>
        </w:trPr>
        <w:tc>
          <w:tcPr>
            <w:tcW w:w="4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70E7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:rsidR="00CE70E7" w:rsidRPr="00FD646A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FD646A">
              <w:rPr>
                <w:rFonts w:cs="Times New Roman"/>
                <w:b/>
                <w:bCs/>
                <w:sz w:val="20"/>
                <w:szCs w:val="20"/>
              </w:rPr>
              <w:t>Physical Fitness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E70E7" w:rsidRPr="00971D82" w:rsidTr="00C9261C">
        <w:trPr>
          <w:gridAfter w:val="1"/>
          <w:wAfter w:w="19" w:type="dxa"/>
          <w:trHeight w:val="127"/>
        </w:trPr>
        <w:tc>
          <w:tcPr>
            <w:tcW w:w="4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Cardiorespiratory Fitness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E70E7" w:rsidRPr="00971D82" w:rsidTr="00C9261C">
        <w:trPr>
          <w:gridAfter w:val="1"/>
          <w:wAfter w:w="19" w:type="dxa"/>
          <w:trHeight w:val="370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971D82">
              <w:rPr>
                <w:rFonts w:cs="Times New Roman"/>
                <w:i/>
                <w:iCs/>
                <w:sz w:val="20"/>
                <w:szCs w:val="20"/>
              </w:rPr>
              <w:t>6MWT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CE70E7" w:rsidRPr="00971D82" w:rsidTr="00C9261C">
        <w:trPr>
          <w:gridAfter w:val="1"/>
          <w:wAfter w:w="19" w:type="dxa"/>
          <w:trHeight w:val="91"/>
        </w:trPr>
        <w:tc>
          <w:tcPr>
            <w:tcW w:w="4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70E7" w:rsidRPr="00FD646A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FD646A">
              <w:rPr>
                <w:rFonts w:cs="Times New Roman"/>
                <w:b/>
                <w:bCs/>
                <w:sz w:val="20"/>
                <w:szCs w:val="20"/>
              </w:rPr>
              <w:t>Muscular Fitness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E70E7" w:rsidRPr="00971D82" w:rsidTr="00C9261C">
        <w:trPr>
          <w:gridAfter w:val="1"/>
          <w:wAfter w:w="19" w:type="dxa"/>
          <w:trHeight w:val="79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971D82">
              <w:rPr>
                <w:rFonts w:cs="Times New Roman"/>
                <w:i/>
                <w:iCs/>
                <w:sz w:val="20"/>
                <w:szCs w:val="20"/>
              </w:rPr>
              <w:t xml:space="preserve">Handgrip 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CE70E7" w:rsidRPr="00971D82" w:rsidTr="00C9261C">
        <w:trPr>
          <w:gridAfter w:val="1"/>
          <w:wAfter w:w="19" w:type="dxa"/>
          <w:trHeight w:val="243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971D82">
              <w:rPr>
                <w:rFonts w:cs="Times New Roman"/>
                <w:i/>
                <w:iCs/>
                <w:sz w:val="20"/>
                <w:szCs w:val="20"/>
              </w:rPr>
              <w:t>Arm Curl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24</w:t>
            </w:r>
          </w:p>
        </w:tc>
      </w:tr>
      <w:tr w:rsidR="00CE70E7" w:rsidRPr="00971D82" w:rsidTr="00C9261C">
        <w:trPr>
          <w:gridAfter w:val="1"/>
          <w:wAfter w:w="19" w:type="dxa"/>
          <w:trHeight w:val="247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971D82">
              <w:rPr>
                <w:rFonts w:cs="Times New Roman"/>
                <w:i/>
                <w:iCs/>
                <w:sz w:val="20"/>
                <w:szCs w:val="20"/>
              </w:rPr>
              <w:t>Chair stand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CE70E7" w:rsidRPr="00971D82" w:rsidTr="00C9261C">
        <w:trPr>
          <w:gridAfter w:val="1"/>
          <w:wAfter w:w="19" w:type="dxa"/>
          <w:trHeight w:val="56"/>
        </w:trPr>
        <w:tc>
          <w:tcPr>
            <w:tcW w:w="326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E70E7" w:rsidRPr="00971D82" w:rsidRDefault="00CE70E7" w:rsidP="00C9261C">
            <w:pPr>
              <w:pStyle w:val="ListParagraph"/>
              <w:spacing w:line="240" w:lineRule="auto"/>
              <w:ind w:left="0"/>
              <w:rPr>
                <w:rFonts w:cs="Times New Roman"/>
                <w:i/>
                <w:iCs/>
                <w:sz w:val="20"/>
                <w:szCs w:val="20"/>
              </w:rPr>
            </w:pPr>
            <w:r w:rsidRPr="00971D82">
              <w:rPr>
                <w:rFonts w:cs="Times New Roman"/>
                <w:i/>
                <w:iCs/>
                <w:sz w:val="20"/>
                <w:szCs w:val="20"/>
              </w:rPr>
              <w:t>Jump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E70E7" w:rsidRPr="00B97634" w:rsidRDefault="00CE70E7" w:rsidP="00C9261C">
            <w:pPr>
              <w:pStyle w:val="ListParagraph"/>
              <w:spacing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B97634">
              <w:rPr>
                <w:rFonts w:cs="Times New Roman"/>
                <w:sz w:val="20"/>
                <w:szCs w:val="20"/>
              </w:rPr>
              <w:t>21</w:t>
            </w:r>
          </w:p>
        </w:tc>
      </w:tr>
    </w:tbl>
    <w:p w:rsidR="00CE70E7" w:rsidRDefault="00CE70E7" w:rsidP="00CE70E7">
      <w:pPr>
        <w:spacing w:before="40" w:after="200"/>
        <w:jc w:val="both"/>
        <w:rPr>
          <w:sz w:val="20"/>
        </w:rPr>
      </w:pPr>
      <w:bookmarkStart w:id="0" w:name="_GoBack"/>
      <w:bookmarkEnd w:id="0"/>
    </w:p>
    <w:p w:rsidR="00CE70E7" w:rsidRDefault="00CE70E7" w:rsidP="00CE70E7">
      <w:pPr>
        <w:spacing w:before="40" w:after="200"/>
        <w:jc w:val="both"/>
      </w:pPr>
      <w:r>
        <w:rPr>
          <w:sz w:val="20"/>
        </w:rPr>
        <w:t>CG, control group (40 randomized); IG, intervention group (40 randomized). Numbers shown are participants with a non-missing value at each time point. The strict analytic database used for the per-protocol primary analysis comprises participants with at least a baseline endocannabinoid measurement (n = 54: 24 CG + 30 IG).</w:t>
      </w:r>
    </w:p>
    <w:p w:rsidR="00CE70E7" w:rsidRDefault="00CE70E7" w:rsidP="00CE70E7">
      <w:pPr>
        <w:spacing w:after="200" w:line="276" w:lineRule="auto"/>
        <w:rPr>
          <w:b/>
          <w:sz w:val="22"/>
        </w:rPr>
      </w:pPr>
      <w:r>
        <w:rPr>
          <w:b/>
          <w:sz w:val="22"/>
        </w:rPr>
        <w:br w:type="page"/>
      </w:r>
    </w:p>
    <w:p w:rsidR="00CE70E7" w:rsidRPr="008555E0" w:rsidRDefault="00CE70E7" w:rsidP="00CE70E7">
      <w:pPr>
        <w:spacing w:before="160" w:after="80"/>
        <w:rPr>
          <w:bCs/>
        </w:rPr>
      </w:pPr>
      <w:r>
        <w:rPr>
          <w:b/>
          <w:sz w:val="22"/>
        </w:rPr>
        <w:lastRenderedPageBreak/>
        <w:t xml:space="preserve">Table S2. </w:t>
      </w:r>
      <w:r w:rsidRPr="008555E0">
        <w:rPr>
          <w:bCs/>
          <w:sz w:val="22"/>
        </w:rPr>
        <w:t>Post-hoc test statistics for within-group changes (pre-to-post, pre-to-retest, post-to-retest) in the intervention group (IG, n = 29 for endocannabinoid biomarkers; n = 24 for the 6-minute walking test; complete cases).</w:t>
      </w:r>
    </w:p>
    <w:tbl>
      <w:tblPr>
        <w:tblW w:w="1058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2247"/>
        <w:gridCol w:w="2242"/>
        <w:gridCol w:w="2106"/>
        <w:gridCol w:w="708"/>
        <w:gridCol w:w="641"/>
        <w:gridCol w:w="726"/>
      </w:tblGrid>
      <w:tr w:rsidR="00CE70E7" w:rsidRPr="002F7D3F" w:rsidTr="00C9261C">
        <w:trPr>
          <w:trHeight w:val="456"/>
          <w:jc w:val="center"/>
        </w:trPr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b/>
                <w:sz w:val="18"/>
                <w:szCs w:val="18"/>
              </w:rPr>
              <w:t>Outcome</w:t>
            </w:r>
          </w:p>
        </w:tc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2F7D3F">
              <w:rPr>
                <w:rFonts w:cs="Times New Roman"/>
                <w:b/>
                <w:sz w:val="18"/>
                <w:szCs w:val="18"/>
              </w:rPr>
              <w:t>Pre→Post</w:t>
            </w:r>
            <w:proofErr w:type="spellEnd"/>
            <w:r w:rsidRPr="002F7D3F">
              <w:rPr>
                <w:rFonts w:cs="Times New Roman"/>
                <w:b/>
                <w:sz w:val="18"/>
                <w:szCs w:val="18"/>
              </w:rPr>
              <w:t xml:space="preserve"> mean diff. (95% CI)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2F7D3F">
              <w:rPr>
                <w:rFonts w:cs="Times New Roman"/>
                <w:b/>
                <w:sz w:val="18"/>
                <w:szCs w:val="18"/>
              </w:rPr>
              <w:t>Pre→Retest</w:t>
            </w:r>
            <w:proofErr w:type="spellEnd"/>
            <w:r w:rsidRPr="002F7D3F">
              <w:rPr>
                <w:rFonts w:cs="Times New Roman"/>
                <w:b/>
                <w:sz w:val="18"/>
                <w:szCs w:val="18"/>
              </w:rPr>
              <w:t xml:space="preserve"> mean diff. (95% CI)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2F7D3F">
              <w:rPr>
                <w:rFonts w:cs="Times New Roman"/>
                <w:b/>
                <w:sz w:val="18"/>
                <w:szCs w:val="18"/>
              </w:rPr>
              <w:t>Post→Retest</w:t>
            </w:r>
            <w:proofErr w:type="spellEnd"/>
            <w:r w:rsidRPr="002F7D3F">
              <w:rPr>
                <w:rFonts w:cs="Times New Roman"/>
                <w:b/>
                <w:sz w:val="18"/>
                <w:szCs w:val="18"/>
              </w:rPr>
              <w:t xml:space="preserve"> mean diff. (95% CI)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b/>
                <w:sz w:val="18"/>
                <w:szCs w:val="18"/>
              </w:rPr>
              <w:t xml:space="preserve">d </w:t>
            </w:r>
            <w:proofErr w:type="spellStart"/>
            <w:r w:rsidRPr="002F7D3F">
              <w:rPr>
                <w:rFonts w:cs="Times New Roman"/>
                <w:b/>
                <w:sz w:val="18"/>
                <w:szCs w:val="18"/>
              </w:rPr>
              <w:t>P→Po</w:t>
            </w:r>
            <w:proofErr w:type="spellEnd"/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b/>
                <w:sz w:val="18"/>
                <w:szCs w:val="18"/>
              </w:rPr>
              <w:t>d P→R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b/>
                <w:sz w:val="18"/>
                <w:szCs w:val="18"/>
              </w:rPr>
              <w:t xml:space="preserve">d </w:t>
            </w:r>
            <w:proofErr w:type="spellStart"/>
            <w:r w:rsidRPr="002F7D3F">
              <w:rPr>
                <w:rFonts w:cs="Times New Roman"/>
                <w:b/>
                <w:sz w:val="18"/>
                <w:szCs w:val="18"/>
              </w:rPr>
              <w:t>Po→R</w:t>
            </w:r>
            <w:proofErr w:type="spellEnd"/>
          </w:p>
        </w:tc>
      </w:tr>
      <w:tr w:rsidR="00CE70E7" w:rsidRPr="00FD03EE" w:rsidTr="00C9261C">
        <w:trPr>
          <w:trHeight w:val="240"/>
          <w:jc w:val="center"/>
        </w:trPr>
        <w:tc>
          <w:tcPr>
            <w:tcW w:w="1058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FD03EE">
              <w:rPr>
                <w:rFonts w:cs="Times New Roman"/>
                <w:b/>
                <w:bCs/>
                <w:i/>
                <w:sz w:val="20"/>
                <w:szCs w:val="20"/>
              </w:rPr>
              <w:t>Endocannabinoid system biomarkers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2-AG (ng/mL)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-1.62*** (-2.48, -0.76)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-1.05* (-1.92, -0.19)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0.56 (-0.30, 1.43)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  <w:tc>
          <w:tcPr>
            <w:tcW w:w="641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</w:tr>
      <w:tr w:rsidR="00CE70E7" w:rsidRPr="002F7D3F" w:rsidTr="00C9261C">
        <w:trPr>
          <w:trHeight w:val="444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AEA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0.01 (-0.05, 0.07)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-0.02 (-0.09, 0.04)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-0.03 (-0.10, 0.03)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OEA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0.06 (-0.46, 0.58)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-0.25 (-0.71, 0.33)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-0.25 (-0.77, 0.27)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240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2-LG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-15.55*** (-22.27, -8.83)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-9.06** (-15.84, -2.29)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6.49 (-0.29, 13.27)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2-OG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-22.10*** (-33.48, -10.73)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-12.89* (-24.36, -1.41)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9.22 (-2.26, 20.69)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DEA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-0.00 (-0.02, 0.01)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-0.01 (-0.02, 0.01)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-0.00 (-0.02, 0.01)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44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DHEA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-0.02 (-0.09, 0.05)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-0.03 (-0.10, 0.05)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-0.01 (-0.08, 0.06)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LEA (ng/mL)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0.02 (-0.11, 0.14)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-0.07 (-0.19, 0.06)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-0.08 (-0.21, 0.04)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tcBorders>
              <w:bottom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SEA (ng/mL)</w:t>
            </w:r>
          </w:p>
        </w:tc>
        <w:tc>
          <w:tcPr>
            <w:tcW w:w="2247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0.12 (-0.03, 0.27)</w:t>
            </w:r>
          </w:p>
        </w:tc>
        <w:tc>
          <w:tcPr>
            <w:tcW w:w="2242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0.05 (-0.11, 0.20)</w:t>
            </w:r>
          </w:p>
        </w:tc>
        <w:tc>
          <w:tcPr>
            <w:tcW w:w="2106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0.05 (-0.11, 0.20)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641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6" w:type="dxa"/>
            <w:tcBorders>
              <w:bottom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</w:tr>
      <w:tr w:rsidR="00CE70E7" w:rsidRPr="00FD03EE" w:rsidTr="00C9261C">
        <w:trPr>
          <w:trHeight w:val="240"/>
          <w:jc w:val="center"/>
        </w:trPr>
        <w:tc>
          <w:tcPr>
            <w:tcW w:w="1058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FD03EE">
              <w:rPr>
                <w:rFonts w:cs="Times New Roman"/>
                <w:b/>
                <w:bCs/>
                <w:i/>
                <w:sz w:val="20"/>
                <w:szCs w:val="20"/>
              </w:rPr>
              <w:t>Physical fitness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6MWT (m)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81.64*** (32.63, 130.64)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54.84* (5.34, 104.34)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-26.79 (-77.55, 23.97)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+++</w:t>
            </w:r>
          </w:p>
        </w:tc>
        <w:tc>
          <w:tcPr>
            <w:tcW w:w="641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240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Handgrip (kg)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1.06 (-4.90, 7.01)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1.19 (-5.00, 7.37)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0.13 (-6.11, 6.37)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Arm Curl (reps)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0.07 (-2.64, 2.78)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0.51 (-2.31, 3.34)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0.45 (-2.40, 3.29)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56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Chair Stand (reps)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0.87 (-0.83, 2.56)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0.67 (-1.08, 2.42)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-0.20 (-1.96, 1.57)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44"/>
          <w:jc w:val="center"/>
        </w:trPr>
        <w:tc>
          <w:tcPr>
            <w:tcW w:w="1915" w:type="dxa"/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rFonts w:cs="Times New Roman"/>
                <w:sz w:val="20"/>
                <w:szCs w:val="20"/>
              </w:rPr>
            </w:pPr>
            <w:r w:rsidRPr="00FD03EE">
              <w:rPr>
                <w:rFonts w:cs="Times New Roman"/>
                <w:sz w:val="20"/>
                <w:szCs w:val="20"/>
              </w:rPr>
              <w:t>Standing Jump (cm)</w:t>
            </w:r>
          </w:p>
        </w:tc>
        <w:tc>
          <w:tcPr>
            <w:tcW w:w="2247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20.59* (1.83, 39.35)</w:t>
            </w:r>
          </w:p>
        </w:tc>
        <w:tc>
          <w:tcPr>
            <w:tcW w:w="2242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F7D3F">
              <w:rPr>
                <w:rFonts w:cs="Times New Roman"/>
                <w:b/>
                <w:bCs/>
                <w:sz w:val="18"/>
                <w:szCs w:val="18"/>
              </w:rPr>
              <w:t>18.56 (-1.09, 38.21)</w:t>
            </w:r>
          </w:p>
        </w:tc>
        <w:tc>
          <w:tcPr>
            <w:tcW w:w="210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-2.02 (-21.85, 17.80)</w:t>
            </w:r>
          </w:p>
        </w:tc>
        <w:tc>
          <w:tcPr>
            <w:tcW w:w="708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641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++</w:t>
            </w:r>
          </w:p>
        </w:tc>
        <w:tc>
          <w:tcPr>
            <w:tcW w:w="726" w:type="dxa"/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F7D3F">
              <w:rPr>
                <w:rFonts w:cs="Times New Roman"/>
                <w:sz w:val="18"/>
                <w:szCs w:val="18"/>
              </w:rPr>
              <w:t>-</w:t>
            </w:r>
          </w:p>
        </w:tc>
      </w:tr>
    </w:tbl>
    <w:p w:rsidR="00CE70E7" w:rsidRDefault="00CE70E7" w:rsidP="00CE70E7">
      <w:pPr>
        <w:spacing w:before="40" w:after="200"/>
        <w:jc w:val="both"/>
        <w:rPr>
          <w:sz w:val="20"/>
        </w:rPr>
      </w:pPr>
    </w:p>
    <w:p w:rsidR="00CE70E7" w:rsidRDefault="00CE70E7" w:rsidP="00CE70E7">
      <w:pPr>
        <w:spacing w:before="40" w:after="200"/>
        <w:jc w:val="both"/>
      </w:pPr>
      <w:r>
        <w:rPr>
          <w:sz w:val="20"/>
        </w:rPr>
        <w:t xml:space="preserve">Mean differences are computed from paired-samples t-tests within the intervention group (complete-case sample). Significance: post-intervention vs pre-intervention: *p &lt; 0.05; **p &lt; 0.01; ***p &lt; 0.001. Retest vs pre-intervention: †p &lt; 0.05; ††p &lt; 0.01; †††p &lt; 0.001. Cohen's d is reported for all contrasts; values are interpreted as |d| ≤ 0.20 small, &gt; 0.20 to ≤ 0.50 moderate, &gt; 0.50 to ≤ 0.80 large, &gt; 0.80 very large (Cohen, 1992). </w:t>
      </w:r>
      <w:proofErr w:type="gramStart"/>
      <w:r>
        <w:rPr>
          <w:sz w:val="20"/>
        </w:rPr>
        <w:t>d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P→Po</w:t>
      </w:r>
      <w:proofErr w:type="spellEnd"/>
      <w:r>
        <w:rPr>
          <w:sz w:val="20"/>
        </w:rPr>
        <w:t xml:space="preserve">, Cohen's d for pre-to-post; d P→R, pre-to-retest; d </w:t>
      </w:r>
      <w:proofErr w:type="spellStart"/>
      <w:r>
        <w:rPr>
          <w:sz w:val="20"/>
        </w:rPr>
        <w:t>Po→R</w:t>
      </w:r>
      <w:proofErr w:type="spellEnd"/>
      <w:r>
        <w:rPr>
          <w:sz w:val="20"/>
        </w:rPr>
        <w:t>, post-to-retest.</w:t>
      </w:r>
    </w:p>
    <w:p w:rsidR="00CE70E7" w:rsidRDefault="00CE70E7" w:rsidP="00CE70E7">
      <w:pPr>
        <w:spacing w:after="200" w:line="276" w:lineRule="auto"/>
        <w:rPr>
          <w:b/>
          <w:sz w:val="22"/>
        </w:rPr>
      </w:pPr>
      <w:r>
        <w:rPr>
          <w:b/>
          <w:sz w:val="22"/>
        </w:rPr>
        <w:br w:type="page"/>
      </w:r>
    </w:p>
    <w:p w:rsidR="00CE70E7" w:rsidRPr="002F7D3F" w:rsidRDefault="00CE70E7" w:rsidP="00CE70E7">
      <w:pPr>
        <w:spacing w:before="160" w:after="80"/>
        <w:jc w:val="both"/>
        <w:rPr>
          <w:bCs/>
        </w:rPr>
      </w:pPr>
      <w:r>
        <w:rPr>
          <w:b/>
          <w:sz w:val="22"/>
        </w:rPr>
        <w:lastRenderedPageBreak/>
        <w:t xml:space="preserve">Table S3. </w:t>
      </w:r>
      <w:r w:rsidRPr="002F7D3F">
        <w:rPr>
          <w:bCs/>
          <w:sz w:val="22"/>
        </w:rPr>
        <w:t>Post-hoc test statistics for within-group changes (pre-to-post, pre-to-retest, post-to-retest) in the control group (CG, n = 15 for endocannabinoid biomarkers; n = 12 for the 6-minute walking test; complete cases).</w:t>
      </w: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1628"/>
        <w:gridCol w:w="2017"/>
        <w:gridCol w:w="2287"/>
        <w:gridCol w:w="2298"/>
        <w:gridCol w:w="761"/>
        <w:gridCol w:w="683"/>
        <w:gridCol w:w="783"/>
      </w:tblGrid>
      <w:tr w:rsidR="00CE70E7" w:rsidRPr="00FD03EE" w:rsidTr="00C9261C">
        <w:trPr>
          <w:trHeight w:val="490"/>
          <w:jc w:val="center"/>
        </w:trPr>
        <w:tc>
          <w:tcPr>
            <w:tcW w:w="167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D03EE">
              <w:rPr>
                <w:b/>
                <w:sz w:val="20"/>
                <w:szCs w:val="20"/>
              </w:rPr>
              <w:t>Outcome</w:t>
            </w:r>
          </w:p>
        </w:tc>
        <w:tc>
          <w:tcPr>
            <w:tcW w:w="208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D03EE">
              <w:rPr>
                <w:b/>
                <w:sz w:val="20"/>
                <w:szCs w:val="20"/>
              </w:rPr>
              <w:t>Pre→Post</w:t>
            </w:r>
            <w:proofErr w:type="spellEnd"/>
            <w:r w:rsidRPr="00FD03EE">
              <w:rPr>
                <w:b/>
                <w:sz w:val="20"/>
                <w:szCs w:val="20"/>
              </w:rPr>
              <w:t xml:space="preserve"> mean diff. (95% CI)</w:t>
            </w:r>
          </w:p>
        </w:tc>
        <w:tc>
          <w:tcPr>
            <w:tcW w:w="236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D03EE">
              <w:rPr>
                <w:b/>
                <w:sz w:val="20"/>
                <w:szCs w:val="20"/>
              </w:rPr>
              <w:t>Pre→Retest</w:t>
            </w:r>
            <w:proofErr w:type="spellEnd"/>
            <w:r w:rsidRPr="00FD03EE">
              <w:rPr>
                <w:b/>
                <w:sz w:val="20"/>
                <w:szCs w:val="20"/>
              </w:rPr>
              <w:t xml:space="preserve"> mean diff. (95% CI)</w:t>
            </w:r>
          </w:p>
        </w:tc>
        <w:tc>
          <w:tcPr>
            <w:tcW w:w="237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FD03EE">
              <w:rPr>
                <w:b/>
                <w:sz w:val="20"/>
                <w:szCs w:val="20"/>
              </w:rPr>
              <w:t>Post→Retest</w:t>
            </w:r>
            <w:proofErr w:type="spellEnd"/>
            <w:r w:rsidRPr="00FD03EE">
              <w:rPr>
                <w:b/>
                <w:sz w:val="20"/>
                <w:szCs w:val="20"/>
              </w:rPr>
              <w:t xml:space="preserve"> mean diff. </w:t>
            </w:r>
          </w:p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D03EE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48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D03EE">
              <w:rPr>
                <w:b/>
                <w:sz w:val="20"/>
                <w:szCs w:val="20"/>
              </w:rPr>
              <w:t xml:space="preserve">d </w:t>
            </w:r>
            <w:proofErr w:type="spellStart"/>
            <w:r w:rsidRPr="00FD03EE">
              <w:rPr>
                <w:b/>
                <w:sz w:val="20"/>
                <w:szCs w:val="20"/>
              </w:rPr>
              <w:t>P→Po</w:t>
            </w:r>
            <w:proofErr w:type="spellEnd"/>
          </w:p>
        </w:tc>
        <w:tc>
          <w:tcPr>
            <w:tcW w:w="68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D03EE">
              <w:rPr>
                <w:b/>
                <w:sz w:val="20"/>
                <w:szCs w:val="20"/>
              </w:rPr>
              <w:t>d P→R</w:t>
            </w:r>
          </w:p>
        </w:tc>
        <w:tc>
          <w:tcPr>
            <w:tcW w:w="78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D03EE">
              <w:rPr>
                <w:b/>
                <w:sz w:val="20"/>
                <w:szCs w:val="20"/>
              </w:rPr>
              <w:t xml:space="preserve">d </w:t>
            </w:r>
            <w:proofErr w:type="spellStart"/>
            <w:r w:rsidRPr="00FD03EE">
              <w:rPr>
                <w:b/>
                <w:sz w:val="20"/>
                <w:szCs w:val="20"/>
              </w:rPr>
              <w:t>Po→R</w:t>
            </w:r>
            <w:proofErr w:type="spellEnd"/>
          </w:p>
        </w:tc>
      </w:tr>
      <w:tr w:rsidR="00CE70E7" w:rsidRPr="002F7D3F" w:rsidTr="00C9261C">
        <w:trPr>
          <w:trHeight w:val="239"/>
          <w:jc w:val="center"/>
        </w:trPr>
        <w:tc>
          <w:tcPr>
            <w:tcW w:w="104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i/>
                <w:sz w:val="18"/>
                <w:szCs w:val="18"/>
              </w:rPr>
              <w:t>Endocannabinoid system biomarkers</w:t>
            </w:r>
          </w:p>
        </w:tc>
      </w:tr>
      <w:tr w:rsidR="00CE70E7" w:rsidRPr="002F7D3F" w:rsidTr="00C9261C">
        <w:trPr>
          <w:trHeight w:val="251"/>
          <w:jc w:val="center"/>
        </w:trPr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2-AG (ng/mL)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-1.44** (-2.34, -0.53)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-0.97* (-1.93, -0.02)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0.46 (-0.55, 1.48)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+++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</w:tr>
      <w:tr w:rsidR="00CE70E7" w:rsidRPr="002F7D3F" w:rsidTr="00C9261C">
        <w:trPr>
          <w:trHeight w:val="442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AEA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-0.03 (-0.10, 0.05)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-0.05 (-0.13, 0.02)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-0.03 (-0.11, 0.05)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OEA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-0.22 (-0.93, 0.50)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-0.42 (-1.17, 0.34)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-0.20 (-1.00, 0.60)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2-LG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-10.76** (-18.21, -3.31)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-7.39 (-15.26, 0.48)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3.37 (-4.98, 11.73)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2-OG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-13.41* (-24.36, -2.47)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-8.72 (-20.27, 2.83)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4.69 (-7.57, 16.96)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DEA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-0.01 (-0.03, 0.00)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-0.02* (-0.04, -0.00)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-0.00 (-0.02, 0.01)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DHEA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-0.08 (-0.21, 0.04)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-0.06 (-0.20, 0.08)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0.02 (-0.12, 0.17)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42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LEA (ng/mL)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-0.06 (-0.30, 0.17)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-0.14 (-0.38, 0.11)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-0.07 (-0.33, 0.19)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SEA (ng/mL)</w:t>
            </w: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0.10 (-0.15, 0.36)</w:t>
            </w:r>
          </w:p>
        </w:tc>
        <w:tc>
          <w:tcPr>
            <w:tcW w:w="2367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0.11 (-0.16, 0.38)</w:t>
            </w:r>
          </w:p>
        </w:tc>
        <w:tc>
          <w:tcPr>
            <w:tcW w:w="2373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0.01 (-0.28, 0.29)</w:t>
            </w:r>
          </w:p>
        </w:tc>
        <w:tc>
          <w:tcPr>
            <w:tcW w:w="486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683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90"/>
          <w:jc w:val="center"/>
        </w:trPr>
        <w:tc>
          <w:tcPr>
            <w:tcW w:w="1045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i/>
                <w:sz w:val="18"/>
                <w:szCs w:val="18"/>
              </w:rPr>
            </w:pPr>
          </w:p>
          <w:p w:rsidR="00CE70E7" w:rsidRPr="002F7D3F" w:rsidRDefault="00CE70E7" w:rsidP="00C9261C">
            <w:pPr>
              <w:spacing w:after="40" w:line="240" w:lineRule="auto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i/>
                <w:sz w:val="18"/>
                <w:szCs w:val="18"/>
              </w:rPr>
              <w:t>Physical fitness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6MWT (m)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4.14 (-58.58, 66.87)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7.70 (-59.23, 74.63)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3.56 (-69.01, 76.13)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Handgrip (kg)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-1.96 (-9.45, 5.53)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0.27 (-7.51, 8.05)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2.23 (-6.14, 10.61)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Arm Curl (reps)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-0.16 (-3.42, 3.09)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-2.08 (-5.54, 1.37)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-1.92 (-5.60, 1.75)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</w:tr>
      <w:tr w:rsidR="00CE70E7" w:rsidRPr="002F7D3F" w:rsidTr="00C9261C">
        <w:trPr>
          <w:trHeight w:val="454"/>
          <w:jc w:val="center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Chair Stand (reps)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F7D3F">
              <w:rPr>
                <w:b/>
                <w:bCs/>
                <w:sz w:val="18"/>
                <w:szCs w:val="18"/>
              </w:rPr>
              <w:t>1.35 (-0.76, 3.46)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-0.22 (-2.38, 1.93)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-1.57 (-3.94, 0.79)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++</w:t>
            </w:r>
          </w:p>
        </w:tc>
      </w:tr>
      <w:tr w:rsidR="00CE70E7" w:rsidRPr="002F7D3F" w:rsidTr="00C9261C">
        <w:trPr>
          <w:trHeight w:val="442"/>
          <w:jc w:val="center"/>
        </w:trPr>
        <w:tc>
          <w:tcPr>
            <w:tcW w:w="167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FD03EE" w:rsidRDefault="00CE70E7" w:rsidP="00C9261C">
            <w:pPr>
              <w:spacing w:after="40" w:line="240" w:lineRule="auto"/>
              <w:rPr>
                <w:sz w:val="20"/>
                <w:szCs w:val="20"/>
              </w:rPr>
            </w:pPr>
            <w:r w:rsidRPr="00FD03EE">
              <w:rPr>
                <w:sz w:val="20"/>
                <w:szCs w:val="20"/>
              </w:rPr>
              <w:t>Standing Jump (cm)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-4.88 (-34.08, 24.32)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3.76 (-34.54, 42.06)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8.64 (-32.19, 49.48)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+</w:t>
            </w:r>
          </w:p>
        </w:tc>
      </w:tr>
    </w:tbl>
    <w:p w:rsidR="00CE70E7" w:rsidRDefault="00CE70E7" w:rsidP="00CE70E7">
      <w:pPr>
        <w:spacing w:before="40" w:after="200"/>
        <w:jc w:val="both"/>
        <w:rPr>
          <w:sz w:val="20"/>
        </w:rPr>
      </w:pPr>
    </w:p>
    <w:p w:rsidR="00CE70E7" w:rsidRDefault="00CE70E7" w:rsidP="00CE70E7">
      <w:pPr>
        <w:spacing w:before="40" w:after="200"/>
        <w:jc w:val="both"/>
      </w:pPr>
      <w:r>
        <w:rPr>
          <w:sz w:val="20"/>
        </w:rPr>
        <w:t xml:space="preserve">Mean differences are computed from paired-samples t-tests within the control group (complete-case sample). Significance: post-intervention vs pre-intervention: *p &lt; 0.05; **p &lt; 0.01; ***p &lt; 0.001. Retest vs pre-intervention: †p &lt; 0.05; ††p &lt; 0.01; †††p &lt; 0.001. Cohen's d is reported for all contrasts; values are interpreted as |d| ≤ 0.20 small, &gt; 0.20 to ≤ 0.50 moderate, &gt; 0.50 to ≤ 0.80 large, &gt; 0.80 very large (Cohen, 1992). </w:t>
      </w:r>
      <w:proofErr w:type="gramStart"/>
      <w:r>
        <w:rPr>
          <w:sz w:val="20"/>
        </w:rPr>
        <w:t>d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P→Po</w:t>
      </w:r>
      <w:proofErr w:type="spellEnd"/>
      <w:r>
        <w:rPr>
          <w:sz w:val="20"/>
        </w:rPr>
        <w:t xml:space="preserve">, Cohen's d for pre-to-post; d P→R, pre-to-retest; d </w:t>
      </w:r>
      <w:proofErr w:type="spellStart"/>
      <w:r>
        <w:rPr>
          <w:sz w:val="20"/>
        </w:rPr>
        <w:t>Po→R</w:t>
      </w:r>
      <w:proofErr w:type="spellEnd"/>
      <w:r>
        <w:rPr>
          <w:sz w:val="20"/>
        </w:rPr>
        <w:t>, post-to-retest.</w:t>
      </w:r>
    </w:p>
    <w:p w:rsidR="00CE70E7" w:rsidRDefault="00CE70E7" w:rsidP="00CE70E7">
      <w:pPr>
        <w:spacing w:after="200" w:line="276" w:lineRule="auto"/>
        <w:rPr>
          <w:b/>
          <w:sz w:val="22"/>
        </w:rPr>
      </w:pPr>
      <w:r>
        <w:rPr>
          <w:b/>
          <w:sz w:val="22"/>
        </w:rPr>
        <w:br w:type="page"/>
      </w:r>
    </w:p>
    <w:p w:rsidR="00CE70E7" w:rsidRPr="002F7D3F" w:rsidRDefault="00CE70E7" w:rsidP="00CE70E7">
      <w:pPr>
        <w:spacing w:before="160" w:after="80"/>
        <w:jc w:val="both"/>
        <w:rPr>
          <w:bCs/>
        </w:rPr>
      </w:pPr>
      <w:r>
        <w:rPr>
          <w:b/>
          <w:sz w:val="22"/>
        </w:rPr>
        <w:lastRenderedPageBreak/>
        <w:t xml:space="preserve">Table S4. </w:t>
      </w:r>
      <w:r w:rsidRPr="002F7D3F">
        <w:rPr>
          <w:bCs/>
          <w:sz w:val="22"/>
        </w:rPr>
        <w:t>Sensitivity analysis — comparison of the primary 2 × 3 repeated-measures ANOVA (per-protocol completers) and the mixed-effects intention-to-treat model for the time × group interaction.</w:t>
      </w:r>
    </w:p>
    <w:tbl>
      <w:tblPr>
        <w:tblW w:w="10031" w:type="dxa"/>
        <w:jc w:val="center"/>
        <w:tblLook w:val="04A0" w:firstRow="1" w:lastRow="0" w:firstColumn="1" w:lastColumn="0" w:noHBand="0" w:noVBand="1"/>
      </w:tblPr>
      <w:tblGrid>
        <w:gridCol w:w="1384"/>
        <w:gridCol w:w="3040"/>
        <w:gridCol w:w="3055"/>
        <w:gridCol w:w="2552"/>
      </w:tblGrid>
      <w:tr w:rsidR="00CE70E7" w:rsidRPr="002F7D3F" w:rsidTr="00C9261C">
        <w:trPr>
          <w:jc w:val="center"/>
        </w:trPr>
        <w:tc>
          <w:tcPr>
            <w:tcW w:w="13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b/>
                <w:sz w:val="18"/>
                <w:szCs w:val="18"/>
              </w:rPr>
              <w:t>Outcome</w:t>
            </w:r>
          </w:p>
        </w:tc>
        <w:tc>
          <w:tcPr>
            <w:tcW w:w="30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b/>
                <w:sz w:val="18"/>
                <w:szCs w:val="18"/>
              </w:rPr>
              <w:t>RM-ANOVA (primary)</w:t>
            </w:r>
            <w:r w:rsidRPr="002F7D3F">
              <w:rPr>
                <w:b/>
                <w:sz w:val="18"/>
                <w:szCs w:val="18"/>
              </w:rPr>
              <w:br/>
              <w:t>F, p, η²p</w:t>
            </w:r>
          </w:p>
        </w:tc>
        <w:tc>
          <w:tcPr>
            <w:tcW w:w="30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b/>
                <w:sz w:val="18"/>
                <w:szCs w:val="18"/>
              </w:rPr>
              <w:t>Mixed-effects ITT (sensitivity)</w:t>
            </w:r>
          </w:p>
        </w:tc>
        <w:tc>
          <w:tcPr>
            <w:tcW w:w="255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b/>
                <w:sz w:val="18"/>
                <w:szCs w:val="18"/>
              </w:rPr>
              <w:t>Conclusion</w:t>
            </w:r>
          </w:p>
        </w:tc>
      </w:tr>
      <w:tr w:rsidR="00CE70E7" w:rsidRPr="002F7D3F" w:rsidTr="00C9261C">
        <w:trPr>
          <w:jc w:val="center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2-AG (ng/mL)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F(2,88) = 0.17, p = 0.844, η²p = 0.004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Concordant — non-significant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Time × group interaction not significant in either analysis.</w:t>
            </w:r>
          </w:p>
        </w:tc>
      </w:tr>
      <w:tr w:rsidR="00CE70E7" w:rsidRPr="002F7D3F" w:rsidTr="00C9261C">
        <w:trPr>
          <w:jc w:val="center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AEA (ng/mL)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F(2,88) = 1.20, p = 0.306, η²p = 0.027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Concordant — non-significant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Time × group interaction not significant in either analysis.</w:t>
            </w:r>
          </w:p>
        </w:tc>
      </w:tr>
      <w:tr w:rsidR="00CE70E7" w:rsidRPr="002F7D3F" w:rsidTr="00C9261C">
        <w:trPr>
          <w:jc w:val="center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6MWT (m)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F(2,78) = 7.88, p = 0.001, η²p = 0.168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Concordant — significant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Robust to choice of analysis; survives Holm–Bonferroni correction across primary tests.</w:t>
            </w:r>
          </w:p>
        </w:tc>
      </w:tr>
      <w:tr w:rsidR="00CE70E7" w:rsidRPr="002F7D3F" w:rsidTr="00C9261C">
        <w:trPr>
          <w:jc w:val="center"/>
        </w:trPr>
        <w:tc>
          <w:tcPr>
            <w:tcW w:w="138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Arm curl (reps)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F(2,78) = 2.83, p = 0.065, η²p = 0.068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Concordant — non-significant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CE70E7" w:rsidRPr="002F7D3F" w:rsidRDefault="00CE70E7" w:rsidP="00C9261C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2F7D3F">
              <w:rPr>
                <w:sz w:val="18"/>
                <w:szCs w:val="18"/>
              </w:rPr>
              <w:t>Exploratory; non-significant in both analyses; should be replicated.</w:t>
            </w:r>
          </w:p>
        </w:tc>
      </w:tr>
    </w:tbl>
    <w:p w:rsidR="00CE70E7" w:rsidRDefault="00CE70E7" w:rsidP="00CE70E7">
      <w:pPr>
        <w:spacing w:before="40" w:after="200"/>
        <w:jc w:val="both"/>
        <w:rPr>
          <w:sz w:val="20"/>
        </w:rPr>
      </w:pPr>
    </w:p>
    <w:p w:rsidR="00CE70E7" w:rsidRDefault="00CE70E7" w:rsidP="00CE70E7">
      <w:pPr>
        <w:spacing w:before="40" w:after="200"/>
        <w:jc w:val="both"/>
      </w:pPr>
      <w:r>
        <w:rPr>
          <w:sz w:val="20"/>
        </w:rPr>
        <w:t>The 2 × 3 repeated-measures ANOVA on participants completing all three assessments is the primary analysis reported in the main manuscript (Table 2); the mixed-effects intention-to-treat model fitted with fixed effects for time × group, age and sex, and a random intercept per participant on all randomized participants with at least one observation is reported here as a sensitivity analysis.</w:t>
      </w:r>
    </w:p>
    <w:p w:rsidR="00D50007" w:rsidRDefault="00CE70E7"/>
    <w:sectPr w:rsidR="00D50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E7"/>
    <w:rsid w:val="00CE70E7"/>
    <w:rsid w:val="00D2409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BA1A1-5A8D-4EC4-9A16-BC43F911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0E7"/>
    <w:pPr>
      <w:spacing w:after="120" w:line="480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0E7"/>
    <w:pPr>
      <w:ind w:left="720"/>
      <w:contextualSpacing/>
    </w:pPr>
  </w:style>
  <w:style w:type="table" w:styleId="TableGrid">
    <w:name w:val="Table Grid"/>
    <w:basedOn w:val="TableNormal"/>
    <w:uiPriority w:val="39"/>
    <w:rsid w:val="00CE70E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937</Words>
  <Characters>5341</Characters>
  <Application>Microsoft Office Word</Application>
  <DocSecurity>0</DocSecurity>
  <Lines>44</Lines>
  <Paragraphs>12</Paragraphs>
  <ScaleCrop>false</ScaleCrop>
  <Company>HP Inc.</Company>
  <LinksUpToDate>false</LinksUpToDate>
  <CharactersWithSpaces>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Kishore K</dc:creator>
  <cp:keywords/>
  <dc:description/>
  <cp:lastModifiedBy>Kishore K</cp:lastModifiedBy>
  <cp:revision>1</cp:revision>
  <dcterms:created xsi:type="dcterms:W3CDTF">2026-07-13T09:43:00Z</dcterms:created>
  <dcterms:modified xsi:type="dcterms:W3CDTF">2026-07-13T09:45:00Z</dcterms:modified>
</cp:coreProperties>
</file>