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65DE1">
      <w:pPr>
        <w:suppressLineNumbers/>
        <w:spacing w:before="240" w:after="120" w:line="240" w:lineRule="auto"/>
        <w:jc w:val="center"/>
        <w:rPr>
          <w:rFonts w:ascii="Times New Roman" w:hAnsi="Times New Roman" w:eastAsia="Calibri" w:cs="Times New Roman"/>
          <w:b/>
          <w:i/>
          <w:sz w:val="32"/>
          <w:szCs w:val="32"/>
          <w:lang w:val="en-US" w:eastAsia="en-US" w:bidi="ar-SA"/>
        </w:rPr>
      </w:pPr>
      <w:r>
        <w:rPr>
          <w:rFonts w:ascii="Times New Roman" w:hAnsi="Times New Roman" w:eastAsia="Calibri" w:cs="Times New Roman"/>
          <w:b/>
          <w:i/>
          <w:sz w:val="32"/>
          <w:szCs w:val="32"/>
          <w:lang w:val="en-US" w:eastAsia="en-US" w:bidi="ar-SA"/>
        </w:rPr>
        <w:t>Supplementary Material</w:t>
      </w:r>
    </w:p>
    <w:p w14:paraId="66FE09E0">
      <w:pPr>
        <w:rPr>
          <w:rFonts w:hint="eastAsia" w:eastAsiaTheme="minorEastAsia"/>
          <w:lang w:eastAsia="zh-CN"/>
        </w:rPr>
      </w:pPr>
      <w:r>
        <w:rPr>
          <w:rFonts w:hint="eastAsia" w:eastAsiaTheme="minorEastAsia"/>
          <w:lang w:eastAsia="zh-CN"/>
        </w:rPr>
        <w:drawing>
          <wp:inline distT="0" distB="0" distL="114300" distR="114300">
            <wp:extent cx="5266690" cy="5852160"/>
            <wp:effectExtent l="0" t="0" r="6350" b="0"/>
            <wp:docPr id="1" name="图片 1" descr="gsa_plot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gsa_plot_01"/>
                    <pic:cNvPicPr>
                      <a:picLocks noChangeAspect="1"/>
                    </pic:cNvPicPr>
                  </pic:nvPicPr>
                  <pic:blipFill>
                    <a:blip r:embed="rId4"/>
                    <a:stretch>
                      <a:fillRect/>
                    </a:stretch>
                  </pic:blipFill>
                  <pic:spPr>
                    <a:xfrm>
                      <a:off x="0" y="0"/>
                      <a:ext cx="5266690" cy="5852160"/>
                    </a:xfrm>
                    <a:prstGeom prst="rect">
                      <a:avLst/>
                    </a:prstGeom>
                  </pic:spPr>
                </pic:pic>
              </a:graphicData>
            </a:graphic>
          </wp:inline>
        </w:drawing>
      </w:r>
    </w:p>
    <w:p w14:paraId="57CE7A03">
      <w:pPr>
        <w:rPr>
          <w:rFonts w:hint="default" w:ascii="Times New Roman" w:hAnsi="Times New Roman" w:cs="Times New Roman"/>
          <w:b w:val="0"/>
          <w:bCs/>
          <w:sz w:val="24"/>
          <w:szCs w:val="24"/>
        </w:rPr>
      </w:pPr>
      <w:r>
        <w:rPr>
          <w:rFonts w:hint="default" w:ascii="Times New Roman" w:hAnsi="Times New Roman" w:cs="Times New Roman"/>
          <w:b/>
          <w:bCs w:val="0"/>
          <w:sz w:val="24"/>
          <w:szCs w:val="24"/>
        </w:rPr>
        <w:t xml:space="preserve">Supplementary Figure </w:t>
      </w:r>
      <w:r>
        <w:rPr>
          <w:rFonts w:hint="eastAsia" w:ascii="Times New Roman" w:hAnsi="Times New Roman" w:cs="Times New Roman"/>
          <w:b/>
          <w:bCs w:val="0"/>
          <w:sz w:val="24"/>
          <w:szCs w:val="24"/>
          <w:lang w:val="en-US" w:eastAsia="zh-CN"/>
        </w:rPr>
        <w:t>S</w:t>
      </w:r>
      <w:r>
        <w:rPr>
          <w:rFonts w:hint="default" w:ascii="Times New Roman" w:hAnsi="Times New Roman" w:cs="Times New Roman"/>
          <w:b/>
          <w:bCs w:val="0"/>
          <w:sz w:val="24"/>
          <w:szCs w:val="24"/>
        </w:rPr>
        <w:fldChar w:fldCharType="begin"/>
      </w:r>
      <w:r>
        <w:rPr>
          <w:rFonts w:hint="default" w:ascii="Times New Roman" w:hAnsi="Times New Roman" w:cs="Times New Roman"/>
          <w:b/>
          <w:bCs w:val="0"/>
          <w:sz w:val="24"/>
          <w:szCs w:val="24"/>
        </w:rPr>
        <w:instrText xml:space="preserve"> SEQ Figure \* ARABIC </w:instrText>
      </w:r>
      <w:r>
        <w:rPr>
          <w:rFonts w:hint="default" w:ascii="Times New Roman" w:hAnsi="Times New Roman" w:cs="Times New Roman"/>
          <w:b/>
          <w:bCs w:val="0"/>
          <w:sz w:val="24"/>
          <w:szCs w:val="24"/>
        </w:rPr>
        <w:fldChar w:fldCharType="separate"/>
      </w:r>
      <w:r>
        <w:rPr>
          <w:rFonts w:hint="default" w:ascii="Times New Roman" w:hAnsi="Times New Roman" w:cs="Times New Roman"/>
          <w:b/>
          <w:bCs w:val="0"/>
          <w:sz w:val="24"/>
          <w:szCs w:val="24"/>
        </w:rPr>
        <w:t>1</w:t>
      </w:r>
      <w:r>
        <w:rPr>
          <w:rFonts w:hint="default" w:ascii="Times New Roman" w:hAnsi="Times New Roman" w:cs="Times New Roman"/>
          <w:b/>
          <w:bCs w:val="0"/>
          <w:sz w:val="24"/>
          <w:szCs w:val="24"/>
        </w:rPr>
        <w:fldChar w:fldCharType="end"/>
      </w:r>
      <w:r>
        <w:rPr>
          <w:rFonts w:hint="default" w:ascii="Times New Roman" w:hAnsi="Times New Roman" w:cs="Times New Roman"/>
          <w:b/>
          <w:bCs w:val="0"/>
          <w:sz w:val="24"/>
          <w:szCs w:val="24"/>
        </w:rPr>
        <w:t>.</w:t>
      </w:r>
      <w:r>
        <w:rPr>
          <w:rFonts w:hint="eastAsia" w:ascii="Times New Roman" w:hAnsi="Times New Roman" w:cs="Times New Roman"/>
          <w:b/>
          <w:bCs w:val="0"/>
          <w:sz w:val="24"/>
          <w:szCs w:val="24"/>
          <w:lang w:val="en-US" w:eastAsia="zh-CN"/>
        </w:rPr>
        <w:t xml:space="preserve"> </w:t>
      </w:r>
      <w:r>
        <w:rPr>
          <w:rFonts w:hint="default" w:ascii="Times New Roman" w:hAnsi="Times New Roman" w:cs="Times New Roman"/>
          <w:b w:val="0"/>
          <w:bCs/>
          <w:sz w:val="24"/>
          <w:szCs w:val="24"/>
        </w:rPr>
        <w:t>pathway enrichment analysis</w:t>
      </w:r>
    </w:p>
    <w:p w14:paraId="6277A7BE">
      <w:pPr>
        <w:rPr>
          <w:rFonts w:hint="eastAsia" w:ascii="Times New Roman" w:hAnsi="Times New Roman" w:cs="Times New Roman" w:eastAsiaTheme="minorEastAsia"/>
          <w:b w:val="0"/>
          <w:bCs/>
          <w:sz w:val="24"/>
          <w:szCs w:val="24"/>
          <w:lang w:eastAsia="zh-CN"/>
        </w:rPr>
      </w:pPr>
      <w:r>
        <w:rPr>
          <w:rFonts w:hint="eastAsia" w:ascii="Times New Roman" w:hAnsi="Times New Roman" w:cs="Times New Roman" w:eastAsiaTheme="minorEastAsia"/>
          <w:b w:val="0"/>
          <w:bCs/>
          <w:sz w:val="24"/>
          <w:szCs w:val="24"/>
          <w:lang w:eastAsia="zh-CN"/>
        </w:rPr>
        <w:drawing>
          <wp:inline distT="0" distB="0" distL="114300" distR="114300">
            <wp:extent cx="5266690" cy="4096385"/>
            <wp:effectExtent l="0" t="0" r="6350" b="3175"/>
            <wp:docPr id="2" name="图片 2" descr="Tissue_specific_gsa_plot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issue_specific_gsa_plot_01"/>
                    <pic:cNvPicPr>
                      <a:picLocks noChangeAspect="1"/>
                    </pic:cNvPicPr>
                  </pic:nvPicPr>
                  <pic:blipFill>
                    <a:blip r:embed="rId5"/>
                    <a:stretch>
                      <a:fillRect/>
                    </a:stretch>
                  </pic:blipFill>
                  <pic:spPr>
                    <a:xfrm>
                      <a:off x="0" y="0"/>
                      <a:ext cx="5266690" cy="4096385"/>
                    </a:xfrm>
                    <a:prstGeom prst="rect">
                      <a:avLst/>
                    </a:prstGeom>
                  </pic:spPr>
                </pic:pic>
              </a:graphicData>
            </a:graphic>
          </wp:inline>
        </w:drawing>
      </w:r>
    </w:p>
    <w:p w14:paraId="5C4DF3C6">
      <w:pPr>
        <w:rPr>
          <w:rFonts w:hint="default" w:ascii="Times New Roman" w:hAnsi="Times New Roman" w:cs="Times New Roman"/>
          <w:b w:val="0"/>
          <w:bCs/>
          <w:sz w:val="24"/>
          <w:szCs w:val="24"/>
        </w:rPr>
      </w:pPr>
      <w:r>
        <w:rPr>
          <w:rFonts w:hint="default" w:ascii="Times New Roman" w:hAnsi="Times New Roman" w:cs="Times New Roman"/>
          <w:b/>
          <w:bCs w:val="0"/>
          <w:sz w:val="24"/>
          <w:szCs w:val="24"/>
        </w:rPr>
        <w:t xml:space="preserve">Supplementary Figure </w:t>
      </w:r>
      <w:r>
        <w:rPr>
          <w:rFonts w:hint="eastAsia" w:ascii="Times New Roman" w:hAnsi="Times New Roman" w:cs="Times New Roman"/>
          <w:b/>
          <w:bCs w:val="0"/>
          <w:sz w:val="24"/>
          <w:szCs w:val="24"/>
          <w:lang w:val="en-US" w:eastAsia="zh-CN"/>
        </w:rPr>
        <w:t>S2</w:t>
      </w:r>
      <w:r>
        <w:rPr>
          <w:rFonts w:hint="default" w:ascii="Times New Roman" w:hAnsi="Times New Roman" w:cs="Times New Roman"/>
          <w:b/>
          <w:bCs w:val="0"/>
          <w:sz w:val="24"/>
          <w:szCs w:val="24"/>
        </w:rPr>
        <w:t>.</w:t>
      </w:r>
      <w:r>
        <w:rPr>
          <w:rFonts w:hint="eastAsia" w:ascii="Times New Roman" w:hAnsi="Times New Roman" w:cs="Times New Roman"/>
          <w:b/>
          <w:bCs w:val="0"/>
          <w:sz w:val="24"/>
          <w:szCs w:val="24"/>
          <w:lang w:val="en-US" w:eastAsia="zh-CN"/>
        </w:rPr>
        <w:t xml:space="preserve"> </w:t>
      </w:r>
      <w:r>
        <w:rPr>
          <w:rFonts w:hint="default" w:ascii="Times New Roman" w:hAnsi="Times New Roman" w:cs="Times New Roman"/>
          <w:b w:val="0"/>
          <w:bCs/>
          <w:sz w:val="24"/>
          <w:szCs w:val="24"/>
        </w:rPr>
        <w:t>Tissue-specific enrichment analysis</w:t>
      </w:r>
    </w:p>
    <w:p w14:paraId="38A2226D">
      <w:pPr>
        <w:rPr>
          <w:rFonts w:hint="default" w:ascii="Times New Roman" w:hAnsi="Times New Roman" w:cs="Times New Roman"/>
          <w:b w:val="0"/>
          <w:bCs/>
          <w:sz w:val="24"/>
          <w:szCs w:val="24"/>
        </w:rPr>
      </w:pPr>
    </w:p>
    <w:p w14:paraId="6D2CAF1B">
      <w:pPr>
        <w:rPr>
          <w:rFonts w:hint="eastAsia" w:ascii="Times New Roman" w:hAnsi="Times New Roman" w:cs="Times New Roman"/>
          <w:b w:val="0"/>
          <w:bCs/>
          <w:sz w:val="24"/>
          <w:szCs w:val="24"/>
          <w:lang w:eastAsia="zh-CN"/>
        </w:rPr>
      </w:pPr>
      <w:r>
        <w:rPr>
          <w:rFonts w:hint="eastAsia" w:ascii="Times New Roman" w:hAnsi="Times New Roman" w:cs="Times New Roman"/>
          <w:b w:val="0"/>
          <w:bCs/>
          <w:sz w:val="24"/>
          <w:szCs w:val="24"/>
          <w:lang w:eastAsia="zh-CN"/>
        </w:rPr>
        <w:drawing>
          <wp:inline distT="0" distB="0" distL="114300" distR="114300">
            <wp:extent cx="5269865" cy="3346450"/>
            <wp:effectExtent l="0" t="0" r="3175" b="6350"/>
            <wp:docPr id="3" name="图片 3" descr="Supplementary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ure 3"/>
                    <pic:cNvPicPr>
                      <a:picLocks noChangeAspect="1"/>
                    </pic:cNvPicPr>
                  </pic:nvPicPr>
                  <pic:blipFill>
                    <a:blip r:embed="rId6"/>
                    <a:stretch>
                      <a:fillRect/>
                    </a:stretch>
                  </pic:blipFill>
                  <pic:spPr>
                    <a:xfrm>
                      <a:off x="0" y="0"/>
                      <a:ext cx="5269865" cy="3346450"/>
                    </a:xfrm>
                    <a:prstGeom prst="rect">
                      <a:avLst/>
                    </a:prstGeom>
                  </pic:spPr>
                </pic:pic>
              </a:graphicData>
            </a:graphic>
          </wp:inline>
        </w:drawing>
      </w:r>
    </w:p>
    <w:p w14:paraId="601AC137">
      <w:pPr>
        <w:rPr>
          <w:rFonts w:hint="eastAsia" w:ascii="Times New Roman" w:hAnsi="Times New Roman" w:cs="Times New Roman"/>
          <w:b w:val="0"/>
          <w:bCs/>
          <w:sz w:val="24"/>
          <w:szCs w:val="24"/>
          <w:lang w:eastAsia="zh-CN"/>
        </w:rPr>
      </w:pPr>
    </w:p>
    <w:p w14:paraId="58941A7D">
      <w:pPr>
        <w:rPr>
          <w:rFonts w:hint="eastAsia" w:ascii="Times New Roman" w:hAnsi="Times New Roman" w:cs="Times New Roman"/>
          <w:b w:val="0"/>
          <w:bCs/>
          <w:sz w:val="24"/>
          <w:szCs w:val="24"/>
          <w:lang w:eastAsia="zh-CN"/>
        </w:rPr>
      </w:pPr>
      <w:r>
        <w:rPr>
          <w:rFonts w:hint="eastAsia" w:ascii="Times New Roman" w:hAnsi="Times New Roman" w:cs="Times New Roman"/>
          <w:b/>
          <w:bCs w:val="0"/>
          <w:sz w:val="24"/>
          <w:szCs w:val="24"/>
          <w:lang w:eastAsia="zh-CN"/>
        </w:rPr>
        <w:t xml:space="preserve">Supplementary Figure </w:t>
      </w:r>
      <w:r>
        <w:rPr>
          <w:rFonts w:hint="eastAsia" w:ascii="Times New Roman" w:hAnsi="Times New Roman" w:cs="Times New Roman"/>
          <w:b/>
          <w:bCs w:val="0"/>
          <w:sz w:val="24"/>
          <w:szCs w:val="24"/>
          <w:lang w:val="en-US" w:eastAsia="zh-CN"/>
        </w:rPr>
        <w:t>S</w:t>
      </w:r>
      <w:bookmarkStart w:id="0" w:name="_GoBack"/>
      <w:bookmarkEnd w:id="0"/>
      <w:r>
        <w:rPr>
          <w:rFonts w:hint="eastAsia" w:ascii="Times New Roman" w:hAnsi="Times New Roman" w:cs="Times New Roman"/>
          <w:b/>
          <w:bCs w:val="0"/>
          <w:sz w:val="24"/>
          <w:szCs w:val="24"/>
          <w:lang w:eastAsia="zh-CN"/>
        </w:rPr>
        <w:t xml:space="preserve">3. </w:t>
      </w:r>
      <w:r>
        <w:rPr>
          <w:rFonts w:hint="eastAsia" w:ascii="Times New Roman" w:hAnsi="Times New Roman" w:cs="Times New Roman"/>
          <w:b w:val="0"/>
          <w:bCs/>
          <w:sz w:val="24"/>
          <w:szCs w:val="24"/>
          <w:lang w:eastAsia="zh-CN"/>
        </w:rPr>
        <w:t>Single-nucleus expression patterns of candidate genes in the BA10 cortex. (A) UMAP of annotated cell types. (B) Dot plot of candidate gene expression across cell types and groups. (C) Nebulosa density plots of candidate gene expression. (D) Group-level comparison of candidate gene expression between BD and controls.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6261E5"/>
    <w:rsid w:val="038B175F"/>
    <w:rsid w:val="071F2A3E"/>
    <w:rsid w:val="19506159"/>
    <w:rsid w:val="29C33305"/>
    <w:rsid w:val="2FE1332D"/>
    <w:rsid w:val="3DB632D9"/>
    <w:rsid w:val="50A91D0A"/>
    <w:rsid w:val="52CB2BE5"/>
    <w:rsid w:val="556E19AD"/>
    <w:rsid w:val="656261E5"/>
    <w:rsid w:val="69076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64</Words>
  <Characters>413</Characters>
  <Lines>0</Lines>
  <Paragraphs>0</Paragraphs>
  <TotalTime>6</TotalTime>
  <ScaleCrop>false</ScaleCrop>
  <LinksUpToDate>false</LinksUpToDate>
  <CharactersWithSpaces>473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2025-08-06T11:09:00Z</dcterms:created>
  <dc:creator>等风来</dc:creator>
  <cp:lastModifiedBy>等风来</cp:lastModifiedBy>
  <dcterms:modified xsi:type="dcterms:W3CDTF">2026-08-02T01:55:56Z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6A2ECF1D155448178D918373AB5B8BBE_11</vt:lpwstr>
  </property>
  <property fmtid="{D5CDD505-2E9C-101B-9397-08002B2CF9AE}" pid="4" name="KSOTemplateDocerSaveRecord">
    <vt:lpwstr>eyJoZGlkIjoiZGNjZjAxMGEyZWJjZDc4MDBiYTg5NWVmNWNmMmM1YzAiLCJ1c2VySWQiOiI0MTQ1MDkyNzAifQ==</vt:lpwstr>
  </property>
</Properties>
</file>