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4EAC77" w14:textId="77777777" w:rsidR="00255A47" w:rsidRPr="00952DD1" w:rsidRDefault="00255A47">
      <w:pPr>
        <w:rPr>
          <w:b/>
        </w:rPr>
      </w:pPr>
      <w:bookmarkStart w:id="0" w:name="_GoBack"/>
      <w:bookmarkEnd w:id="0"/>
      <w:r w:rsidRPr="00952DD1">
        <w:rPr>
          <w:b/>
        </w:rPr>
        <w:t>Additional methods</w:t>
      </w:r>
    </w:p>
    <w:p w14:paraId="463B2F44" w14:textId="77777777" w:rsidR="00703EB0" w:rsidRPr="00952DD1" w:rsidRDefault="00703EB0" w:rsidP="00703EB0">
      <w:pPr>
        <w:rPr>
          <w:b/>
          <w:szCs w:val="22"/>
        </w:rPr>
      </w:pPr>
    </w:p>
    <w:p w14:paraId="67911BF7" w14:textId="30E185C3" w:rsidR="00703EB0" w:rsidRDefault="00703EB0" w:rsidP="00703EB0">
      <w:pPr>
        <w:rPr>
          <w:b/>
          <w:szCs w:val="22"/>
        </w:rPr>
      </w:pPr>
      <w:r w:rsidRPr="00952DD1">
        <w:rPr>
          <w:b/>
          <w:szCs w:val="22"/>
        </w:rPr>
        <w:t>Health</w:t>
      </w:r>
      <w:r w:rsidR="00F56D8F">
        <w:rPr>
          <w:b/>
          <w:szCs w:val="22"/>
        </w:rPr>
        <w:t>y</w:t>
      </w:r>
      <w:r w:rsidRPr="00952DD1">
        <w:rPr>
          <w:b/>
          <w:szCs w:val="22"/>
        </w:rPr>
        <w:t xml:space="preserve"> control data</w:t>
      </w:r>
    </w:p>
    <w:p w14:paraId="44EAD1E2" w14:textId="77777777" w:rsidR="00A93ADC" w:rsidRPr="00952DD1" w:rsidRDefault="00A93ADC" w:rsidP="00703EB0">
      <w:pPr>
        <w:rPr>
          <w:b/>
          <w:szCs w:val="22"/>
        </w:rPr>
      </w:pPr>
    </w:p>
    <w:p w14:paraId="7F82AE4E" w14:textId="77777777" w:rsidR="00703EB0" w:rsidRDefault="00703EB0" w:rsidP="00703EB0">
      <w:r>
        <w:t xml:space="preserve">47 healthy volunteers were recruited.  The mean age of volunteers was 21.6 years (range 3.2-51.3), 20 patients were children and young people under the age of 16, and 24 were adults. There were 22 males, mean height was 148cm (range 88cm to 183cm) weight was 50.7kg (range of 15.3kg to 93.6kg). </w:t>
      </w:r>
    </w:p>
    <w:p w14:paraId="5365D30E" w14:textId="77777777" w:rsidR="00A93ADC" w:rsidRDefault="00A93ADC" w:rsidP="00703EB0"/>
    <w:p w14:paraId="3F7FC586" w14:textId="2CAAD1E5" w:rsidR="00703EB0" w:rsidRDefault="00703EB0" w:rsidP="00703EB0">
      <w:r>
        <w:t>41 of 44 subjects completed three washouts, and three completed two washouts.  The three who did not perform the full three washouts were all children who declined to continue after the second washout.  Six subjects who completed three washouts had one repeat discarded, either due to poor quality of the trace (due to cough, leaks, or non-tidal breathing pattern) (n=4) or an FRC that fell outside the 10% difference from the other washouts thus suggesting it was technically unacceptable (n=2).  No subjects reported any adverse effects from the MBW, other than a dry mouth, probably resulting from the dryness of the test gas.</w:t>
      </w:r>
      <w:r w:rsidR="001744CE">
        <w:t xml:space="preserve"> </w:t>
      </w:r>
      <w:r>
        <w:t xml:space="preserve">LCI was normally distributed in the healthy control group, so parametric statistics could be used.  </w:t>
      </w:r>
    </w:p>
    <w:p w14:paraId="23C98178" w14:textId="77777777" w:rsidR="00A93ADC" w:rsidRDefault="00A93ADC" w:rsidP="00703EB0"/>
    <w:p w14:paraId="04789FA1" w14:textId="77777777" w:rsidR="00703EB0" w:rsidRDefault="00703EB0" w:rsidP="00703EB0">
      <w:r>
        <w:t>The mean (standard deviation) of LCI in this healthy control group was 6.6 (0.68), range 5.51 to 8.35. The 8.35 result appears visually to be an outlier as the next lowest result is 7.61.</w:t>
      </w:r>
    </w:p>
    <w:p w14:paraId="22909E75" w14:textId="77777777" w:rsidR="007B098A" w:rsidRDefault="007B098A"/>
    <w:p w14:paraId="211BC679" w14:textId="77777777" w:rsidR="004506AB" w:rsidRPr="00952DD1" w:rsidRDefault="00D2190F">
      <w:pPr>
        <w:rPr>
          <w:b/>
        </w:rPr>
      </w:pPr>
      <w:r w:rsidRPr="00952DD1">
        <w:rPr>
          <w:b/>
        </w:rPr>
        <w:t>Additional results</w:t>
      </w:r>
    </w:p>
    <w:p w14:paraId="4199CCE0" w14:textId="77777777" w:rsidR="00255A47" w:rsidRDefault="00255A47">
      <w:pPr>
        <w:rPr>
          <w:szCs w:val="22"/>
        </w:rPr>
      </w:pPr>
    </w:p>
    <w:p w14:paraId="44557AB3" w14:textId="523AED7C" w:rsidR="00255A47" w:rsidRDefault="00255A47" w:rsidP="00255A47">
      <w:pPr>
        <w:rPr>
          <w:szCs w:val="22"/>
        </w:rPr>
      </w:pPr>
      <w:r w:rsidRPr="00C46436">
        <w:rPr>
          <w:szCs w:val="22"/>
        </w:rPr>
        <w:t xml:space="preserve">Growth of </w:t>
      </w:r>
      <w:r w:rsidRPr="00952DD1">
        <w:rPr>
          <w:i/>
          <w:szCs w:val="22"/>
        </w:rPr>
        <w:t>Pseudomonas Aeruginosa</w:t>
      </w:r>
      <w:r w:rsidRPr="00C46436">
        <w:rPr>
          <w:szCs w:val="22"/>
        </w:rPr>
        <w:t xml:space="preserve"> was not associated with worse LCI, FEV</w:t>
      </w:r>
      <w:r w:rsidRPr="00C46436">
        <w:rPr>
          <w:szCs w:val="22"/>
          <w:vertAlign w:val="subscript"/>
        </w:rPr>
        <w:t>1</w:t>
      </w:r>
      <w:r w:rsidRPr="00C46436">
        <w:rPr>
          <w:szCs w:val="22"/>
        </w:rPr>
        <w:t xml:space="preserve"> or FEF</w:t>
      </w:r>
      <w:r w:rsidRPr="00C46436">
        <w:rPr>
          <w:szCs w:val="22"/>
          <w:vertAlign w:val="subscript"/>
        </w:rPr>
        <w:t>25-75%</w:t>
      </w:r>
      <w:r w:rsidR="00D2190F" w:rsidRPr="00C46436">
        <w:rPr>
          <w:szCs w:val="22"/>
        </w:rPr>
        <w:t xml:space="preserve"> in </w:t>
      </w:r>
      <w:r w:rsidR="00952DD1">
        <w:rPr>
          <w:szCs w:val="22"/>
        </w:rPr>
        <w:t>these patients</w:t>
      </w:r>
      <w:r w:rsidR="00D2190F" w:rsidRPr="00C46436">
        <w:rPr>
          <w:szCs w:val="22"/>
        </w:rPr>
        <w:t>.</w:t>
      </w:r>
      <w:r w:rsidR="00D2190F">
        <w:rPr>
          <w:szCs w:val="22"/>
        </w:rPr>
        <w:t xml:space="preserve">  Positive/negative for </w:t>
      </w:r>
      <w:r w:rsidR="00D2190F" w:rsidRPr="00952DD1">
        <w:rPr>
          <w:i/>
          <w:szCs w:val="22"/>
        </w:rPr>
        <w:t>Pseudomonas aeruginosa</w:t>
      </w:r>
      <w:r w:rsidR="00D2190F">
        <w:rPr>
          <w:szCs w:val="22"/>
        </w:rPr>
        <w:t xml:space="preserve"> groups did not have significantly different</w:t>
      </w:r>
      <w:r w:rsidR="00EA26B1">
        <w:rPr>
          <w:szCs w:val="22"/>
        </w:rPr>
        <w:t xml:space="preserve"> lung function results (Figure e</w:t>
      </w:r>
      <w:r w:rsidR="008C717F">
        <w:rPr>
          <w:szCs w:val="22"/>
        </w:rPr>
        <w:t>1) LCI p=0.3</w:t>
      </w:r>
      <w:r w:rsidR="00D2190F">
        <w:rPr>
          <w:szCs w:val="22"/>
        </w:rPr>
        <w:t>, FEV</w:t>
      </w:r>
      <w:r w:rsidR="00D2190F" w:rsidRPr="00D2190F">
        <w:rPr>
          <w:szCs w:val="22"/>
          <w:vertAlign w:val="subscript"/>
        </w:rPr>
        <w:t>1</w:t>
      </w:r>
      <w:r w:rsidR="008C717F">
        <w:rPr>
          <w:szCs w:val="22"/>
        </w:rPr>
        <w:t xml:space="preserve"> p=0.6</w:t>
      </w:r>
      <w:r w:rsidR="00D2190F">
        <w:rPr>
          <w:szCs w:val="22"/>
        </w:rPr>
        <w:t>, FEF</w:t>
      </w:r>
      <w:r w:rsidR="00D2190F" w:rsidRPr="00D2190F">
        <w:rPr>
          <w:szCs w:val="22"/>
          <w:vertAlign w:val="subscript"/>
        </w:rPr>
        <w:t xml:space="preserve">25-75% </w:t>
      </w:r>
      <w:r w:rsidR="008C717F">
        <w:rPr>
          <w:szCs w:val="22"/>
        </w:rPr>
        <w:t>p=0.2</w:t>
      </w:r>
      <w:r w:rsidR="00D2190F">
        <w:rPr>
          <w:szCs w:val="22"/>
        </w:rPr>
        <w:t>.</w:t>
      </w:r>
    </w:p>
    <w:p w14:paraId="1E511041" w14:textId="77777777" w:rsidR="00D2190F" w:rsidRDefault="00D2190F" w:rsidP="00255A47">
      <w:pPr>
        <w:rPr>
          <w:szCs w:val="22"/>
        </w:rPr>
      </w:pPr>
    </w:p>
    <w:p w14:paraId="26E93E52" w14:textId="62D2B316" w:rsidR="00D2190F" w:rsidRDefault="008C717F" w:rsidP="00255A47">
      <w:pPr>
        <w:rPr>
          <w:szCs w:val="22"/>
        </w:rPr>
      </w:pPr>
      <w:r>
        <w:rPr>
          <w:noProof/>
          <w:szCs w:val="22"/>
        </w:rPr>
        <w:drawing>
          <wp:inline distT="0" distB="0" distL="0" distR="0" wp14:anchorId="1F70BAAC" wp14:editId="2A2B867A">
            <wp:extent cx="5753100" cy="1657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1657350"/>
                    </a:xfrm>
                    <a:prstGeom prst="rect">
                      <a:avLst/>
                    </a:prstGeom>
                    <a:noFill/>
                    <a:ln>
                      <a:noFill/>
                    </a:ln>
                  </pic:spPr>
                </pic:pic>
              </a:graphicData>
            </a:graphic>
          </wp:inline>
        </w:drawing>
      </w:r>
    </w:p>
    <w:p w14:paraId="5D0885D0" w14:textId="60034CDA" w:rsidR="00D2190F" w:rsidRPr="00952DD1" w:rsidRDefault="00EA26B1" w:rsidP="00255A47">
      <w:pPr>
        <w:rPr>
          <w:b/>
          <w:i/>
          <w:szCs w:val="22"/>
        </w:rPr>
      </w:pPr>
      <w:r>
        <w:rPr>
          <w:b/>
          <w:i/>
          <w:szCs w:val="22"/>
        </w:rPr>
        <w:t>Figure e</w:t>
      </w:r>
      <w:r w:rsidR="00D2190F" w:rsidRPr="00952DD1">
        <w:rPr>
          <w:b/>
          <w:i/>
          <w:szCs w:val="22"/>
        </w:rPr>
        <w:t>1 – No significa</w:t>
      </w:r>
      <w:r w:rsidR="008C717F">
        <w:rPr>
          <w:b/>
          <w:i/>
          <w:szCs w:val="22"/>
        </w:rPr>
        <w:t>nt difference between LCI (p=0.3</w:t>
      </w:r>
      <w:r w:rsidR="00D2190F" w:rsidRPr="00952DD1">
        <w:rPr>
          <w:b/>
          <w:i/>
          <w:szCs w:val="22"/>
        </w:rPr>
        <w:t>), FEV</w:t>
      </w:r>
      <w:r w:rsidR="00D2190F" w:rsidRPr="00952DD1">
        <w:rPr>
          <w:b/>
          <w:i/>
          <w:szCs w:val="22"/>
          <w:vertAlign w:val="subscript"/>
        </w:rPr>
        <w:t>1</w:t>
      </w:r>
      <w:r w:rsidR="008C717F">
        <w:rPr>
          <w:b/>
          <w:i/>
          <w:szCs w:val="22"/>
        </w:rPr>
        <w:t xml:space="preserve"> (p=0.6</w:t>
      </w:r>
      <w:r w:rsidR="00D2190F" w:rsidRPr="00952DD1">
        <w:rPr>
          <w:b/>
          <w:i/>
          <w:szCs w:val="22"/>
        </w:rPr>
        <w:t>) or FEF</w:t>
      </w:r>
      <w:r w:rsidR="00D2190F" w:rsidRPr="00952DD1">
        <w:rPr>
          <w:b/>
          <w:i/>
          <w:szCs w:val="22"/>
          <w:vertAlign w:val="subscript"/>
        </w:rPr>
        <w:t>25-75</w:t>
      </w:r>
      <w:proofErr w:type="gramStart"/>
      <w:r w:rsidR="00D2190F" w:rsidRPr="00952DD1">
        <w:rPr>
          <w:b/>
          <w:i/>
          <w:szCs w:val="22"/>
          <w:vertAlign w:val="subscript"/>
        </w:rPr>
        <w:t xml:space="preserve">% </w:t>
      </w:r>
      <w:r w:rsidR="008C717F">
        <w:rPr>
          <w:b/>
          <w:i/>
          <w:szCs w:val="22"/>
          <w:vertAlign w:val="subscript"/>
        </w:rPr>
        <w:t xml:space="preserve"> </w:t>
      </w:r>
      <w:r w:rsidR="008C717F">
        <w:rPr>
          <w:b/>
          <w:i/>
          <w:szCs w:val="22"/>
        </w:rPr>
        <w:t>(</w:t>
      </w:r>
      <w:proofErr w:type="gramEnd"/>
      <w:r w:rsidR="008C717F">
        <w:rPr>
          <w:b/>
          <w:i/>
          <w:szCs w:val="22"/>
        </w:rPr>
        <w:t xml:space="preserve">p=0.2) </w:t>
      </w:r>
      <w:r w:rsidR="00D2190F" w:rsidRPr="00952DD1">
        <w:rPr>
          <w:b/>
          <w:i/>
          <w:szCs w:val="22"/>
        </w:rPr>
        <w:t xml:space="preserve">in groups that had or had not grown </w:t>
      </w:r>
      <w:proofErr w:type="spellStart"/>
      <w:r w:rsidR="00D2190F" w:rsidRPr="00952DD1">
        <w:rPr>
          <w:b/>
          <w:i/>
          <w:szCs w:val="22"/>
        </w:rPr>
        <w:t>Pseudomas</w:t>
      </w:r>
      <w:proofErr w:type="spellEnd"/>
      <w:r w:rsidR="00D2190F" w:rsidRPr="00952DD1">
        <w:rPr>
          <w:b/>
          <w:i/>
          <w:szCs w:val="22"/>
        </w:rPr>
        <w:t xml:space="preserve"> Aeruginosa</w:t>
      </w:r>
    </w:p>
    <w:p w14:paraId="2B0254FB" w14:textId="77777777" w:rsidR="00255A47" w:rsidRDefault="00255A47"/>
    <w:p w14:paraId="1382E18D" w14:textId="06AC5BAC" w:rsidR="007110D0" w:rsidRDefault="007110D0" w:rsidP="007110D0">
      <w:pPr>
        <w:rPr>
          <w:szCs w:val="22"/>
        </w:rPr>
      </w:pPr>
      <w:r w:rsidRPr="007110D0">
        <w:rPr>
          <w:szCs w:val="22"/>
        </w:rPr>
        <w:t xml:space="preserve">There was no change in age at diagnosis over time i.e. younger patients were not diagnosed earlier, </w:t>
      </w:r>
      <w:r>
        <w:rPr>
          <w:szCs w:val="22"/>
        </w:rPr>
        <w:t xml:space="preserve">potentially introducing a </w:t>
      </w:r>
      <w:r w:rsidR="00EA26B1">
        <w:rPr>
          <w:szCs w:val="22"/>
        </w:rPr>
        <w:t>bias (Figure e</w:t>
      </w:r>
      <w:r>
        <w:rPr>
          <w:szCs w:val="22"/>
        </w:rPr>
        <w:t>2).</w:t>
      </w:r>
    </w:p>
    <w:p w14:paraId="1F1392D3" w14:textId="77777777" w:rsidR="007110D0" w:rsidRDefault="007110D0" w:rsidP="007110D0">
      <w:pPr>
        <w:rPr>
          <w:szCs w:val="22"/>
        </w:rPr>
      </w:pPr>
    </w:p>
    <w:p w14:paraId="4CF46FC2" w14:textId="75909D84" w:rsidR="007110D0" w:rsidRDefault="00FD207F" w:rsidP="007110D0">
      <w:pPr>
        <w:rPr>
          <w:szCs w:val="22"/>
        </w:rPr>
      </w:pPr>
      <w:r>
        <w:rPr>
          <w:noProof/>
          <w:szCs w:val="22"/>
        </w:rPr>
        <w:lastRenderedPageBreak/>
        <w:drawing>
          <wp:inline distT="0" distB="0" distL="0" distR="0" wp14:anchorId="080227DD" wp14:editId="1FE6D546">
            <wp:extent cx="4067175" cy="2790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67175" cy="2790825"/>
                    </a:xfrm>
                    <a:prstGeom prst="rect">
                      <a:avLst/>
                    </a:prstGeom>
                    <a:noFill/>
                    <a:ln>
                      <a:noFill/>
                    </a:ln>
                  </pic:spPr>
                </pic:pic>
              </a:graphicData>
            </a:graphic>
          </wp:inline>
        </w:drawing>
      </w:r>
    </w:p>
    <w:p w14:paraId="58704DC7" w14:textId="0346A28C" w:rsidR="007110D0" w:rsidRPr="00952DD1" w:rsidRDefault="00EA26B1" w:rsidP="007110D0">
      <w:pPr>
        <w:rPr>
          <w:b/>
          <w:i/>
          <w:szCs w:val="22"/>
        </w:rPr>
      </w:pPr>
      <w:r>
        <w:rPr>
          <w:b/>
          <w:i/>
          <w:szCs w:val="22"/>
        </w:rPr>
        <w:t>Figure e</w:t>
      </w:r>
      <w:r w:rsidR="007110D0" w:rsidRPr="00952DD1">
        <w:rPr>
          <w:b/>
          <w:i/>
          <w:szCs w:val="22"/>
        </w:rPr>
        <w:t>2 – there is no significant relationship between year of diagnosis and age at diagnosis</w:t>
      </w:r>
    </w:p>
    <w:p w14:paraId="67649F23" w14:textId="77777777" w:rsidR="007110D0" w:rsidRDefault="007110D0"/>
    <w:p w14:paraId="1A39E55F" w14:textId="77777777" w:rsidR="007110D0" w:rsidRDefault="007110D0"/>
    <w:p w14:paraId="2753F50B" w14:textId="77777777" w:rsidR="00255A47" w:rsidRPr="0030726C" w:rsidRDefault="00255A47" w:rsidP="00255A47">
      <w:pPr>
        <w:rPr>
          <w:szCs w:val="22"/>
        </w:rPr>
      </w:pPr>
    </w:p>
    <w:p w14:paraId="5AEC7FEF" w14:textId="79AF8465" w:rsidR="00833D49" w:rsidRDefault="00833D49" w:rsidP="00833D49">
      <w:pPr>
        <w:rPr>
          <w:szCs w:val="22"/>
        </w:rPr>
      </w:pPr>
      <w:r w:rsidRPr="0030726C">
        <w:rPr>
          <w:szCs w:val="22"/>
        </w:rPr>
        <w:t>Bea</w:t>
      </w:r>
      <w:r w:rsidR="006C28B8">
        <w:rPr>
          <w:szCs w:val="22"/>
        </w:rPr>
        <w:t>t frequency was measurable in 19</w:t>
      </w:r>
      <w:r w:rsidRPr="0030726C">
        <w:rPr>
          <w:szCs w:val="22"/>
        </w:rPr>
        <w:t xml:space="preserve"> patients, there was no relationship between beat frequency and lung </w:t>
      </w:r>
      <w:r w:rsidR="006C28B8">
        <w:rPr>
          <w:szCs w:val="22"/>
        </w:rPr>
        <w:t>function (Figure S3, LCI p=0.09, FEV1 p=0.4</w:t>
      </w:r>
      <w:r>
        <w:rPr>
          <w:szCs w:val="22"/>
        </w:rPr>
        <w:t>, FEF25-</w:t>
      </w:r>
      <w:r w:rsidR="006C28B8">
        <w:rPr>
          <w:szCs w:val="22"/>
        </w:rPr>
        <w:t>75% p=0.4</w:t>
      </w:r>
      <w:r>
        <w:rPr>
          <w:szCs w:val="22"/>
        </w:rPr>
        <w:t xml:space="preserve"> (Spearman’s R)).</w:t>
      </w:r>
    </w:p>
    <w:p w14:paraId="3DF4E4F7" w14:textId="77777777" w:rsidR="00833D49" w:rsidRDefault="00833D49" w:rsidP="00833D49">
      <w:pPr>
        <w:rPr>
          <w:szCs w:val="22"/>
        </w:rPr>
      </w:pPr>
    </w:p>
    <w:p w14:paraId="7700BC35" w14:textId="0024061A" w:rsidR="00833D49" w:rsidRDefault="006C28B8" w:rsidP="00833D49">
      <w:pPr>
        <w:rPr>
          <w:szCs w:val="22"/>
        </w:rPr>
      </w:pPr>
      <w:r>
        <w:rPr>
          <w:noProof/>
          <w:szCs w:val="22"/>
        </w:rPr>
        <w:drawing>
          <wp:inline distT="0" distB="0" distL="0" distR="0" wp14:anchorId="6F58D832" wp14:editId="1BD9732B">
            <wp:extent cx="5753100" cy="1447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1447800"/>
                    </a:xfrm>
                    <a:prstGeom prst="rect">
                      <a:avLst/>
                    </a:prstGeom>
                    <a:noFill/>
                    <a:ln>
                      <a:noFill/>
                    </a:ln>
                  </pic:spPr>
                </pic:pic>
              </a:graphicData>
            </a:graphic>
          </wp:inline>
        </w:drawing>
      </w:r>
    </w:p>
    <w:p w14:paraId="72412D58" w14:textId="2BAF77E6" w:rsidR="00833D49" w:rsidRPr="00952DD1" w:rsidRDefault="00EA26B1" w:rsidP="00833D49">
      <w:pPr>
        <w:rPr>
          <w:b/>
          <w:i/>
          <w:szCs w:val="22"/>
        </w:rPr>
      </w:pPr>
      <w:r>
        <w:rPr>
          <w:b/>
          <w:i/>
          <w:szCs w:val="22"/>
        </w:rPr>
        <w:t>Figure e</w:t>
      </w:r>
      <w:r w:rsidR="00833D49" w:rsidRPr="00952DD1">
        <w:rPr>
          <w:b/>
          <w:i/>
          <w:szCs w:val="22"/>
        </w:rPr>
        <w:t>3 – Lung function with beat frequency, there is no significant correlation</w:t>
      </w:r>
    </w:p>
    <w:p w14:paraId="49757EFB" w14:textId="77777777" w:rsidR="00833D49" w:rsidRDefault="00833D49" w:rsidP="00255A47">
      <w:pPr>
        <w:rPr>
          <w:szCs w:val="22"/>
        </w:rPr>
      </w:pPr>
    </w:p>
    <w:p w14:paraId="3B954052" w14:textId="77777777" w:rsidR="00833D49" w:rsidRDefault="00833D49" w:rsidP="00255A47">
      <w:pPr>
        <w:rPr>
          <w:szCs w:val="22"/>
        </w:rPr>
      </w:pPr>
    </w:p>
    <w:p w14:paraId="65A317C6" w14:textId="0BEC705A" w:rsidR="0030726C" w:rsidRDefault="004B6DF6" w:rsidP="00255A47">
      <w:pPr>
        <w:rPr>
          <w:szCs w:val="22"/>
        </w:rPr>
      </w:pPr>
      <w:r>
        <w:rPr>
          <w:szCs w:val="22"/>
        </w:rPr>
        <w:t>66</w:t>
      </w:r>
      <w:r w:rsidR="006E5FB2" w:rsidRPr="006E5FB2">
        <w:rPr>
          <w:szCs w:val="22"/>
        </w:rPr>
        <w:t xml:space="preserve"> patients had abnormalities </w:t>
      </w:r>
      <w:r>
        <w:rPr>
          <w:szCs w:val="22"/>
        </w:rPr>
        <w:t>on light microscopy, of which 45</w:t>
      </w:r>
      <w:r w:rsidR="006E5FB2" w:rsidRPr="006E5FB2">
        <w:rPr>
          <w:szCs w:val="22"/>
        </w:rPr>
        <w:t xml:space="preserve"> patients had totally </w:t>
      </w:r>
      <w:r>
        <w:rPr>
          <w:szCs w:val="22"/>
        </w:rPr>
        <w:t>or partially static cilia and 21</w:t>
      </w:r>
      <w:r w:rsidR="006E5FB2" w:rsidRPr="006E5FB2">
        <w:rPr>
          <w:szCs w:val="22"/>
        </w:rPr>
        <w:t xml:space="preserve"> patients had dyskinetic cilia.  The remaining </w:t>
      </w:r>
      <w:r>
        <w:rPr>
          <w:szCs w:val="22"/>
        </w:rPr>
        <w:t>3</w:t>
      </w:r>
      <w:r w:rsidR="006E5FB2" w:rsidRPr="006E5FB2">
        <w:rPr>
          <w:szCs w:val="22"/>
        </w:rPr>
        <w:t xml:space="preserve"> patients in the main data set were excluded from this analysis as they had light microscopy carried out before 2006, using a different method (a photodiode measurement of CBF </w:t>
      </w:r>
      <w:proofErr w:type="gramStart"/>
      <w:r w:rsidR="006E5FB2" w:rsidRPr="006E5FB2">
        <w:rPr>
          <w:szCs w:val="22"/>
        </w:rPr>
        <w:t>using  a</w:t>
      </w:r>
      <w:proofErr w:type="gramEnd"/>
      <w:r w:rsidR="006E5FB2" w:rsidRPr="006E5FB2">
        <w:rPr>
          <w:szCs w:val="22"/>
        </w:rPr>
        <w:t xml:space="preserve"> 40x objective compared to high speed video assessment with a 100x objective). There was no difference in LCI, FEV1 and FEF25-75</w:t>
      </w:r>
      <w:r w:rsidR="00EA26B1">
        <w:rPr>
          <w:szCs w:val="22"/>
        </w:rPr>
        <w:t>% between these groups (Figure e</w:t>
      </w:r>
      <w:r w:rsidR="006E5FB2" w:rsidRPr="006E5FB2">
        <w:rPr>
          <w:szCs w:val="22"/>
        </w:rPr>
        <w:t xml:space="preserve">4, </w:t>
      </w:r>
      <w:r>
        <w:rPr>
          <w:szCs w:val="22"/>
        </w:rPr>
        <w:t>LCI p=0.3</w:t>
      </w:r>
      <w:r w:rsidR="006E5FB2" w:rsidRPr="006E5FB2">
        <w:rPr>
          <w:szCs w:val="22"/>
        </w:rPr>
        <w:t xml:space="preserve">, </w:t>
      </w:r>
      <w:r w:rsidR="007D6922">
        <w:rPr>
          <w:szCs w:val="22"/>
        </w:rPr>
        <w:t>FEV</w:t>
      </w:r>
      <w:r w:rsidR="007D6922" w:rsidRPr="007D6922">
        <w:rPr>
          <w:szCs w:val="22"/>
          <w:vertAlign w:val="subscript"/>
        </w:rPr>
        <w:t>1</w:t>
      </w:r>
      <w:r w:rsidR="007D6922">
        <w:rPr>
          <w:szCs w:val="22"/>
        </w:rPr>
        <w:t xml:space="preserve"> p=0.09</w:t>
      </w:r>
      <w:r w:rsidR="006E5FB2" w:rsidRPr="006E5FB2">
        <w:rPr>
          <w:szCs w:val="22"/>
        </w:rPr>
        <w:t xml:space="preserve"> and </w:t>
      </w:r>
      <w:r w:rsidR="009B668A">
        <w:rPr>
          <w:szCs w:val="22"/>
        </w:rPr>
        <w:t>FEF</w:t>
      </w:r>
      <w:r w:rsidR="009B668A" w:rsidRPr="009B668A">
        <w:rPr>
          <w:szCs w:val="22"/>
          <w:vertAlign w:val="subscript"/>
        </w:rPr>
        <w:t xml:space="preserve">25-75% </w:t>
      </w:r>
      <w:r w:rsidR="006E5FB2" w:rsidRPr="006E5FB2">
        <w:rPr>
          <w:szCs w:val="22"/>
        </w:rPr>
        <w:t>p=0.9 respectively (Mann-Whitney)).</w:t>
      </w:r>
    </w:p>
    <w:p w14:paraId="58949DA1" w14:textId="77777777" w:rsidR="006E5FB2" w:rsidRDefault="006E5FB2" w:rsidP="00255A47">
      <w:pPr>
        <w:rPr>
          <w:szCs w:val="22"/>
        </w:rPr>
      </w:pPr>
    </w:p>
    <w:p w14:paraId="3CD3E5A4" w14:textId="493B9BE3" w:rsidR="00833D49" w:rsidRDefault="009B668A" w:rsidP="00255A47">
      <w:pPr>
        <w:rPr>
          <w:szCs w:val="22"/>
        </w:rPr>
      </w:pPr>
      <w:r>
        <w:rPr>
          <w:noProof/>
          <w:szCs w:val="22"/>
        </w:rPr>
        <w:drawing>
          <wp:inline distT="0" distB="0" distL="0" distR="0" wp14:anchorId="5B4DD307" wp14:editId="3BEE8A47">
            <wp:extent cx="5734050" cy="14573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1457325"/>
                    </a:xfrm>
                    <a:prstGeom prst="rect">
                      <a:avLst/>
                    </a:prstGeom>
                    <a:noFill/>
                    <a:ln>
                      <a:noFill/>
                    </a:ln>
                  </pic:spPr>
                </pic:pic>
              </a:graphicData>
            </a:graphic>
          </wp:inline>
        </w:drawing>
      </w:r>
    </w:p>
    <w:p w14:paraId="281D8ED5" w14:textId="77777777" w:rsidR="0030726C" w:rsidRDefault="0030726C" w:rsidP="00255A47">
      <w:pPr>
        <w:rPr>
          <w:szCs w:val="22"/>
        </w:rPr>
      </w:pPr>
    </w:p>
    <w:p w14:paraId="10FD5B72" w14:textId="65F15556" w:rsidR="0030726C" w:rsidRPr="00952DD1" w:rsidRDefault="00EA26B1" w:rsidP="00255A47">
      <w:pPr>
        <w:rPr>
          <w:b/>
          <w:i/>
          <w:szCs w:val="22"/>
        </w:rPr>
      </w:pPr>
      <w:r>
        <w:rPr>
          <w:b/>
          <w:i/>
          <w:szCs w:val="22"/>
        </w:rPr>
        <w:lastRenderedPageBreak/>
        <w:t>Figure e</w:t>
      </w:r>
      <w:r w:rsidR="00833D49" w:rsidRPr="00952DD1">
        <w:rPr>
          <w:b/>
          <w:i/>
          <w:szCs w:val="22"/>
        </w:rPr>
        <w:t>4</w:t>
      </w:r>
      <w:r w:rsidR="0030726C" w:rsidRPr="00952DD1">
        <w:rPr>
          <w:b/>
          <w:i/>
          <w:szCs w:val="22"/>
        </w:rPr>
        <w:t xml:space="preserve"> – Lung function results by light microscopy groups, there was no significant difference</w:t>
      </w:r>
    </w:p>
    <w:p w14:paraId="62A9E4A0" w14:textId="77777777" w:rsidR="0030726C" w:rsidRPr="0030726C" w:rsidRDefault="0030726C" w:rsidP="00255A47">
      <w:pPr>
        <w:rPr>
          <w:szCs w:val="22"/>
        </w:rPr>
      </w:pPr>
    </w:p>
    <w:p w14:paraId="240A70EC" w14:textId="77777777" w:rsidR="008F286F" w:rsidRDefault="008F286F" w:rsidP="00255A47"/>
    <w:p w14:paraId="3F9ACB8D" w14:textId="4175B758" w:rsidR="008F286F" w:rsidRDefault="008F286F" w:rsidP="00255A47">
      <w:r>
        <w:t>Those patients with nasal nitric oxide results had these compared to LCI and</w:t>
      </w:r>
      <w:r w:rsidR="00EA26B1">
        <w:t xml:space="preserve"> spirometry parameters (Figure e</w:t>
      </w:r>
      <w:r w:rsidR="00AB1111">
        <w:t>5</w:t>
      </w:r>
      <w:r>
        <w:t>).  There were no correlations seen.</w:t>
      </w:r>
    </w:p>
    <w:p w14:paraId="307FB471" w14:textId="77777777" w:rsidR="008F286F" w:rsidRDefault="008F286F" w:rsidP="00255A47"/>
    <w:p w14:paraId="2E3A332F" w14:textId="473AEE7C" w:rsidR="008F286F" w:rsidRDefault="00AB1111" w:rsidP="00255A47">
      <w:pPr>
        <w:rPr>
          <w:szCs w:val="22"/>
        </w:rPr>
      </w:pPr>
      <w:r>
        <w:rPr>
          <w:b/>
          <w:i/>
          <w:noProof/>
        </w:rPr>
        <w:drawing>
          <wp:inline distT="0" distB="0" distL="0" distR="0" wp14:anchorId="550CF3ED" wp14:editId="1A443F3E">
            <wp:extent cx="5791200" cy="14192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0" cy="1419225"/>
                    </a:xfrm>
                    <a:prstGeom prst="rect">
                      <a:avLst/>
                    </a:prstGeom>
                    <a:noFill/>
                    <a:ln>
                      <a:noFill/>
                    </a:ln>
                  </pic:spPr>
                </pic:pic>
              </a:graphicData>
            </a:graphic>
          </wp:inline>
        </w:drawing>
      </w:r>
      <w:r w:rsidR="00EA26B1">
        <w:rPr>
          <w:b/>
          <w:i/>
        </w:rPr>
        <w:t>Figure e</w:t>
      </w:r>
      <w:r>
        <w:rPr>
          <w:b/>
          <w:i/>
        </w:rPr>
        <w:t>5</w:t>
      </w:r>
      <w:r w:rsidR="008F286F" w:rsidRPr="00952DD1">
        <w:rPr>
          <w:b/>
          <w:i/>
        </w:rPr>
        <w:t xml:space="preserve"> – Nasal nitric oxide (</w:t>
      </w:r>
      <w:proofErr w:type="spellStart"/>
      <w:r w:rsidR="008F286F" w:rsidRPr="00952DD1">
        <w:rPr>
          <w:b/>
          <w:i/>
        </w:rPr>
        <w:t>NNo</w:t>
      </w:r>
      <w:proofErr w:type="spellEnd"/>
      <w:r w:rsidR="008F286F" w:rsidRPr="00952DD1">
        <w:rPr>
          <w:b/>
          <w:i/>
        </w:rPr>
        <w:t>) compared to LCI, FEV</w:t>
      </w:r>
      <w:r w:rsidR="008F286F" w:rsidRPr="00952DD1">
        <w:rPr>
          <w:b/>
          <w:i/>
          <w:vertAlign w:val="subscript"/>
        </w:rPr>
        <w:t>1</w:t>
      </w:r>
      <w:r w:rsidR="008F286F" w:rsidRPr="00952DD1">
        <w:rPr>
          <w:b/>
          <w:i/>
        </w:rPr>
        <w:t xml:space="preserve"> </w:t>
      </w:r>
      <w:proofErr w:type="gramStart"/>
      <w:r w:rsidR="008F286F" w:rsidRPr="00952DD1">
        <w:rPr>
          <w:b/>
          <w:i/>
        </w:rPr>
        <w:t>z</w:t>
      </w:r>
      <w:proofErr w:type="gramEnd"/>
      <w:r w:rsidR="008F286F" w:rsidRPr="00952DD1">
        <w:rPr>
          <w:b/>
          <w:i/>
        </w:rPr>
        <w:t xml:space="preserve"> score and FEF</w:t>
      </w:r>
      <w:r w:rsidR="008F286F" w:rsidRPr="00952DD1">
        <w:rPr>
          <w:b/>
          <w:i/>
          <w:vertAlign w:val="subscript"/>
        </w:rPr>
        <w:t>25-75%</w:t>
      </w:r>
      <w:r w:rsidR="008F286F" w:rsidRPr="00952DD1">
        <w:rPr>
          <w:b/>
          <w:i/>
        </w:rPr>
        <w:t xml:space="preserve"> z score.  There were no statistically significant correlations</w:t>
      </w:r>
    </w:p>
    <w:p w14:paraId="09CA6DA4" w14:textId="77777777" w:rsidR="005E5244" w:rsidRDefault="005E5244" w:rsidP="00255A47"/>
    <w:p w14:paraId="14D8CACC" w14:textId="77777777" w:rsidR="00B66D8B" w:rsidRDefault="00B66D8B" w:rsidP="00255A47"/>
    <w:p w14:paraId="5BE8BF90" w14:textId="77777777" w:rsidR="00B66D8B" w:rsidRDefault="00B66D8B" w:rsidP="00255A47"/>
    <w:p w14:paraId="0B09CDC9" w14:textId="5498A849" w:rsidR="00B66D8B" w:rsidRPr="004D1A24" w:rsidRDefault="00B66D8B" w:rsidP="00255A47">
      <w:pPr>
        <w:rPr>
          <w:b/>
        </w:rPr>
      </w:pPr>
      <w:r w:rsidRPr="004D1A24">
        <w:rPr>
          <w:b/>
        </w:rPr>
        <w:t>Comparison of study cohort to full PCD cohort</w:t>
      </w:r>
    </w:p>
    <w:p w14:paraId="4511BD51" w14:textId="77777777" w:rsidR="00B66D8B" w:rsidRPr="004D1A24" w:rsidRDefault="00B66D8B" w:rsidP="00255A47"/>
    <w:p w14:paraId="7F7CECE1" w14:textId="77777777" w:rsidR="00B66D8B" w:rsidRPr="004D1A24" w:rsidRDefault="00B66D8B" w:rsidP="00255A47"/>
    <w:p w14:paraId="4D33A7AB" w14:textId="77777777" w:rsidR="00B66D8B" w:rsidRPr="004D1A24" w:rsidRDefault="00B66D8B" w:rsidP="00255A47">
      <w:r w:rsidRPr="004D1A24">
        <w:t xml:space="preserve">The demographics and available clinical information for the cohort recruited compared with the population of PCD patients in our adult and </w:t>
      </w:r>
      <w:proofErr w:type="gramStart"/>
      <w:r w:rsidRPr="004D1A24">
        <w:t>paediatric respiratory clinics is</w:t>
      </w:r>
      <w:proofErr w:type="gramEnd"/>
      <w:r w:rsidRPr="004D1A24">
        <w:t xml:space="preserve"> shown below.</w:t>
      </w:r>
    </w:p>
    <w:p w14:paraId="42F4BFFE" w14:textId="77777777" w:rsidR="00B66D8B" w:rsidRPr="004D1A24" w:rsidRDefault="00B66D8B" w:rsidP="00255A47">
      <w:r w:rsidRPr="004D1A24">
        <w:t xml:space="preserve"> </w:t>
      </w:r>
    </w:p>
    <w:tbl>
      <w:tblPr>
        <w:tblStyle w:val="TableGrid"/>
        <w:tblW w:w="9093" w:type="dxa"/>
        <w:tblLook w:val="04A0" w:firstRow="1" w:lastRow="0" w:firstColumn="1" w:lastColumn="0" w:noHBand="0" w:noVBand="1"/>
      </w:tblPr>
      <w:tblGrid>
        <w:gridCol w:w="1387"/>
        <w:gridCol w:w="1220"/>
        <w:gridCol w:w="594"/>
        <w:gridCol w:w="876"/>
        <w:gridCol w:w="2041"/>
        <w:gridCol w:w="1881"/>
        <w:gridCol w:w="1094"/>
      </w:tblGrid>
      <w:tr w:rsidR="004D1A24" w:rsidRPr="004D1A24" w14:paraId="3CB45444" w14:textId="77777777" w:rsidTr="00E10A50">
        <w:trPr>
          <w:trHeight w:val="546"/>
        </w:trPr>
        <w:tc>
          <w:tcPr>
            <w:tcW w:w="1387" w:type="dxa"/>
          </w:tcPr>
          <w:p w14:paraId="427641CC" w14:textId="77777777" w:rsidR="00B66D8B" w:rsidRPr="004D1A24" w:rsidRDefault="00B66D8B" w:rsidP="00E10A50"/>
        </w:tc>
        <w:tc>
          <w:tcPr>
            <w:tcW w:w="1220" w:type="dxa"/>
          </w:tcPr>
          <w:p w14:paraId="4DC716BC" w14:textId="77777777" w:rsidR="00B66D8B" w:rsidRPr="004D1A24" w:rsidRDefault="00B66D8B" w:rsidP="00E10A50">
            <w:r w:rsidRPr="004D1A24">
              <w:t>FEV1 (% predicted)</w:t>
            </w:r>
          </w:p>
        </w:tc>
        <w:tc>
          <w:tcPr>
            <w:tcW w:w="594" w:type="dxa"/>
          </w:tcPr>
          <w:p w14:paraId="69C00C27" w14:textId="77777777" w:rsidR="00B66D8B" w:rsidRPr="004D1A24" w:rsidRDefault="00B66D8B" w:rsidP="00E10A50">
            <w:r w:rsidRPr="004D1A24">
              <w:t>Age</w:t>
            </w:r>
          </w:p>
        </w:tc>
        <w:tc>
          <w:tcPr>
            <w:tcW w:w="876" w:type="dxa"/>
          </w:tcPr>
          <w:p w14:paraId="079F168D" w14:textId="77777777" w:rsidR="00B66D8B" w:rsidRPr="004D1A24" w:rsidRDefault="00B66D8B" w:rsidP="00E10A50">
            <w:r w:rsidRPr="004D1A24">
              <w:t>BMI</w:t>
            </w:r>
          </w:p>
        </w:tc>
        <w:tc>
          <w:tcPr>
            <w:tcW w:w="2041" w:type="dxa"/>
          </w:tcPr>
          <w:p w14:paraId="7D30E5A7" w14:textId="77777777" w:rsidR="00B66D8B" w:rsidRPr="004D1A24" w:rsidRDefault="00B66D8B" w:rsidP="00E10A50">
            <w:r w:rsidRPr="004D1A24">
              <w:t>Defect</w:t>
            </w:r>
          </w:p>
        </w:tc>
        <w:tc>
          <w:tcPr>
            <w:tcW w:w="1881" w:type="dxa"/>
          </w:tcPr>
          <w:p w14:paraId="57E72DFB" w14:textId="77777777" w:rsidR="00B66D8B" w:rsidRPr="004D1A24" w:rsidRDefault="00B66D8B" w:rsidP="00E10A50">
            <w:r w:rsidRPr="004D1A24">
              <w:t>Ethnicity</w:t>
            </w:r>
          </w:p>
        </w:tc>
        <w:tc>
          <w:tcPr>
            <w:tcW w:w="1094" w:type="dxa"/>
          </w:tcPr>
          <w:p w14:paraId="5ADBC8D4" w14:textId="77777777" w:rsidR="00B66D8B" w:rsidRPr="004D1A24" w:rsidRDefault="00B66D8B" w:rsidP="00E10A50">
            <w:r w:rsidRPr="004D1A24">
              <w:t xml:space="preserve">PA growth </w:t>
            </w:r>
          </w:p>
        </w:tc>
      </w:tr>
      <w:tr w:rsidR="004D1A24" w:rsidRPr="004D1A24" w14:paraId="770469F1" w14:textId="77777777" w:rsidTr="00E10A50">
        <w:trPr>
          <w:trHeight w:val="804"/>
        </w:trPr>
        <w:tc>
          <w:tcPr>
            <w:tcW w:w="1387" w:type="dxa"/>
          </w:tcPr>
          <w:p w14:paraId="6D119A14" w14:textId="77777777" w:rsidR="00B66D8B" w:rsidRPr="004D1A24" w:rsidRDefault="00B66D8B" w:rsidP="00E10A50">
            <w:r w:rsidRPr="004D1A24">
              <w:t>Paediatric total cohort</w:t>
            </w:r>
          </w:p>
          <w:p w14:paraId="5750E840" w14:textId="77777777" w:rsidR="00B66D8B" w:rsidRPr="004D1A24" w:rsidRDefault="00B66D8B" w:rsidP="00E10A50">
            <w:r w:rsidRPr="004D1A24">
              <w:t>n=117</w:t>
            </w:r>
          </w:p>
        </w:tc>
        <w:tc>
          <w:tcPr>
            <w:tcW w:w="1220" w:type="dxa"/>
          </w:tcPr>
          <w:p w14:paraId="55EACA2C" w14:textId="77777777" w:rsidR="00B66D8B" w:rsidRPr="004D1A24" w:rsidRDefault="00B66D8B" w:rsidP="00E10A50">
            <w:r w:rsidRPr="004D1A24">
              <w:t>78%</w:t>
            </w:r>
          </w:p>
        </w:tc>
        <w:tc>
          <w:tcPr>
            <w:tcW w:w="594" w:type="dxa"/>
          </w:tcPr>
          <w:p w14:paraId="2B5ADB8B" w14:textId="77777777" w:rsidR="00B66D8B" w:rsidRPr="004D1A24" w:rsidRDefault="00B66D8B" w:rsidP="00E10A50">
            <w:r w:rsidRPr="004D1A24">
              <w:t>12</w:t>
            </w:r>
          </w:p>
        </w:tc>
        <w:tc>
          <w:tcPr>
            <w:tcW w:w="876" w:type="dxa"/>
          </w:tcPr>
          <w:p w14:paraId="57A52A01" w14:textId="77777777" w:rsidR="00B66D8B" w:rsidRPr="004D1A24" w:rsidRDefault="00B66D8B" w:rsidP="00E10A50">
            <w:r w:rsidRPr="004D1A24">
              <w:t>18</w:t>
            </w:r>
          </w:p>
        </w:tc>
        <w:tc>
          <w:tcPr>
            <w:tcW w:w="2041" w:type="dxa"/>
          </w:tcPr>
          <w:p w14:paraId="76493F47" w14:textId="77777777" w:rsidR="00B66D8B" w:rsidRPr="004D1A24" w:rsidRDefault="00B66D8B" w:rsidP="00E10A50">
            <w:r w:rsidRPr="004D1A24">
              <w:t>ODA+/-IDA   65%</w:t>
            </w:r>
          </w:p>
          <w:p w14:paraId="730D7B9A" w14:textId="77777777" w:rsidR="00B66D8B" w:rsidRPr="004D1A24" w:rsidRDefault="00B66D8B" w:rsidP="00E10A50">
            <w:r w:rsidRPr="004D1A24">
              <w:t>MTD              18%</w:t>
            </w:r>
          </w:p>
          <w:p w14:paraId="674BCA0A" w14:textId="77777777" w:rsidR="00B66D8B" w:rsidRPr="004D1A24" w:rsidRDefault="00B66D8B" w:rsidP="00E10A50">
            <w:r w:rsidRPr="004D1A24">
              <w:t>Normal         18%</w:t>
            </w:r>
          </w:p>
        </w:tc>
        <w:tc>
          <w:tcPr>
            <w:tcW w:w="1881" w:type="dxa"/>
          </w:tcPr>
          <w:p w14:paraId="6192CEA7" w14:textId="77777777" w:rsidR="00B66D8B" w:rsidRPr="004D1A24" w:rsidRDefault="00B66D8B" w:rsidP="00E10A50">
            <w:r w:rsidRPr="004D1A24">
              <w:t>Caucasian     39%</w:t>
            </w:r>
          </w:p>
          <w:p w14:paraId="580EC185" w14:textId="77777777" w:rsidR="00B66D8B" w:rsidRPr="004D1A24" w:rsidRDefault="00B66D8B" w:rsidP="00E10A50">
            <w:r w:rsidRPr="004D1A24">
              <w:t>South Asian  56%</w:t>
            </w:r>
          </w:p>
          <w:p w14:paraId="4922F7E3" w14:textId="77777777" w:rsidR="00B66D8B" w:rsidRPr="004D1A24" w:rsidRDefault="00B66D8B" w:rsidP="00E10A50">
            <w:r w:rsidRPr="004D1A24">
              <w:t>Other             5%</w:t>
            </w:r>
          </w:p>
        </w:tc>
        <w:tc>
          <w:tcPr>
            <w:tcW w:w="1094" w:type="dxa"/>
          </w:tcPr>
          <w:p w14:paraId="5D8CA0DF" w14:textId="77777777" w:rsidR="00B66D8B" w:rsidRPr="004D1A24" w:rsidRDefault="00B66D8B" w:rsidP="00E10A50">
            <w:r w:rsidRPr="004D1A24">
              <w:t>Not known</w:t>
            </w:r>
          </w:p>
        </w:tc>
      </w:tr>
      <w:tr w:rsidR="004D1A24" w:rsidRPr="004D1A24" w14:paraId="103993E0" w14:textId="77777777" w:rsidTr="00E10A50">
        <w:trPr>
          <w:trHeight w:val="864"/>
        </w:trPr>
        <w:tc>
          <w:tcPr>
            <w:tcW w:w="1387" w:type="dxa"/>
          </w:tcPr>
          <w:p w14:paraId="7F614812" w14:textId="77777777" w:rsidR="00B66D8B" w:rsidRPr="004D1A24" w:rsidRDefault="00B66D8B" w:rsidP="00E10A50">
            <w:r w:rsidRPr="004D1A24">
              <w:t>Paediatric study cohort n=57</w:t>
            </w:r>
          </w:p>
        </w:tc>
        <w:tc>
          <w:tcPr>
            <w:tcW w:w="1220" w:type="dxa"/>
          </w:tcPr>
          <w:p w14:paraId="5216CEC1" w14:textId="77777777" w:rsidR="00B66D8B" w:rsidRPr="004D1A24" w:rsidRDefault="00B66D8B" w:rsidP="00E10A50">
            <w:r w:rsidRPr="004D1A24">
              <w:t>75%</w:t>
            </w:r>
          </w:p>
        </w:tc>
        <w:tc>
          <w:tcPr>
            <w:tcW w:w="594" w:type="dxa"/>
          </w:tcPr>
          <w:p w14:paraId="50069176" w14:textId="77777777" w:rsidR="00B66D8B" w:rsidRPr="004D1A24" w:rsidRDefault="00B66D8B" w:rsidP="00E10A50">
            <w:r w:rsidRPr="004D1A24">
              <w:t>11</w:t>
            </w:r>
          </w:p>
        </w:tc>
        <w:tc>
          <w:tcPr>
            <w:tcW w:w="876" w:type="dxa"/>
          </w:tcPr>
          <w:p w14:paraId="2707436C" w14:textId="77777777" w:rsidR="00B66D8B" w:rsidRPr="004D1A24" w:rsidRDefault="00B66D8B" w:rsidP="00E10A50">
            <w:r w:rsidRPr="004D1A24">
              <w:t>18</w:t>
            </w:r>
          </w:p>
        </w:tc>
        <w:tc>
          <w:tcPr>
            <w:tcW w:w="2041" w:type="dxa"/>
          </w:tcPr>
          <w:p w14:paraId="5CB23AC2" w14:textId="77777777" w:rsidR="00B66D8B" w:rsidRPr="004D1A24" w:rsidRDefault="00B66D8B" w:rsidP="00E10A50">
            <w:r w:rsidRPr="004D1A24">
              <w:t>ODA+/-IDA   55%</w:t>
            </w:r>
          </w:p>
          <w:p w14:paraId="3C850AFB" w14:textId="77777777" w:rsidR="00B66D8B" w:rsidRPr="004D1A24" w:rsidRDefault="00B66D8B" w:rsidP="00E10A50">
            <w:r w:rsidRPr="004D1A24">
              <w:t>MTD              20%</w:t>
            </w:r>
          </w:p>
          <w:p w14:paraId="5703053E" w14:textId="77777777" w:rsidR="00B66D8B" w:rsidRPr="004D1A24" w:rsidRDefault="00B66D8B" w:rsidP="00E10A50">
            <w:r w:rsidRPr="004D1A24">
              <w:t>Normal         25%</w:t>
            </w:r>
          </w:p>
        </w:tc>
        <w:tc>
          <w:tcPr>
            <w:tcW w:w="1881" w:type="dxa"/>
          </w:tcPr>
          <w:p w14:paraId="29ECEEFF" w14:textId="77777777" w:rsidR="00B66D8B" w:rsidRPr="004D1A24" w:rsidRDefault="00B66D8B" w:rsidP="00E10A50">
            <w:r w:rsidRPr="004D1A24">
              <w:t>Caucasian     39%</w:t>
            </w:r>
          </w:p>
          <w:p w14:paraId="01996D74" w14:textId="77777777" w:rsidR="00B66D8B" w:rsidRPr="004D1A24" w:rsidRDefault="00B66D8B" w:rsidP="00E10A50">
            <w:r w:rsidRPr="004D1A24">
              <w:t>South Asian  58%</w:t>
            </w:r>
          </w:p>
          <w:p w14:paraId="7608B32F" w14:textId="77777777" w:rsidR="00B66D8B" w:rsidRPr="004D1A24" w:rsidRDefault="00B66D8B" w:rsidP="00E10A50">
            <w:r w:rsidRPr="004D1A24">
              <w:t>Other             3%</w:t>
            </w:r>
          </w:p>
        </w:tc>
        <w:tc>
          <w:tcPr>
            <w:tcW w:w="1094" w:type="dxa"/>
          </w:tcPr>
          <w:p w14:paraId="46CF0D2F" w14:textId="77777777" w:rsidR="00B66D8B" w:rsidRPr="004D1A24" w:rsidRDefault="00B66D8B" w:rsidP="00E10A50">
            <w:r w:rsidRPr="004D1A24">
              <w:t>25%</w:t>
            </w:r>
          </w:p>
        </w:tc>
      </w:tr>
      <w:tr w:rsidR="004D1A24" w:rsidRPr="004D1A24" w14:paraId="716253A8" w14:textId="77777777" w:rsidTr="00E10A50">
        <w:trPr>
          <w:trHeight w:val="804"/>
        </w:trPr>
        <w:tc>
          <w:tcPr>
            <w:tcW w:w="1387" w:type="dxa"/>
          </w:tcPr>
          <w:p w14:paraId="0BEABD03" w14:textId="77777777" w:rsidR="00B66D8B" w:rsidRPr="004D1A24" w:rsidRDefault="00B66D8B" w:rsidP="00E10A50">
            <w:r w:rsidRPr="004D1A24">
              <w:t>Adult total cohort</w:t>
            </w:r>
          </w:p>
          <w:p w14:paraId="4761DE40" w14:textId="77777777" w:rsidR="00B66D8B" w:rsidRPr="004D1A24" w:rsidRDefault="00B66D8B" w:rsidP="00E10A50">
            <w:r w:rsidRPr="004D1A24">
              <w:t>n=151</w:t>
            </w:r>
          </w:p>
        </w:tc>
        <w:tc>
          <w:tcPr>
            <w:tcW w:w="1220" w:type="dxa"/>
          </w:tcPr>
          <w:p w14:paraId="10982601" w14:textId="77777777" w:rsidR="00B66D8B" w:rsidRPr="004D1A24" w:rsidRDefault="00B66D8B" w:rsidP="00E10A50">
            <w:r w:rsidRPr="004D1A24">
              <w:t>71%</w:t>
            </w:r>
          </w:p>
        </w:tc>
        <w:tc>
          <w:tcPr>
            <w:tcW w:w="594" w:type="dxa"/>
          </w:tcPr>
          <w:p w14:paraId="37F6A54B" w14:textId="77777777" w:rsidR="00B66D8B" w:rsidRPr="004D1A24" w:rsidRDefault="00B66D8B" w:rsidP="00E10A50">
            <w:r w:rsidRPr="004D1A24">
              <w:t>35</w:t>
            </w:r>
          </w:p>
        </w:tc>
        <w:tc>
          <w:tcPr>
            <w:tcW w:w="876" w:type="dxa"/>
          </w:tcPr>
          <w:p w14:paraId="0C2FF92E" w14:textId="77777777" w:rsidR="00B66D8B" w:rsidRPr="004D1A24" w:rsidRDefault="00B66D8B" w:rsidP="00E10A50">
            <w:r w:rsidRPr="004D1A24">
              <w:t>Not known</w:t>
            </w:r>
          </w:p>
        </w:tc>
        <w:tc>
          <w:tcPr>
            <w:tcW w:w="2041" w:type="dxa"/>
          </w:tcPr>
          <w:p w14:paraId="2776FF67" w14:textId="77777777" w:rsidR="00B66D8B" w:rsidRPr="004D1A24" w:rsidRDefault="00B66D8B" w:rsidP="00E10A50">
            <w:r w:rsidRPr="004D1A24">
              <w:t>ODA+/-IDA   66%</w:t>
            </w:r>
          </w:p>
          <w:p w14:paraId="1B30D3E8" w14:textId="77777777" w:rsidR="00B66D8B" w:rsidRPr="004D1A24" w:rsidRDefault="00B66D8B" w:rsidP="00E10A50">
            <w:r w:rsidRPr="004D1A24">
              <w:t>MTD              20%</w:t>
            </w:r>
          </w:p>
          <w:p w14:paraId="3B3E3BAE" w14:textId="77777777" w:rsidR="00B66D8B" w:rsidRPr="004D1A24" w:rsidRDefault="00B66D8B" w:rsidP="00E10A50">
            <w:r w:rsidRPr="004D1A24">
              <w:t>Normal         14%</w:t>
            </w:r>
          </w:p>
        </w:tc>
        <w:tc>
          <w:tcPr>
            <w:tcW w:w="1881" w:type="dxa"/>
          </w:tcPr>
          <w:p w14:paraId="5D84583A" w14:textId="77777777" w:rsidR="00B66D8B" w:rsidRPr="004D1A24" w:rsidRDefault="00B66D8B" w:rsidP="00E10A50">
            <w:r w:rsidRPr="004D1A24">
              <w:t>Not known</w:t>
            </w:r>
          </w:p>
        </w:tc>
        <w:tc>
          <w:tcPr>
            <w:tcW w:w="1094" w:type="dxa"/>
          </w:tcPr>
          <w:p w14:paraId="393996FE" w14:textId="77777777" w:rsidR="00B66D8B" w:rsidRPr="004D1A24" w:rsidRDefault="00B66D8B" w:rsidP="00E10A50">
            <w:r w:rsidRPr="004D1A24">
              <w:t>68%</w:t>
            </w:r>
          </w:p>
        </w:tc>
      </w:tr>
      <w:tr w:rsidR="004D1A24" w:rsidRPr="004D1A24" w14:paraId="18E27FDD" w14:textId="77777777" w:rsidTr="00E10A50">
        <w:trPr>
          <w:trHeight w:val="819"/>
        </w:trPr>
        <w:tc>
          <w:tcPr>
            <w:tcW w:w="1387" w:type="dxa"/>
          </w:tcPr>
          <w:p w14:paraId="64303583" w14:textId="77777777" w:rsidR="00B66D8B" w:rsidRPr="004D1A24" w:rsidRDefault="00B66D8B" w:rsidP="00E10A50">
            <w:r w:rsidRPr="004D1A24">
              <w:t>Adult study cohort</w:t>
            </w:r>
          </w:p>
          <w:p w14:paraId="2881C892" w14:textId="77777777" w:rsidR="00B66D8B" w:rsidRPr="004D1A24" w:rsidRDefault="00B66D8B" w:rsidP="00E10A50">
            <w:r w:rsidRPr="004D1A24">
              <w:t>n=13</w:t>
            </w:r>
          </w:p>
        </w:tc>
        <w:tc>
          <w:tcPr>
            <w:tcW w:w="1220" w:type="dxa"/>
          </w:tcPr>
          <w:p w14:paraId="15F844AF" w14:textId="77777777" w:rsidR="00B66D8B" w:rsidRPr="004D1A24" w:rsidRDefault="00B66D8B" w:rsidP="00E10A50">
            <w:r w:rsidRPr="004D1A24">
              <w:t>67%</w:t>
            </w:r>
          </w:p>
        </w:tc>
        <w:tc>
          <w:tcPr>
            <w:tcW w:w="594" w:type="dxa"/>
          </w:tcPr>
          <w:p w14:paraId="706FB787" w14:textId="77777777" w:rsidR="00B66D8B" w:rsidRPr="004D1A24" w:rsidRDefault="00B66D8B" w:rsidP="00E10A50">
            <w:r w:rsidRPr="004D1A24">
              <w:t>25</w:t>
            </w:r>
          </w:p>
        </w:tc>
        <w:tc>
          <w:tcPr>
            <w:tcW w:w="876" w:type="dxa"/>
          </w:tcPr>
          <w:p w14:paraId="08E09A9A" w14:textId="77777777" w:rsidR="00B66D8B" w:rsidRPr="004D1A24" w:rsidRDefault="00B66D8B" w:rsidP="00E10A50">
            <w:r w:rsidRPr="004D1A24">
              <w:t>22</w:t>
            </w:r>
          </w:p>
        </w:tc>
        <w:tc>
          <w:tcPr>
            <w:tcW w:w="2041" w:type="dxa"/>
          </w:tcPr>
          <w:p w14:paraId="2B97B06E" w14:textId="77777777" w:rsidR="00B66D8B" w:rsidRPr="004D1A24" w:rsidRDefault="00B66D8B" w:rsidP="00E10A50">
            <w:r w:rsidRPr="004D1A24">
              <w:t>ODA+/-IDA   62%</w:t>
            </w:r>
          </w:p>
          <w:p w14:paraId="7558456C" w14:textId="77777777" w:rsidR="00B66D8B" w:rsidRPr="004D1A24" w:rsidRDefault="00B66D8B" w:rsidP="00E10A50">
            <w:r w:rsidRPr="004D1A24">
              <w:t>MTD              31%</w:t>
            </w:r>
          </w:p>
          <w:p w14:paraId="566C3BCA" w14:textId="77777777" w:rsidR="00B66D8B" w:rsidRPr="004D1A24" w:rsidRDefault="00B66D8B" w:rsidP="00E10A50">
            <w:r w:rsidRPr="004D1A24">
              <w:t>Normal         7%</w:t>
            </w:r>
          </w:p>
        </w:tc>
        <w:tc>
          <w:tcPr>
            <w:tcW w:w="1881" w:type="dxa"/>
          </w:tcPr>
          <w:p w14:paraId="113EA275" w14:textId="77777777" w:rsidR="00B66D8B" w:rsidRPr="004D1A24" w:rsidRDefault="00B66D8B" w:rsidP="00E10A50">
            <w:r w:rsidRPr="004D1A24">
              <w:t>Caucasian     69%</w:t>
            </w:r>
          </w:p>
          <w:p w14:paraId="2AEB0F76" w14:textId="77777777" w:rsidR="00B66D8B" w:rsidRPr="004D1A24" w:rsidRDefault="00B66D8B" w:rsidP="00E10A50">
            <w:r w:rsidRPr="004D1A24">
              <w:t>South Asian  31%</w:t>
            </w:r>
          </w:p>
          <w:p w14:paraId="16BCFB1C" w14:textId="77777777" w:rsidR="00B66D8B" w:rsidRPr="004D1A24" w:rsidRDefault="00B66D8B" w:rsidP="00E10A50">
            <w:r w:rsidRPr="004D1A24">
              <w:t>Other             0%</w:t>
            </w:r>
          </w:p>
        </w:tc>
        <w:tc>
          <w:tcPr>
            <w:tcW w:w="1094" w:type="dxa"/>
          </w:tcPr>
          <w:p w14:paraId="6AFA2175" w14:textId="77777777" w:rsidR="00B66D8B" w:rsidRPr="004D1A24" w:rsidRDefault="00B66D8B" w:rsidP="00E10A50">
            <w:r w:rsidRPr="004D1A24">
              <w:t>54%</w:t>
            </w:r>
          </w:p>
        </w:tc>
      </w:tr>
    </w:tbl>
    <w:p w14:paraId="7698774F" w14:textId="0B04671F" w:rsidR="00B66D8B" w:rsidRPr="004D1A24" w:rsidRDefault="00B66D8B" w:rsidP="00255A47"/>
    <w:p w14:paraId="44500C97" w14:textId="7AF99492" w:rsidR="00B66D8B" w:rsidRPr="004D1A24" w:rsidRDefault="00B66D8B" w:rsidP="00255A47">
      <w:pPr>
        <w:rPr>
          <w:b/>
          <w:i/>
        </w:rPr>
      </w:pPr>
      <w:r w:rsidRPr="004D1A24">
        <w:rPr>
          <w:b/>
          <w:i/>
        </w:rPr>
        <w:t>Table e1 – Demographics of study population compared with available adult and paediatric PCD populations.</w:t>
      </w:r>
    </w:p>
    <w:p w14:paraId="66C3A764" w14:textId="77777777" w:rsidR="00B66D8B" w:rsidRPr="004D1A24" w:rsidRDefault="00B66D8B" w:rsidP="00255A47"/>
    <w:p w14:paraId="53C59ECC" w14:textId="77777777" w:rsidR="00B66D8B" w:rsidRPr="004D1A24" w:rsidRDefault="00B66D8B" w:rsidP="00255A47"/>
    <w:p w14:paraId="5F69D864" w14:textId="35A140A3" w:rsidR="00B66D8B" w:rsidRPr="004D1A24" w:rsidRDefault="00B66D8B" w:rsidP="00255A47">
      <w:r w:rsidRPr="004D1A24">
        <w:t>There are some missing data in the available clinical database.  BMI and ethnicity is not currently recorded for adult patients on clinical data.  Many PCD patients have shared care arrangements with local hospitals, and so full microbiology data is not available for the majority of patients to confirm growth of P. aeruginosa.</w:t>
      </w:r>
    </w:p>
    <w:p w14:paraId="06397467" w14:textId="77777777" w:rsidR="00B66D8B" w:rsidRPr="004D1A24" w:rsidRDefault="00B66D8B" w:rsidP="00255A47"/>
    <w:p w14:paraId="653335F5" w14:textId="77777777" w:rsidR="00B66D8B" w:rsidRPr="004D1A24" w:rsidRDefault="00B66D8B" w:rsidP="00255A47"/>
    <w:p w14:paraId="78A9EE16" w14:textId="75DF6781" w:rsidR="00B66D8B" w:rsidRPr="004D1A24" w:rsidRDefault="00B66D8B" w:rsidP="00255A47">
      <w:r w:rsidRPr="004D1A24">
        <w:lastRenderedPageBreak/>
        <w:t>In general, there is a good agreement between the study groups and total populations, although the adult recruited cohort is small.</w:t>
      </w:r>
    </w:p>
    <w:p w14:paraId="61479F9A" w14:textId="77777777" w:rsidR="00B66D8B" w:rsidRPr="004D1A24" w:rsidRDefault="00B66D8B" w:rsidP="00255A47"/>
    <w:p w14:paraId="30804F9F" w14:textId="06B76907" w:rsidR="00B66D8B" w:rsidRPr="004D1A24" w:rsidRDefault="00B66D8B" w:rsidP="00B66D8B">
      <w:r w:rsidRPr="004D1A24">
        <w:t xml:space="preserve">Our </w:t>
      </w:r>
      <w:proofErr w:type="gramStart"/>
      <w:r w:rsidRPr="004D1A24">
        <w:t>cohort are</w:t>
      </w:r>
      <w:proofErr w:type="gramEnd"/>
      <w:r w:rsidRPr="004D1A24">
        <w:t xml:space="preserve"> also comparable to previously published data.  140 patients from our centre were included in the cross sectional and longitudinal analysis of lung function and clinical characteristics in multiple centres conducted by </w:t>
      </w:r>
      <w:proofErr w:type="spellStart"/>
      <w:r w:rsidRPr="004D1A24">
        <w:t>Maglione</w:t>
      </w:r>
      <w:proofErr w:type="spellEnd"/>
      <w:r w:rsidRPr="004D1A24">
        <w:t xml:space="preserve"> et al (</w:t>
      </w:r>
      <w:proofErr w:type="spellStart"/>
      <w:r w:rsidRPr="004D1A24">
        <w:t>Pediatr</w:t>
      </w:r>
      <w:proofErr w:type="spellEnd"/>
      <w:r w:rsidRPr="004D1A24">
        <w:t xml:space="preserve"> </w:t>
      </w:r>
      <w:proofErr w:type="spellStart"/>
      <w:r w:rsidRPr="004D1A24">
        <w:t>Pulmonol</w:t>
      </w:r>
      <w:proofErr w:type="spellEnd"/>
      <w:r w:rsidRPr="004D1A24">
        <w:t>. 2014 Dec</w:t>
      </w:r>
      <w:proofErr w:type="gramStart"/>
      <w:r w:rsidRPr="004D1A24">
        <w:t>;49</w:t>
      </w:r>
      <w:proofErr w:type="gramEnd"/>
      <w:r w:rsidRPr="004D1A24">
        <w:t xml:space="preserve">(12):1243-50).  </w:t>
      </w:r>
      <w:proofErr w:type="gramStart"/>
      <w:r w:rsidRPr="004D1A24">
        <w:t>In that study, FEV1 was similar (-1.37 z scores versus -1.98 z scores), percentage with ODA+/-IDA defects (64% versus 56%) and infection with Pseudomonas Aeruginosa (36% versus 30%).</w:t>
      </w:r>
      <w:proofErr w:type="gramEnd"/>
    </w:p>
    <w:p w14:paraId="13C2BAAE" w14:textId="77777777" w:rsidR="00B66D8B" w:rsidRPr="004D1A24" w:rsidRDefault="00B66D8B" w:rsidP="00255A47">
      <w:pPr>
        <w:sectPr w:rsidR="00B66D8B" w:rsidRPr="004D1A24" w:rsidSect="00952DD1">
          <w:pgSz w:w="11906" w:h="16838"/>
          <w:pgMar w:top="1418" w:right="1418" w:bottom="1418" w:left="1418" w:header="709" w:footer="709" w:gutter="0"/>
          <w:cols w:space="708"/>
          <w:docGrid w:linePitch="360"/>
        </w:sectPr>
      </w:pPr>
    </w:p>
    <w:p w14:paraId="35DCDEB5" w14:textId="77777777" w:rsidR="00255A47" w:rsidRDefault="00255A47" w:rsidP="00255A47"/>
    <w:p w14:paraId="75588D15" w14:textId="08C13711" w:rsidR="00ED2F14" w:rsidRDefault="00ED2F14" w:rsidP="00ED2F14">
      <w:pPr>
        <w:rPr>
          <w:b/>
          <w:szCs w:val="22"/>
        </w:rPr>
      </w:pPr>
      <w:r w:rsidRPr="008A6E5C">
        <w:rPr>
          <w:b/>
          <w:szCs w:val="22"/>
        </w:rPr>
        <w:t>Additional analysis details</w:t>
      </w:r>
    </w:p>
    <w:p w14:paraId="776A2AC3" w14:textId="77777777" w:rsidR="00E73FA9" w:rsidRDefault="00E73FA9" w:rsidP="00ED2F14">
      <w:pPr>
        <w:rPr>
          <w:szCs w:val="22"/>
        </w:rPr>
      </w:pPr>
    </w:p>
    <w:p w14:paraId="3EF785C2" w14:textId="526AD298" w:rsidR="00E73FA9" w:rsidRDefault="00E73FA9" w:rsidP="00ED2F14">
      <w:pPr>
        <w:rPr>
          <w:szCs w:val="22"/>
        </w:rPr>
      </w:pPr>
      <w:r>
        <w:rPr>
          <w:szCs w:val="22"/>
        </w:rPr>
        <w:t>Age does not differ between the ultrastructure defect categories (</w:t>
      </w:r>
      <w:proofErr w:type="spellStart"/>
      <w:r>
        <w:rPr>
          <w:szCs w:val="22"/>
        </w:rPr>
        <w:t>Kruskall</w:t>
      </w:r>
      <w:proofErr w:type="spellEnd"/>
      <w:r>
        <w:rPr>
          <w:szCs w:val="22"/>
        </w:rPr>
        <w:t xml:space="preserve">-Wallis p=0.75), but is weakly </w:t>
      </w:r>
      <w:r w:rsidR="007B540E">
        <w:rPr>
          <w:szCs w:val="22"/>
        </w:rPr>
        <w:t>associated</w:t>
      </w:r>
      <w:r>
        <w:rPr>
          <w:szCs w:val="22"/>
        </w:rPr>
        <w:t xml:space="preserve"> with LCI (Spearman’s rank p=0.04, r=0.3).  For that reason, it would be desirable to attempt a multivariate analysis to rule out any effects of age on the differences seen in LC</w:t>
      </w:r>
      <w:r w:rsidR="007B540E">
        <w:rPr>
          <w:szCs w:val="22"/>
        </w:rPr>
        <w:t>I between ultrastructure groups, and professional statistical advice was sought.</w:t>
      </w:r>
    </w:p>
    <w:p w14:paraId="4A4D4259" w14:textId="77777777" w:rsidR="00E73FA9" w:rsidRDefault="00E73FA9" w:rsidP="00ED2F14">
      <w:pPr>
        <w:rPr>
          <w:szCs w:val="22"/>
        </w:rPr>
      </w:pPr>
    </w:p>
    <w:p w14:paraId="763BFE97" w14:textId="50B02521" w:rsidR="00E73FA9" w:rsidRDefault="00E73FA9" w:rsidP="00ED2F14">
      <w:pPr>
        <w:rPr>
          <w:szCs w:val="22"/>
        </w:rPr>
      </w:pPr>
      <w:r>
        <w:rPr>
          <w:szCs w:val="22"/>
        </w:rPr>
        <w:t>In these patients, both LCI and age are non-parametrically distributed.  LCI can be transformed using a natural logarithm to a parametric continuous variable, but age remains skewed when transformed.  For this reason, the most appropriate data handling method was to break age down to categorical variables of paediatric (&lt;17 years of age) and adult age groups.</w:t>
      </w:r>
    </w:p>
    <w:p w14:paraId="2865490C" w14:textId="77777777" w:rsidR="00E73FA9" w:rsidRDefault="00E73FA9" w:rsidP="00ED2F14">
      <w:pPr>
        <w:rPr>
          <w:szCs w:val="22"/>
        </w:rPr>
      </w:pPr>
    </w:p>
    <w:p w14:paraId="108D3FAE" w14:textId="020F8599" w:rsidR="00E73FA9" w:rsidRPr="00E73FA9" w:rsidRDefault="00E73FA9" w:rsidP="00ED2F14">
      <w:pPr>
        <w:rPr>
          <w:szCs w:val="22"/>
        </w:rPr>
      </w:pPr>
      <w:r>
        <w:rPr>
          <w:szCs w:val="22"/>
        </w:rPr>
        <w:t xml:space="preserve">When a linear regression is performed, there is no significant correlation between these age variables and LCI, and therefore </w:t>
      </w:r>
      <w:r w:rsidR="007B540E">
        <w:rPr>
          <w:szCs w:val="22"/>
        </w:rPr>
        <w:t>further modelling to a multivariate analysis with ultrastructure group is not appropriate in these data, and univariate analysis as presented in the main paper remains the most appropriate method of performing this analysis.</w:t>
      </w:r>
    </w:p>
    <w:p w14:paraId="61295BD5" w14:textId="77777777" w:rsidR="00ED2F14" w:rsidRPr="008A6E5C" w:rsidRDefault="00ED2F14" w:rsidP="00ED2F14">
      <w:pPr>
        <w:rPr>
          <w:b/>
          <w:szCs w:val="22"/>
        </w:rPr>
      </w:pPr>
    </w:p>
    <w:sectPr w:rsidR="00ED2F14" w:rsidRPr="008A6E5C" w:rsidSect="00952DD1">
      <w:pgSz w:w="11906" w:h="16838"/>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CA8FD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ush, Andrew">
    <w15:presenceInfo w15:providerId="AD" w15:userId="S-1-5-21-243037206-41955558-561332275-859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A47"/>
    <w:rsid w:val="00066DE2"/>
    <w:rsid w:val="000968FE"/>
    <w:rsid w:val="00097A83"/>
    <w:rsid w:val="000B2FE4"/>
    <w:rsid w:val="000B6DFA"/>
    <w:rsid w:val="001332CA"/>
    <w:rsid w:val="0014241F"/>
    <w:rsid w:val="001744CE"/>
    <w:rsid w:val="001A2887"/>
    <w:rsid w:val="00255A47"/>
    <w:rsid w:val="002C49E7"/>
    <w:rsid w:val="002D750A"/>
    <w:rsid w:val="0030726C"/>
    <w:rsid w:val="003901D4"/>
    <w:rsid w:val="003D0C5F"/>
    <w:rsid w:val="003D531E"/>
    <w:rsid w:val="004506AB"/>
    <w:rsid w:val="00457976"/>
    <w:rsid w:val="00470143"/>
    <w:rsid w:val="004847FF"/>
    <w:rsid w:val="004B06DE"/>
    <w:rsid w:val="004B6DF6"/>
    <w:rsid w:val="004D1A24"/>
    <w:rsid w:val="00505C8D"/>
    <w:rsid w:val="005741C3"/>
    <w:rsid w:val="005916D8"/>
    <w:rsid w:val="005E5244"/>
    <w:rsid w:val="006C28B8"/>
    <w:rsid w:val="006E5FB2"/>
    <w:rsid w:val="006F59B5"/>
    <w:rsid w:val="00703EB0"/>
    <w:rsid w:val="007110D0"/>
    <w:rsid w:val="007965D6"/>
    <w:rsid w:val="007B098A"/>
    <w:rsid w:val="007B540E"/>
    <w:rsid w:val="007D6922"/>
    <w:rsid w:val="00833D49"/>
    <w:rsid w:val="00872AF6"/>
    <w:rsid w:val="008A6E5C"/>
    <w:rsid w:val="008C717F"/>
    <w:rsid w:val="008F286F"/>
    <w:rsid w:val="008F6209"/>
    <w:rsid w:val="00952DD1"/>
    <w:rsid w:val="009B668A"/>
    <w:rsid w:val="009F1B0D"/>
    <w:rsid w:val="00A504C8"/>
    <w:rsid w:val="00A93ADC"/>
    <w:rsid w:val="00AB1111"/>
    <w:rsid w:val="00AC05FF"/>
    <w:rsid w:val="00B66D8B"/>
    <w:rsid w:val="00C46436"/>
    <w:rsid w:val="00CA5D43"/>
    <w:rsid w:val="00CD7594"/>
    <w:rsid w:val="00D2190F"/>
    <w:rsid w:val="00D23FB1"/>
    <w:rsid w:val="00E73FA9"/>
    <w:rsid w:val="00EA26B1"/>
    <w:rsid w:val="00EC1F95"/>
    <w:rsid w:val="00EC23E5"/>
    <w:rsid w:val="00ED2F14"/>
    <w:rsid w:val="00EE64A7"/>
    <w:rsid w:val="00EE6F9B"/>
    <w:rsid w:val="00F22B62"/>
    <w:rsid w:val="00F245D3"/>
    <w:rsid w:val="00F5650A"/>
    <w:rsid w:val="00F56D8F"/>
    <w:rsid w:val="00FD20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82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4"/>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255A47"/>
    <w:rPr>
      <w:rFonts w:cs="Times New Roman"/>
      <w:sz w:val="16"/>
      <w:szCs w:val="16"/>
    </w:rPr>
  </w:style>
  <w:style w:type="paragraph" w:styleId="CommentText">
    <w:name w:val="annotation text"/>
    <w:basedOn w:val="Normal"/>
    <w:link w:val="CommentTextChar"/>
    <w:uiPriority w:val="99"/>
    <w:rsid w:val="00255A47"/>
    <w:rPr>
      <w:rFonts w:ascii="Times New Roman" w:hAnsi="Times New Roman"/>
      <w:sz w:val="20"/>
      <w:szCs w:val="20"/>
    </w:rPr>
  </w:style>
  <w:style w:type="character" w:customStyle="1" w:styleId="CommentTextChar">
    <w:name w:val="Comment Text Char"/>
    <w:basedOn w:val="DefaultParagraphFont"/>
    <w:link w:val="CommentText"/>
    <w:uiPriority w:val="99"/>
    <w:rsid w:val="00255A47"/>
    <w:rPr>
      <w:rFonts w:ascii="Times New Roman" w:hAnsi="Times New Roman"/>
      <w:sz w:val="20"/>
      <w:szCs w:val="20"/>
    </w:rPr>
  </w:style>
  <w:style w:type="paragraph" w:styleId="BalloonText">
    <w:name w:val="Balloon Text"/>
    <w:basedOn w:val="Normal"/>
    <w:link w:val="BalloonTextChar"/>
    <w:rsid w:val="00255A47"/>
    <w:rPr>
      <w:rFonts w:ascii="Tahoma" w:hAnsi="Tahoma" w:cs="Tahoma"/>
      <w:sz w:val="16"/>
      <w:szCs w:val="16"/>
    </w:rPr>
  </w:style>
  <w:style w:type="character" w:customStyle="1" w:styleId="BalloonTextChar">
    <w:name w:val="Balloon Text Char"/>
    <w:basedOn w:val="DefaultParagraphFont"/>
    <w:link w:val="BalloonText"/>
    <w:rsid w:val="00255A47"/>
    <w:rPr>
      <w:rFonts w:ascii="Tahoma" w:hAnsi="Tahoma" w:cs="Tahoma"/>
      <w:sz w:val="16"/>
      <w:szCs w:val="16"/>
    </w:rPr>
  </w:style>
  <w:style w:type="paragraph" w:styleId="NoSpacing">
    <w:name w:val="No Spacing"/>
    <w:uiPriority w:val="1"/>
    <w:qFormat/>
    <w:rsid w:val="00D23FB1"/>
    <w:rPr>
      <w:rFonts w:eastAsia="Calibri"/>
      <w:szCs w:val="22"/>
      <w:lang w:eastAsia="en-US"/>
    </w:rPr>
  </w:style>
  <w:style w:type="paragraph" w:styleId="CommentSubject">
    <w:name w:val="annotation subject"/>
    <w:basedOn w:val="CommentText"/>
    <w:next w:val="CommentText"/>
    <w:link w:val="CommentSubjectChar"/>
    <w:rsid w:val="00A93ADC"/>
    <w:rPr>
      <w:rFonts w:ascii="Calibri" w:hAnsi="Calibri"/>
      <w:b/>
      <w:bCs/>
    </w:rPr>
  </w:style>
  <w:style w:type="character" w:customStyle="1" w:styleId="CommentSubjectChar">
    <w:name w:val="Comment Subject Char"/>
    <w:basedOn w:val="CommentTextChar"/>
    <w:link w:val="CommentSubject"/>
    <w:rsid w:val="00A93ADC"/>
    <w:rPr>
      <w:rFonts w:ascii="Times New Roman" w:hAnsi="Times New Roman"/>
      <w:b/>
      <w:bCs/>
      <w:sz w:val="20"/>
      <w:szCs w:val="20"/>
    </w:rPr>
  </w:style>
  <w:style w:type="paragraph" w:styleId="Revision">
    <w:name w:val="Revision"/>
    <w:hidden/>
    <w:uiPriority w:val="99"/>
    <w:semiHidden/>
    <w:rsid w:val="00A93ADC"/>
  </w:style>
  <w:style w:type="table" w:styleId="TableGrid">
    <w:name w:val="Table Grid"/>
    <w:basedOn w:val="TableNormal"/>
    <w:rsid w:val="000B2FE4"/>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4"/>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255A47"/>
    <w:rPr>
      <w:rFonts w:cs="Times New Roman"/>
      <w:sz w:val="16"/>
      <w:szCs w:val="16"/>
    </w:rPr>
  </w:style>
  <w:style w:type="paragraph" w:styleId="CommentText">
    <w:name w:val="annotation text"/>
    <w:basedOn w:val="Normal"/>
    <w:link w:val="CommentTextChar"/>
    <w:uiPriority w:val="99"/>
    <w:rsid w:val="00255A47"/>
    <w:rPr>
      <w:rFonts w:ascii="Times New Roman" w:hAnsi="Times New Roman"/>
      <w:sz w:val="20"/>
      <w:szCs w:val="20"/>
    </w:rPr>
  </w:style>
  <w:style w:type="character" w:customStyle="1" w:styleId="CommentTextChar">
    <w:name w:val="Comment Text Char"/>
    <w:basedOn w:val="DefaultParagraphFont"/>
    <w:link w:val="CommentText"/>
    <w:uiPriority w:val="99"/>
    <w:rsid w:val="00255A47"/>
    <w:rPr>
      <w:rFonts w:ascii="Times New Roman" w:hAnsi="Times New Roman"/>
      <w:sz w:val="20"/>
      <w:szCs w:val="20"/>
    </w:rPr>
  </w:style>
  <w:style w:type="paragraph" w:styleId="BalloonText">
    <w:name w:val="Balloon Text"/>
    <w:basedOn w:val="Normal"/>
    <w:link w:val="BalloonTextChar"/>
    <w:rsid w:val="00255A47"/>
    <w:rPr>
      <w:rFonts w:ascii="Tahoma" w:hAnsi="Tahoma" w:cs="Tahoma"/>
      <w:sz w:val="16"/>
      <w:szCs w:val="16"/>
    </w:rPr>
  </w:style>
  <w:style w:type="character" w:customStyle="1" w:styleId="BalloonTextChar">
    <w:name w:val="Balloon Text Char"/>
    <w:basedOn w:val="DefaultParagraphFont"/>
    <w:link w:val="BalloonText"/>
    <w:rsid w:val="00255A47"/>
    <w:rPr>
      <w:rFonts w:ascii="Tahoma" w:hAnsi="Tahoma" w:cs="Tahoma"/>
      <w:sz w:val="16"/>
      <w:szCs w:val="16"/>
    </w:rPr>
  </w:style>
  <w:style w:type="paragraph" w:styleId="NoSpacing">
    <w:name w:val="No Spacing"/>
    <w:uiPriority w:val="1"/>
    <w:qFormat/>
    <w:rsid w:val="00D23FB1"/>
    <w:rPr>
      <w:rFonts w:eastAsia="Calibri"/>
      <w:szCs w:val="22"/>
      <w:lang w:eastAsia="en-US"/>
    </w:rPr>
  </w:style>
  <w:style w:type="paragraph" w:styleId="CommentSubject">
    <w:name w:val="annotation subject"/>
    <w:basedOn w:val="CommentText"/>
    <w:next w:val="CommentText"/>
    <w:link w:val="CommentSubjectChar"/>
    <w:rsid w:val="00A93ADC"/>
    <w:rPr>
      <w:rFonts w:ascii="Calibri" w:hAnsi="Calibri"/>
      <w:b/>
      <w:bCs/>
    </w:rPr>
  </w:style>
  <w:style w:type="character" w:customStyle="1" w:styleId="CommentSubjectChar">
    <w:name w:val="Comment Subject Char"/>
    <w:basedOn w:val="CommentTextChar"/>
    <w:link w:val="CommentSubject"/>
    <w:rsid w:val="00A93ADC"/>
    <w:rPr>
      <w:rFonts w:ascii="Times New Roman" w:hAnsi="Times New Roman"/>
      <w:b/>
      <w:bCs/>
      <w:sz w:val="20"/>
      <w:szCs w:val="20"/>
    </w:rPr>
  </w:style>
  <w:style w:type="paragraph" w:styleId="Revision">
    <w:name w:val="Revision"/>
    <w:hidden/>
    <w:uiPriority w:val="99"/>
    <w:semiHidden/>
    <w:rsid w:val="00A93ADC"/>
  </w:style>
  <w:style w:type="table" w:styleId="TableGrid">
    <w:name w:val="Table Grid"/>
    <w:basedOn w:val="TableNormal"/>
    <w:rsid w:val="000B2FE4"/>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944</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RBHT</Company>
  <LinksUpToDate>false</LinksUpToDate>
  <CharactersWithSpaces>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Irving Sam</dc:creator>
  <cp:lastModifiedBy>Irving Sam</cp:lastModifiedBy>
  <cp:revision>3</cp:revision>
  <dcterms:created xsi:type="dcterms:W3CDTF">2017-11-30T13:48:00Z</dcterms:created>
  <dcterms:modified xsi:type="dcterms:W3CDTF">2017-12-12T15:19:00Z</dcterms:modified>
</cp:coreProperties>
</file>