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8F5FB" w14:textId="77777777" w:rsidR="00A3057F" w:rsidRPr="000735D5" w:rsidRDefault="00A3057F" w:rsidP="000735D5">
      <w:pPr>
        <w:tabs>
          <w:tab w:val="left" w:pos="0"/>
          <w:tab w:val="center" w:pos="4513"/>
        </w:tabs>
        <w:spacing w:line="480" w:lineRule="auto"/>
        <w:jc w:val="both"/>
        <w:rPr>
          <w:sz w:val="28"/>
          <w:szCs w:val="28"/>
        </w:rPr>
      </w:pPr>
      <w:r w:rsidRPr="000735D5">
        <w:rPr>
          <w:sz w:val="28"/>
          <w:szCs w:val="28"/>
          <w:shd w:val="clear" w:color="auto" w:fill="D9D9D9" w:themeFill="background1" w:themeFillShade="D9"/>
        </w:rPr>
        <w:t xml:space="preserve">Reassessing zircon-monazite thermometry with thermodynamic modelling: insights from the Georgetown igneous complex, NE Australia </w:t>
      </w:r>
    </w:p>
    <w:p w14:paraId="125B9A4B" w14:textId="77777777" w:rsidR="000B12B6" w:rsidRPr="00BD5733" w:rsidRDefault="000B12B6" w:rsidP="000B12B6">
      <w:pPr>
        <w:pStyle w:val="AuthorAffiliation"/>
        <w:tabs>
          <w:tab w:val="left" w:pos="0"/>
        </w:tabs>
        <w:spacing w:line="480" w:lineRule="auto"/>
        <w:rPr>
          <w:sz w:val="20"/>
          <w:szCs w:val="20"/>
          <w:vertAlign w:val="superscript"/>
          <w:lang w:val="en-AU"/>
        </w:rPr>
      </w:pPr>
      <w:r w:rsidRPr="00BD5733">
        <w:rPr>
          <w:sz w:val="20"/>
          <w:szCs w:val="20"/>
        </w:rPr>
        <w:t>S. Volante</w:t>
      </w:r>
      <w:r>
        <w:rPr>
          <w:sz w:val="20"/>
          <w:szCs w:val="20"/>
          <w:vertAlign w:val="superscript"/>
        </w:rPr>
        <w:t>1,2,4</w:t>
      </w:r>
      <w:r w:rsidRPr="00BD5733">
        <w:rPr>
          <w:sz w:val="20"/>
          <w:szCs w:val="20"/>
          <w:vertAlign w:val="superscript"/>
        </w:rPr>
        <w:t>*</w:t>
      </w:r>
      <w:r w:rsidRPr="00BD5733">
        <w:rPr>
          <w:sz w:val="20"/>
          <w:szCs w:val="20"/>
        </w:rPr>
        <w:t>, W.J. Collins</w:t>
      </w:r>
      <w:r>
        <w:rPr>
          <w:sz w:val="20"/>
          <w:szCs w:val="20"/>
          <w:vertAlign w:val="superscript"/>
        </w:rPr>
        <w:t>1</w:t>
      </w:r>
      <w:r w:rsidRPr="00BD5733">
        <w:rPr>
          <w:sz w:val="20"/>
          <w:szCs w:val="20"/>
        </w:rPr>
        <w:t xml:space="preserve">, E. </w:t>
      </w:r>
      <w:r w:rsidRPr="00BD5733">
        <w:rPr>
          <w:sz w:val="20"/>
          <w:szCs w:val="20"/>
          <w:lang w:val="en-AU"/>
        </w:rPr>
        <w:t>Blereau</w:t>
      </w:r>
      <w:r w:rsidRPr="00BD5733">
        <w:rPr>
          <w:rFonts w:eastAsia="Calibri"/>
          <w:color w:val="000000"/>
          <w:sz w:val="20"/>
          <w:szCs w:val="20"/>
          <w:vertAlign w:val="superscript"/>
          <w:lang w:val="en-AU"/>
        </w:rPr>
        <w:t>3</w:t>
      </w:r>
      <w:r w:rsidRPr="00BD5733">
        <w:rPr>
          <w:sz w:val="20"/>
          <w:szCs w:val="20"/>
          <w:lang w:val="en-AU"/>
        </w:rPr>
        <w:t>, A. Pourteau</w:t>
      </w:r>
      <w:r>
        <w:rPr>
          <w:sz w:val="20"/>
          <w:szCs w:val="20"/>
          <w:vertAlign w:val="superscript"/>
          <w:lang w:val="en-AU"/>
        </w:rPr>
        <w:t>1</w:t>
      </w:r>
      <w:r w:rsidRPr="00BD5733">
        <w:rPr>
          <w:sz w:val="20"/>
          <w:szCs w:val="20"/>
          <w:lang w:val="en-AU"/>
        </w:rPr>
        <w:t>, C. Spencer</w:t>
      </w:r>
      <w:r>
        <w:rPr>
          <w:sz w:val="20"/>
          <w:szCs w:val="20"/>
          <w:vertAlign w:val="superscript"/>
          <w:lang w:val="en-AU"/>
        </w:rPr>
        <w:t>1</w:t>
      </w:r>
      <w:r w:rsidRPr="00BD5733">
        <w:rPr>
          <w:sz w:val="20"/>
          <w:szCs w:val="20"/>
          <w:lang w:val="en-AU"/>
        </w:rPr>
        <w:t xml:space="preserve">, </w:t>
      </w:r>
      <w:r w:rsidRPr="00954700">
        <w:rPr>
          <w:iCs/>
          <w:sz w:val="20"/>
          <w:szCs w:val="20"/>
          <w:lang w:val="en-AU"/>
        </w:rPr>
        <w:t>N. J. Evans</w:t>
      </w:r>
      <w:r w:rsidRPr="00BD5733">
        <w:rPr>
          <w:sz w:val="20"/>
          <w:szCs w:val="20"/>
          <w:vertAlign w:val="superscript"/>
          <w:lang w:val="en-AU"/>
        </w:rPr>
        <w:t>3</w:t>
      </w:r>
      <w:r w:rsidRPr="00BD5733">
        <w:rPr>
          <w:sz w:val="20"/>
          <w:szCs w:val="20"/>
          <w:lang w:val="en-AU"/>
        </w:rPr>
        <w:t>, V. Barrote</w:t>
      </w:r>
      <w:r>
        <w:rPr>
          <w:sz w:val="20"/>
          <w:szCs w:val="20"/>
          <w:vertAlign w:val="superscript"/>
          <w:lang w:val="en-AU"/>
        </w:rPr>
        <w:t>4</w:t>
      </w:r>
      <w:r w:rsidRPr="00BD5733">
        <w:rPr>
          <w:sz w:val="20"/>
          <w:szCs w:val="20"/>
          <w:vertAlign w:val="superscript"/>
          <w:lang w:val="en-AU"/>
        </w:rPr>
        <w:t>,</w:t>
      </w:r>
      <w:r>
        <w:rPr>
          <w:sz w:val="20"/>
          <w:szCs w:val="20"/>
          <w:vertAlign w:val="superscript"/>
          <w:lang w:val="en-AU"/>
        </w:rPr>
        <w:t>3</w:t>
      </w:r>
      <w:r w:rsidRPr="00BD5733">
        <w:rPr>
          <w:sz w:val="20"/>
          <w:szCs w:val="20"/>
          <w:lang w:val="en-AU"/>
        </w:rPr>
        <w:t>, A. R. Nordsvan</w:t>
      </w:r>
      <w:r>
        <w:rPr>
          <w:sz w:val="20"/>
          <w:szCs w:val="20"/>
          <w:vertAlign w:val="superscript"/>
          <w:lang w:val="en-AU"/>
        </w:rPr>
        <w:t>1</w:t>
      </w:r>
      <w:r w:rsidRPr="00BD5733">
        <w:rPr>
          <w:sz w:val="20"/>
          <w:szCs w:val="20"/>
          <w:vertAlign w:val="superscript"/>
          <w:lang w:val="en-AU"/>
        </w:rPr>
        <w:t>,</w:t>
      </w:r>
      <w:r>
        <w:rPr>
          <w:sz w:val="20"/>
          <w:szCs w:val="20"/>
          <w:vertAlign w:val="superscript"/>
          <w:lang w:val="en-AU"/>
        </w:rPr>
        <w:t>5</w:t>
      </w:r>
      <w:r w:rsidRPr="00BD5733">
        <w:rPr>
          <w:sz w:val="20"/>
          <w:szCs w:val="20"/>
          <w:lang w:val="en-AU"/>
        </w:rPr>
        <w:t>, Z.-X. Li</w:t>
      </w:r>
      <w:r>
        <w:rPr>
          <w:sz w:val="20"/>
          <w:szCs w:val="20"/>
          <w:vertAlign w:val="superscript"/>
          <w:lang w:val="en-AU"/>
        </w:rPr>
        <w:t>1</w:t>
      </w:r>
      <w:r w:rsidRPr="00BD5733">
        <w:rPr>
          <w:sz w:val="20"/>
          <w:szCs w:val="20"/>
          <w:lang w:val="en-AU"/>
        </w:rPr>
        <w:t>, and J. L</w:t>
      </w:r>
      <w:r>
        <w:rPr>
          <w:sz w:val="20"/>
          <w:szCs w:val="20"/>
          <w:lang w:val="en-AU"/>
        </w:rPr>
        <w:t>i</w:t>
      </w:r>
      <w:r>
        <w:rPr>
          <w:sz w:val="20"/>
          <w:szCs w:val="20"/>
          <w:vertAlign w:val="superscript"/>
          <w:lang w:val="en-AU"/>
        </w:rPr>
        <w:t>1</w:t>
      </w:r>
    </w:p>
    <w:p w14:paraId="5F3AF5E7" w14:textId="77777777" w:rsidR="000B12B6" w:rsidRDefault="000B12B6" w:rsidP="000B12B6">
      <w:pPr>
        <w:spacing w:line="480" w:lineRule="auto"/>
        <w:jc w:val="both"/>
        <w:rPr>
          <w:i/>
          <w:sz w:val="16"/>
          <w:szCs w:val="16"/>
          <w:lang w:eastAsia="en-US"/>
        </w:rPr>
      </w:pPr>
      <w:r>
        <w:rPr>
          <w:color w:val="000000"/>
          <w:sz w:val="16"/>
          <w:szCs w:val="16"/>
          <w:vertAlign w:val="superscript"/>
          <w:lang w:val="en-US" w:eastAsia="en-US"/>
        </w:rPr>
        <w:t>1</w:t>
      </w:r>
      <w:r w:rsidRPr="00BD5733">
        <w:rPr>
          <w:i/>
          <w:sz w:val="16"/>
          <w:szCs w:val="16"/>
          <w:lang w:eastAsia="en-US"/>
        </w:rPr>
        <w:t>Earth-Dynamics Research Group, Australian Research Council Centre of Excellence for Core to Crust Fluid Systems (CCFS) and The Institute for Geoscience Research (TIGeR), School of Earth and Planetary Sciences, Curtin University, Perth, WA 6845, Australia</w:t>
      </w:r>
    </w:p>
    <w:p w14:paraId="73F883C5" w14:textId="77777777" w:rsidR="000B12B6" w:rsidRPr="00954700" w:rsidRDefault="000B12B6" w:rsidP="000B12B6">
      <w:pPr>
        <w:spacing w:line="480" w:lineRule="auto"/>
        <w:jc w:val="both"/>
        <w:rPr>
          <w:i/>
          <w:sz w:val="16"/>
          <w:szCs w:val="16"/>
          <w:lang w:val="en-GI" w:eastAsia="en-US"/>
        </w:rPr>
      </w:pPr>
      <w:r w:rsidRPr="00AF7341">
        <w:rPr>
          <w:i/>
          <w:sz w:val="16"/>
          <w:szCs w:val="16"/>
          <w:vertAlign w:val="superscript"/>
          <w:lang w:val="en-US" w:eastAsia="en-US"/>
        </w:rPr>
        <w:t>2</w:t>
      </w:r>
      <w:r w:rsidRPr="00BD5733">
        <w:rPr>
          <w:i/>
          <w:sz w:val="16"/>
          <w:szCs w:val="16"/>
          <w:lang w:eastAsia="en-US"/>
        </w:rPr>
        <w:t xml:space="preserve">Institute of Geology, Mineralogy and Geophysics, Ruhr-Universität Bochum, </w:t>
      </w:r>
      <w:r w:rsidRPr="00900748">
        <w:rPr>
          <w:i/>
          <w:iCs/>
          <w:sz w:val="16"/>
          <w:szCs w:val="16"/>
          <w:lang w:eastAsia="en-US"/>
        </w:rPr>
        <w:t>Universitätsstraße 150</w:t>
      </w:r>
      <w:r w:rsidRPr="00954700">
        <w:rPr>
          <w:i/>
          <w:iCs/>
          <w:sz w:val="16"/>
          <w:szCs w:val="16"/>
          <w:lang w:val="en-US" w:eastAsia="en-US"/>
        </w:rPr>
        <w:t xml:space="preserve"> </w:t>
      </w:r>
      <w:r w:rsidRPr="00900748">
        <w:rPr>
          <w:i/>
          <w:iCs/>
          <w:sz w:val="16"/>
          <w:szCs w:val="16"/>
          <w:lang w:eastAsia="en-US"/>
        </w:rPr>
        <w:t>D-44801</w:t>
      </w:r>
      <w:r w:rsidRPr="00954700">
        <w:rPr>
          <w:i/>
          <w:iCs/>
          <w:sz w:val="16"/>
          <w:szCs w:val="16"/>
          <w:lang w:val="en-US" w:eastAsia="en-US"/>
        </w:rPr>
        <w:t xml:space="preserve"> </w:t>
      </w:r>
      <w:r w:rsidRPr="00BD5733">
        <w:rPr>
          <w:i/>
          <w:sz w:val="16"/>
          <w:szCs w:val="16"/>
          <w:lang w:eastAsia="en-US"/>
        </w:rPr>
        <w:t>Bochum, Ge</w:t>
      </w:r>
      <w:r w:rsidRPr="00BD5733">
        <w:rPr>
          <w:i/>
          <w:sz w:val="16"/>
          <w:szCs w:val="16"/>
          <w:lang w:val="en-US" w:eastAsia="en-US"/>
        </w:rPr>
        <w:t>rmany</w:t>
      </w:r>
    </w:p>
    <w:p w14:paraId="1FE40924" w14:textId="77777777" w:rsidR="000B12B6" w:rsidRPr="00BD5733" w:rsidRDefault="000B12B6" w:rsidP="000B12B6">
      <w:pPr>
        <w:pStyle w:val="Author"/>
        <w:spacing w:line="480" w:lineRule="auto"/>
        <w:rPr>
          <w:rFonts w:eastAsia="Calibri"/>
          <w:b w:val="0"/>
          <w:i/>
          <w:sz w:val="16"/>
          <w:szCs w:val="16"/>
          <w:lang w:val="en-AU"/>
        </w:rPr>
      </w:pPr>
      <w:r w:rsidRPr="00BD5733">
        <w:rPr>
          <w:rFonts w:eastAsia="Calibri"/>
          <w:b w:val="0"/>
          <w:i/>
          <w:sz w:val="16"/>
          <w:szCs w:val="16"/>
          <w:vertAlign w:val="superscript"/>
          <w:lang w:val="en-AU"/>
        </w:rPr>
        <w:t>3</w:t>
      </w:r>
      <w:r w:rsidRPr="00BD5733">
        <w:rPr>
          <w:rFonts w:eastAsia="Calibri"/>
          <w:b w:val="0"/>
          <w:i/>
          <w:sz w:val="16"/>
          <w:szCs w:val="16"/>
          <w:lang w:val="en-AU"/>
        </w:rPr>
        <w:t>John de Laeter Centre, School of Earth and Planetary Sciences, Curtin University, GPO Box U1987, Perth, WA 6845, Australia</w:t>
      </w:r>
    </w:p>
    <w:p w14:paraId="0A3F6533" w14:textId="77777777" w:rsidR="000B12B6" w:rsidRPr="00BD5733" w:rsidRDefault="000B12B6" w:rsidP="000B12B6">
      <w:pPr>
        <w:pStyle w:val="Author"/>
        <w:spacing w:line="480" w:lineRule="auto"/>
        <w:rPr>
          <w:rFonts w:eastAsia="Calibri"/>
          <w:b w:val="0"/>
          <w:i/>
          <w:sz w:val="16"/>
          <w:szCs w:val="16"/>
          <w:lang w:val="en-AU"/>
        </w:rPr>
      </w:pPr>
      <w:r w:rsidRPr="00BD5733">
        <w:rPr>
          <w:rFonts w:eastAsia="Calibri"/>
          <w:b w:val="0"/>
          <w:i/>
          <w:sz w:val="16"/>
          <w:szCs w:val="16"/>
          <w:vertAlign w:val="superscript"/>
          <w:lang w:val="en-AU"/>
        </w:rPr>
        <w:t>4</w:t>
      </w:r>
      <w:r w:rsidRPr="00BD5733">
        <w:t xml:space="preserve"> </w:t>
      </w:r>
      <w:r w:rsidRPr="00BD5733">
        <w:rPr>
          <w:rFonts w:eastAsia="Calibri"/>
          <w:b w:val="0"/>
          <w:i/>
          <w:sz w:val="16"/>
          <w:szCs w:val="16"/>
          <w:lang w:val="en-AU"/>
        </w:rPr>
        <w:t>ISOTOPIA lab, School of Earth, Atmosphere and Environment, Monash University, Wellington Rd, Clayton, VIC 3800, Australia</w:t>
      </w:r>
    </w:p>
    <w:p w14:paraId="3D1A1511" w14:textId="77777777" w:rsidR="000B12B6" w:rsidRPr="00BD5733" w:rsidRDefault="000B12B6" w:rsidP="000B12B6">
      <w:pPr>
        <w:pStyle w:val="AuthorAffiliation"/>
        <w:spacing w:line="480" w:lineRule="auto"/>
      </w:pPr>
      <w:r w:rsidRPr="00BD5733">
        <w:rPr>
          <w:rFonts w:eastAsia="Calibri"/>
          <w:b/>
          <w:i w:val="0"/>
          <w:sz w:val="16"/>
          <w:szCs w:val="16"/>
          <w:vertAlign w:val="superscript"/>
          <w:lang w:val="en-AU"/>
        </w:rPr>
        <w:t>5</w:t>
      </w:r>
      <w:r w:rsidRPr="00BD5733">
        <w:t xml:space="preserve"> </w:t>
      </w:r>
      <w:r w:rsidRPr="00BD5733">
        <w:rPr>
          <w:rFonts w:eastAsia="Calibri"/>
          <w:sz w:val="16"/>
          <w:szCs w:val="16"/>
          <w:lang w:val="en-AU"/>
        </w:rPr>
        <w:t>Department of Earth Sciences, University of Hong Kong, Pokfulam, Hong Kong</w:t>
      </w:r>
    </w:p>
    <w:p w14:paraId="3E8AC0AA" w14:textId="35E683FD" w:rsidR="00A3057F" w:rsidRPr="00BD5733" w:rsidRDefault="000B12B6" w:rsidP="000735D5">
      <w:pPr>
        <w:spacing w:line="480" w:lineRule="auto"/>
        <w:rPr>
          <w:color w:val="494A4C"/>
          <w:sz w:val="18"/>
          <w:szCs w:val="18"/>
          <w:shd w:val="clear" w:color="auto" w:fill="FFFFFF"/>
        </w:rPr>
      </w:pPr>
      <w:r w:rsidRPr="00BD5733">
        <w:rPr>
          <w:rFonts w:eastAsia="Calibri"/>
          <w:b/>
          <w:iCs/>
          <w:sz w:val="20"/>
          <w:szCs w:val="20"/>
        </w:rPr>
        <w:t>*</w:t>
      </w:r>
      <w:r w:rsidRPr="00F65B81">
        <w:rPr>
          <w:rFonts w:eastAsia="Calibri"/>
          <w:b/>
          <w:iCs/>
          <w:sz w:val="20"/>
          <w:szCs w:val="20"/>
        </w:rPr>
        <w:t xml:space="preserve"> </w:t>
      </w:r>
      <w:hyperlink r:id="rId5" w:history="1">
        <w:r w:rsidRPr="009F03FC">
          <w:rPr>
            <w:rStyle w:val="Hyperlink"/>
            <w:color w:val="2F5496" w:themeColor="accent1" w:themeShade="BF"/>
            <w:sz w:val="20"/>
            <w:szCs w:val="20"/>
            <w:lang w:val="en-GI"/>
          </w:rPr>
          <w:t>silvia.volante@rub</w:t>
        </w:r>
        <w:r w:rsidRPr="000B12B6">
          <w:rPr>
            <w:rStyle w:val="Hyperlink"/>
            <w:iCs/>
            <w:color w:val="2F5496" w:themeColor="accent1" w:themeShade="BF"/>
            <w:sz w:val="20"/>
            <w:szCs w:val="20"/>
          </w:rPr>
          <w:t>.de</w:t>
        </w:r>
      </w:hyperlink>
      <w:r w:rsidRPr="00954700">
        <w:rPr>
          <w:rStyle w:val="Hyperlink"/>
          <w:color w:val="2F5496" w:themeColor="accent1" w:themeShade="BF"/>
          <w:sz w:val="20"/>
          <w:szCs w:val="20"/>
        </w:rPr>
        <w:t>,</w:t>
      </w:r>
      <w:r w:rsidRPr="00954700">
        <w:rPr>
          <w:rFonts w:eastAsia="Calibri"/>
          <w:bCs/>
          <w:iCs/>
          <w:color w:val="2F5496" w:themeColor="accent1" w:themeShade="BF"/>
          <w:sz w:val="20"/>
          <w:szCs w:val="20"/>
          <w:lang w:val="en-US"/>
        </w:rPr>
        <w:t xml:space="preserve"> </w:t>
      </w:r>
      <w:r w:rsidRPr="00BD5733">
        <w:rPr>
          <w:rFonts w:eastAsia="Calibri"/>
          <w:bCs/>
          <w:iCs/>
          <w:sz w:val="20"/>
          <w:szCs w:val="20"/>
        </w:rPr>
        <w:t>ORCID</w:t>
      </w:r>
      <w:r w:rsidRPr="00BD5733">
        <w:rPr>
          <w:rFonts w:eastAsia="Calibri"/>
          <w:b/>
          <w:iCs/>
          <w:sz w:val="20"/>
          <w:szCs w:val="20"/>
        </w:rPr>
        <w:t xml:space="preserve"> </w:t>
      </w:r>
      <w:r w:rsidRPr="00BD5733">
        <w:rPr>
          <w:color w:val="494A4C"/>
          <w:sz w:val="18"/>
          <w:szCs w:val="18"/>
          <w:shd w:val="clear" w:color="auto" w:fill="FFFFFF"/>
        </w:rPr>
        <w:t>0000-0001-8807-4087</w:t>
      </w:r>
    </w:p>
    <w:p w14:paraId="6C0E1492" w14:textId="77777777" w:rsidR="00A3057F" w:rsidRDefault="00A3057F" w:rsidP="00D65491">
      <w:pPr>
        <w:tabs>
          <w:tab w:val="left" w:pos="0"/>
        </w:tabs>
        <w:spacing w:line="480" w:lineRule="auto"/>
        <w:jc w:val="both"/>
        <w:rPr>
          <w:b/>
          <w:sz w:val="22"/>
          <w:szCs w:val="22"/>
        </w:rPr>
      </w:pPr>
    </w:p>
    <w:p w14:paraId="73380492" w14:textId="77777777" w:rsidR="00A3057F" w:rsidRPr="00A3057F" w:rsidRDefault="00A3057F" w:rsidP="00D65491">
      <w:pPr>
        <w:tabs>
          <w:tab w:val="left" w:pos="0"/>
        </w:tabs>
        <w:spacing w:line="480" w:lineRule="auto"/>
        <w:jc w:val="both"/>
        <w:rPr>
          <w:b/>
        </w:rPr>
      </w:pPr>
      <w:r w:rsidRPr="00A3057F">
        <w:rPr>
          <w:b/>
        </w:rPr>
        <w:t>Appendix</w:t>
      </w:r>
    </w:p>
    <w:p w14:paraId="471445A8" w14:textId="77777777" w:rsidR="00A3057F" w:rsidRDefault="00A3057F" w:rsidP="00D65491">
      <w:pPr>
        <w:tabs>
          <w:tab w:val="left" w:pos="0"/>
        </w:tabs>
        <w:spacing w:line="480" w:lineRule="auto"/>
        <w:jc w:val="both"/>
        <w:rPr>
          <w:b/>
          <w:sz w:val="22"/>
          <w:szCs w:val="22"/>
        </w:rPr>
      </w:pPr>
      <w:r>
        <w:rPr>
          <w:b/>
          <w:sz w:val="22"/>
          <w:szCs w:val="22"/>
        </w:rPr>
        <w:t>Content:</w:t>
      </w:r>
    </w:p>
    <w:p w14:paraId="6FC1182B" w14:textId="77777777" w:rsidR="00A3057F" w:rsidRPr="00E66CF6" w:rsidRDefault="00A3057F" w:rsidP="000735D5">
      <w:pPr>
        <w:pStyle w:val="ListParagraph"/>
        <w:numPr>
          <w:ilvl w:val="0"/>
          <w:numId w:val="1"/>
        </w:numPr>
        <w:tabs>
          <w:tab w:val="left" w:pos="0"/>
        </w:tabs>
        <w:spacing w:line="480" w:lineRule="auto"/>
        <w:jc w:val="both"/>
        <w:rPr>
          <w:b/>
          <w:sz w:val="22"/>
          <w:szCs w:val="22"/>
        </w:rPr>
      </w:pPr>
      <w:r w:rsidRPr="00E66CF6">
        <w:rPr>
          <w:b/>
          <w:sz w:val="22"/>
          <w:szCs w:val="22"/>
        </w:rPr>
        <w:t>Methods:</w:t>
      </w:r>
    </w:p>
    <w:p w14:paraId="5DC9172A" w14:textId="511FEAA9" w:rsidR="00A3057F" w:rsidRPr="00AC0CE2" w:rsidRDefault="00A3057F" w:rsidP="00AC0CE2">
      <w:pPr>
        <w:pStyle w:val="ListParagraph"/>
        <w:numPr>
          <w:ilvl w:val="1"/>
          <w:numId w:val="1"/>
        </w:numPr>
        <w:tabs>
          <w:tab w:val="left" w:pos="0"/>
        </w:tabs>
        <w:spacing w:line="480" w:lineRule="auto"/>
        <w:jc w:val="both"/>
        <w:rPr>
          <w:bCs/>
          <w:sz w:val="20"/>
          <w:szCs w:val="20"/>
        </w:rPr>
      </w:pPr>
      <w:r w:rsidRPr="00AC0CE2">
        <w:rPr>
          <w:bCs/>
          <w:sz w:val="20"/>
          <w:szCs w:val="20"/>
        </w:rPr>
        <w:t xml:space="preserve">Secondary high-resolution ion microprobe (SHRIMP) U–Pb geochronology </w:t>
      </w:r>
      <w:r w:rsidR="00D3430D">
        <w:rPr>
          <w:bCs/>
          <w:sz w:val="20"/>
          <w:szCs w:val="20"/>
        </w:rPr>
        <w:t>ima</w:t>
      </w:r>
    </w:p>
    <w:p w14:paraId="068A95AE" w14:textId="67625008" w:rsidR="00A3057F" w:rsidRPr="00AC0CE2" w:rsidRDefault="00A3057F" w:rsidP="00AC0CE2">
      <w:pPr>
        <w:pStyle w:val="ListParagraph"/>
        <w:numPr>
          <w:ilvl w:val="1"/>
          <w:numId w:val="1"/>
        </w:numPr>
        <w:tabs>
          <w:tab w:val="left" w:pos="0"/>
        </w:tabs>
        <w:spacing w:line="480" w:lineRule="auto"/>
        <w:jc w:val="both"/>
        <w:rPr>
          <w:bCs/>
          <w:sz w:val="20"/>
          <w:szCs w:val="20"/>
        </w:rPr>
      </w:pPr>
      <w:r w:rsidRPr="00AC0CE2">
        <w:rPr>
          <w:bCs/>
          <w:sz w:val="20"/>
          <w:szCs w:val="20"/>
        </w:rPr>
        <w:t>LA</w:t>
      </w:r>
      <w:r w:rsidR="00AE335E">
        <w:rPr>
          <w:bCs/>
          <w:sz w:val="20"/>
          <w:szCs w:val="20"/>
        </w:rPr>
        <w:t>-</w:t>
      </w:r>
      <w:r w:rsidRPr="00AC0CE2">
        <w:rPr>
          <w:bCs/>
          <w:sz w:val="20"/>
          <w:szCs w:val="20"/>
        </w:rPr>
        <w:t>SS-ICPMS of zircon and monazite – Trace Elements</w:t>
      </w:r>
    </w:p>
    <w:p w14:paraId="0D9CEB83" w14:textId="41A53BEA" w:rsidR="00A3057F" w:rsidRPr="00AC0CE2" w:rsidRDefault="007D4F4C" w:rsidP="00AC0CE2">
      <w:pPr>
        <w:pStyle w:val="ListParagraph"/>
        <w:numPr>
          <w:ilvl w:val="1"/>
          <w:numId w:val="1"/>
        </w:numPr>
        <w:tabs>
          <w:tab w:val="left" w:pos="0"/>
        </w:tabs>
        <w:spacing w:line="480" w:lineRule="auto"/>
        <w:jc w:val="both"/>
        <w:rPr>
          <w:bCs/>
          <w:sz w:val="20"/>
          <w:szCs w:val="20"/>
        </w:rPr>
      </w:pPr>
      <w:r>
        <w:rPr>
          <w:bCs/>
          <w:sz w:val="20"/>
          <w:szCs w:val="20"/>
        </w:rPr>
        <w:t>Bulk-rock geochemistry</w:t>
      </w:r>
    </w:p>
    <w:p w14:paraId="5803B603" w14:textId="77777777" w:rsidR="00A3057F" w:rsidRPr="009B2B9A" w:rsidRDefault="00A3057F" w:rsidP="00D65491">
      <w:pPr>
        <w:pStyle w:val="ListParagraph"/>
        <w:numPr>
          <w:ilvl w:val="1"/>
          <w:numId w:val="1"/>
        </w:numPr>
        <w:tabs>
          <w:tab w:val="left" w:pos="0"/>
        </w:tabs>
        <w:spacing w:line="480" w:lineRule="auto"/>
        <w:jc w:val="both"/>
        <w:rPr>
          <w:bCs/>
          <w:sz w:val="20"/>
          <w:szCs w:val="20"/>
        </w:rPr>
      </w:pPr>
      <w:r w:rsidRPr="00AC0CE2">
        <w:rPr>
          <w:bCs/>
          <w:color w:val="000000" w:themeColor="text1"/>
          <w:sz w:val="20"/>
          <w:szCs w:val="20"/>
        </w:rPr>
        <w:t>Phase Equilibria Modelling</w:t>
      </w:r>
    </w:p>
    <w:p w14:paraId="216A7E7D" w14:textId="7AF86741" w:rsidR="00A3057F" w:rsidRPr="00D3430D" w:rsidRDefault="00A3057F" w:rsidP="00E66CF6">
      <w:pPr>
        <w:pStyle w:val="ListParagraph"/>
        <w:numPr>
          <w:ilvl w:val="0"/>
          <w:numId w:val="1"/>
        </w:numPr>
        <w:tabs>
          <w:tab w:val="left" w:pos="0"/>
        </w:tabs>
        <w:spacing w:line="480" w:lineRule="auto"/>
        <w:jc w:val="both"/>
        <w:rPr>
          <w:b/>
          <w:sz w:val="22"/>
          <w:szCs w:val="22"/>
        </w:rPr>
      </w:pPr>
      <w:r w:rsidRPr="00E66CF6">
        <w:rPr>
          <w:b/>
          <w:sz w:val="22"/>
          <w:szCs w:val="22"/>
        </w:rPr>
        <w:t>Fig. S1</w:t>
      </w:r>
      <w:r w:rsidR="00D3430D">
        <w:rPr>
          <w:b/>
          <w:sz w:val="22"/>
          <w:szCs w:val="22"/>
        </w:rPr>
        <w:t xml:space="preserve"> </w:t>
      </w:r>
      <w:r w:rsidR="00D3430D" w:rsidRPr="009F03FC">
        <w:rPr>
          <w:bCs/>
          <w:sz w:val="22"/>
          <w:szCs w:val="22"/>
        </w:rPr>
        <w:t xml:space="preserve">Representative CL images </w:t>
      </w:r>
      <w:r w:rsidR="00D3430D">
        <w:rPr>
          <w:bCs/>
          <w:sz w:val="22"/>
          <w:szCs w:val="22"/>
        </w:rPr>
        <w:t xml:space="preserve">of zircon grains </w:t>
      </w:r>
      <w:r w:rsidR="00D3430D" w:rsidRPr="009F03FC">
        <w:rPr>
          <w:bCs/>
          <w:sz w:val="22"/>
          <w:szCs w:val="22"/>
        </w:rPr>
        <w:t>for the analysed samples.</w:t>
      </w:r>
    </w:p>
    <w:p w14:paraId="35C66D32" w14:textId="77777777" w:rsidR="00D3430D" w:rsidRDefault="00A3057F" w:rsidP="00E66CF6">
      <w:pPr>
        <w:pStyle w:val="ListParagraph"/>
        <w:numPr>
          <w:ilvl w:val="0"/>
          <w:numId w:val="1"/>
        </w:numPr>
        <w:tabs>
          <w:tab w:val="left" w:pos="0"/>
        </w:tabs>
        <w:spacing w:line="480" w:lineRule="auto"/>
        <w:jc w:val="both"/>
        <w:rPr>
          <w:b/>
          <w:sz w:val="22"/>
          <w:szCs w:val="22"/>
        </w:rPr>
      </w:pPr>
      <w:r w:rsidRPr="00D3430D">
        <w:rPr>
          <w:b/>
          <w:sz w:val="22"/>
          <w:szCs w:val="22"/>
        </w:rPr>
        <w:t>Fig. S2</w:t>
      </w:r>
      <w:r w:rsidR="00D3430D" w:rsidRPr="00D3430D">
        <w:rPr>
          <w:b/>
          <w:sz w:val="22"/>
          <w:szCs w:val="22"/>
        </w:rPr>
        <w:t xml:space="preserve"> </w:t>
      </w:r>
      <w:r w:rsidR="00D3430D" w:rsidRPr="00EA6FBB">
        <w:rPr>
          <w:bCs/>
          <w:sz w:val="22"/>
          <w:szCs w:val="22"/>
        </w:rPr>
        <w:t xml:space="preserve">Representative </w:t>
      </w:r>
      <w:r w:rsidR="00D3430D">
        <w:rPr>
          <w:bCs/>
          <w:sz w:val="22"/>
          <w:szCs w:val="22"/>
        </w:rPr>
        <w:t>BSE</w:t>
      </w:r>
      <w:r w:rsidR="00D3430D" w:rsidRPr="00EA6FBB">
        <w:rPr>
          <w:bCs/>
          <w:sz w:val="22"/>
          <w:szCs w:val="22"/>
        </w:rPr>
        <w:t xml:space="preserve"> images </w:t>
      </w:r>
      <w:r w:rsidR="00D3430D">
        <w:rPr>
          <w:bCs/>
          <w:sz w:val="22"/>
          <w:szCs w:val="22"/>
        </w:rPr>
        <w:t xml:space="preserve">of monazite grains </w:t>
      </w:r>
      <w:r w:rsidR="00D3430D" w:rsidRPr="00EA6FBB">
        <w:rPr>
          <w:bCs/>
          <w:sz w:val="22"/>
          <w:szCs w:val="22"/>
        </w:rPr>
        <w:t>for the analysed samples</w:t>
      </w:r>
      <w:r w:rsidR="00D3430D" w:rsidRPr="00D3430D">
        <w:rPr>
          <w:b/>
          <w:sz w:val="22"/>
          <w:szCs w:val="22"/>
        </w:rPr>
        <w:t xml:space="preserve"> </w:t>
      </w:r>
    </w:p>
    <w:p w14:paraId="6EE65506" w14:textId="756E182F" w:rsidR="00D3430D" w:rsidRPr="009F03FC" w:rsidRDefault="00D3430D" w:rsidP="00E66CF6">
      <w:pPr>
        <w:pStyle w:val="ListParagraph"/>
        <w:numPr>
          <w:ilvl w:val="0"/>
          <w:numId w:val="1"/>
        </w:numPr>
        <w:tabs>
          <w:tab w:val="left" w:pos="0"/>
        </w:tabs>
        <w:spacing w:line="480" w:lineRule="auto"/>
        <w:jc w:val="both"/>
        <w:rPr>
          <w:bCs/>
          <w:sz w:val="22"/>
          <w:szCs w:val="22"/>
        </w:rPr>
      </w:pPr>
      <w:r w:rsidRPr="00D3430D">
        <w:rPr>
          <w:b/>
          <w:sz w:val="22"/>
          <w:szCs w:val="22"/>
        </w:rPr>
        <w:t>Fig. S3</w:t>
      </w:r>
      <w:r>
        <w:rPr>
          <w:b/>
          <w:sz w:val="22"/>
          <w:szCs w:val="22"/>
        </w:rPr>
        <w:t xml:space="preserve"> </w:t>
      </w:r>
      <w:r w:rsidRPr="009F03FC">
        <w:rPr>
          <w:bCs/>
          <w:sz w:val="22"/>
          <w:szCs w:val="22"/>
        </w:rPr>
        <w:t>REE pattern for zircon and monazite in the analysed samples.</w:t>
      </w:r>
    </w:p>
    <w:p w14:paraId="554873A5" w14:textId="2712B9E4" w:rsidR="00D3430D" w:rsidRDefault="00D3430D" w:rsidP="00E66CF6">
      <w:pPr>
        <w:pStyle w:val="ListParagraph"/>
        <w:numPr>
          <w:ilvl w:val="0"/>
          <w:numId w:val="1"/>
        </w:numPr>
        <w:tabs>
          <w:tab w:val="left" w:pos="0"/>
        </w:tabs>
        <w:spacing w:line="480" w:lineRule="auto"/>
        <w:jc w:val="both"/>
        <w:rPr>
          <w:b/>
          <w:sz w:val="22"/>
          <w:szCs w:val="22"/>
        </w:rPr>
      </w:pPr>
      <w:r>
        <w:rPr>
          <w:b/>
          <w:sz w:val="22"/>
          <w:szCs w:val="22"/>
        </w:rPr>
        <w:t xml:space="preserve">Fig. S4 </w:t>
      </w:r>
      <w:r w:rsidRPr="009F03FC">
        <w:rPr>
          <w:bCs/>
          <w:i/>
          <w:iCs/>
          <w:sz w:val="22"/>
          <w:szCs w:val="22"/>
        </w:rPr>
        <w:t>P</w:t>
      </w:r>
      <w:r w:rsidR="004A56D3">
        <w:rPr>
          <w:bCs/>
          <w:i/>
          <w:iCs/>
          <w:sz w:val="22"/>
          <w:szCs w:val="22"/>
        </w:rPr>
        <w:t>–</w:t>
      </w:r>
      <w:r w:rsidRPr="009F03FC">
        <w:rPr>
          <w:bCs/>
          <w:i/>
          <w:iCs/>
          <w:sz w:val="22"/>
          <w:szCs w:val="22"/>
        </w:rPr>
        <w:t>T</w:t>
      </w:r>
      <w:r w:rsidRPr="009F03FC">
        <w:rPr>
          <w:bCs/>
          <w:sz w:val="22"/>
          <w:szCs w:val="22"/>
        </w:rPr>
        <w:t xml:space="preserve"> phase diagram for sample ES18.</w:t>
      </w:r>
    </w:p>
    <w:p w14:paraId="7EB02D33" w14:textId="77777777" w:rsidR="00A3057F" w:rsidRPr="00E66CF6" w:rsidRDefault="00A3057F" w:rsidP="00E66CF6">
      <w:pPr>
        <w:pStyle w:val="ListParagraph"/>
        <w:numPr>
          <w:ilvl w:val="0"/>
          <w:numId w:val="1"/>
        </w:numPr>
        <w:tabs>
          <w:tab w:val="left" w:pos="0"/>
        </w:tabs>
        <w:spacing w:line="480" w:lineRule="auto"/>
        <w:jc w:val="both"/>
        <w:rPr>
          <w:b/>
          <w:sz w:val="22"/>
          <w:szCs w:val="22"/>
        </w:rPr>
      </w:pPr>
      <w:r>
        <w:rPr>
          <w:b/>
          <w:sz w:val="22"/>
          <w:szCs w:val="22"/>
        </w:rPr>
        <w:t>References</w:t>
      </w:r>
    </w:p>
    <w:p w14:paraId="47C3072C" w14:textId="77777777" w:rsidR="00A3057F" w:rsidRDefault="00A3057F"/>
    <w:p w14:paraId="1FF6F063" w14:textId="77777777" w:rsidR="00A3057F" w:rsidRPr="00E66CF6" w:rsidRDefault="00A3057F" w:rsidP="00E66CF6">
      <w:pPr>
        <w:pStyle w:val="ListParagraph"/>
        <w:numPr>
          <w:ilvl w:val="0"/>
          <w:numId w:val="2"/>
        </w:numPr>
        <w:tabs>
          <w:tab w:val="left" w:pos="0"/>
        </w:tabs>
        <w:spacing w:line="480" w:lineRule="auto"/>
        <w:jc w:val="both"/>
        <w:rPr>
          <w:b/>
          <w:sz w:val="22"/>
          <w:szCs w:val="22"/>
        </w:rPr>
      </w:pPr>
      <w:r w:rsidRPr="00E66CF6">
        <w:rPr>
          <w:b/>
          <w:sz w:val="22"/>
          <w:szCs w:val="22"/>
        </w:rPr>
        <w:t>Methods:</w:t>
      </w:r>
    </w:p>
    <w:p w14:paraId="5F70D1CA" w14:textId="77777777" w:rsidR="00A3057F" w:rsidRPr="00AC0CE2" w:rsidRDefault="00A3057F" w:rsidP="00E66CF6">
      <w:pPr>
        <w:pStyle w:val="ListParagraph"/>
        <w:numPr>
          <w:ilvl w:val="1"/>
          <w:numId w:val="2"/>
        </w:numPr>
        <w:tabs>
          <w:tab w:val="left" w:pos="0"/>
        </w:tabs>
        <w:spacing w:line="480" w:lineRule="auto"/>
        <w:jc w:val="both"/>
        <w:rPr>
          <w:b/>
          <w:sz w:val="22"/>
          <w:szCs w:val="22"/>
        </w:rPr>
      </w:pPr>
      <w:r w:rsidRPr="00AC0CE2">
        <w:rPr>
          <w:b/>
          <w:sz w:val="22"/>
          <w:szCs w:val="22"/>
        </w:rPr>
        <w:t xml:space="preserve">Secondary high-resolution ion microprobe (SHRIMP) U–Pb geochronology </w:t>
      </w:r>
    </w:p>
    <w:p w14:paraId="062D2BB2" w14:textId="249E9CB3" w:rsidR="00A3057F" w:rsidRPr="00BD5733" w:rsidRDefault="00A3057F" w:rsidP="00BC68DD">
      <w:pPr>
        <w:tabs>
          <w:tab w:val="left" w:pos="0"/>
        </w:tabs>
        <w:spacing w:line="480" w:lineRule="auto"/>
        <w:jc w:val="both"/>
        <w:rPr>
          <w:sz w:val="20"/>
          <w:szCs w:val="20"/>
        </w:rPr>
      </w:pPr>
      <w:r>
        <w:rPr>
          <w:sz w:val="20"/>
          <w:szCs w:val="20"/>
        </w:rPr>
        <w:t xml:space="preserve">Mount samples preparation follows the standard laboratory procedures described by </w:t>
      </w:r>
      <w:r>
        <w:rPr>
          <w:noProof/>
          <w:color w:val="2F5496" w:themeColor="accent1" w:themeShade="BF"/>
          <w:sz w:val="20"/>
          <w:szCs w:val="20"/>
        </w:rPr>
        <w:t>Barrote et al. (2020)</w:t>
      </w:r>
      <w:r w:rsidRPr="00BD5733">
        <w:rPr>
          <w:sz w:val="20"/>
          <w:szCs w:val="20"/>
        </w:rPr>
        <w:t xml:space="preserve">. The zircon crystals were characterized by cathodoluminescence (CL) imaging, and monazite crystals by back-scattered electron (BSE) microscopy using the Mira3, at the Microscopy and Microanalysis Facility, </w:t>
      </w:r>
      <w:r w:rsidRPr="004D3C01">
        <w:rPr>
          <w:sz w:val="20"/>
          <w:szCs w:val="20"/>
          <w:lang w:val="en-AU"/>
        </w:rPr>
        <w:t>John de Laeter Centre</w:t>
      </w:r>
      <w:r w:rsidRPr="004D3C01">
        <w:rPr>
          <w:sz w:val="20"/>
          <w:szCs w:val="20"/>
        </w:rPr>
        <w:t xml:space="preserve"> </w:t>
      </w:r>
      <w:r w:rsidRPr="00BD5733">
        <w:rPr>
          <w:sz w:val="20"/>
          <w:szCs w:val="20"/>
        </w:rPr>
        <w:lastRenderedPageBreak/>
        <w:t xml:space="preserve">(JdLC), Curtin University </w:t>
      </w:r>
      <w:r w:rsidRPr="00BD5733">
        <w:rPr>
          <w:color w:val="2F5496" w:themeColor="accent1" w:themeShade="BF"/>
          <w:sz w:val="20"/>
          <w:szCs w:val="20"/>
        </w:rPr>
        <w:t>(</w:t>
      </w:r>
      <w:r w:rsidR="00AE335E">
        <w:rPr>
          <w:color w:val="2F5496" w:themeColor="accent1" w:themeShade="BF"/>
          <w:sz w:val="20"/>
          <w:szCs w:val="20"/>
        </w:rPr>
        <w:t xml:space="preserve">Appendix </w:t>
      </w:r>
      <w:r w:rsidRPr="00BD5733">
        <w:rPr>
          <w:color w:val="2F5496" w:themeColor="accent1" w:themeShade="BF"/>
          <w:sz w:val="20"/>
          <w:szCs w:val="20"/>
        </w:rPr>
        <w:t xml:space="preserve">Fig. </w:t>
      </w:r>
      <w:r>
        <w:rPr>
          <w:color w:val="2F5496" w:themeColor="accent1" w:themeShade="BF"/>
          <w:sz w:val="20"/>
          <w:szCs w:val="20"/>
        </w:rPr>
        <w:t>S1</w:t>
      </w:r>
      <w:r w:rsidRPr="00BD5733">
        <w:rPr>
          <w:color w:val="2F5496" w:themeColor="accent1" w:themeShade="BF"/>
          <w:sz w:val="20"/>
          <w:szCs w:val="20"/>
        </w:rPr>
        <w:t>)</w:t>
      </w:r>
      <w:r w:rsidRPr="00BD5733">
        <w:rPr>
          <w:sz w:val="20"/>
          <w:szCs w:val="20"/>
        </w:rPr>
        <w:t xml:space="preserve">. For monazite, the reference materials were in a separate mount that was cleaned and Au-coated with the sample mount before the analytical session. Results for both zircon and monazite are plotted in Concordia diagrams considering uncertainty ellipses of 2σ </w:t>
      </w:r>
      <w:r w:rsidRPr="00BD5733">
        <w:rPr>
          <w:color w:val="2F5496" w:themeColor="accent1" w:themeShade="BF"/>
          <w:sz w:val="20"/>
          <w:szCs w:val="20"/>
        </w:rPr>
        <w:t xml:space="preserve">(Fig. </w:t>
      </w:r>
      <w:r>
        <w:rPr>
          <w:color w:val="2F5496" w:themeColor="accent1" w:themeShade="BF"/>
          <w:sz w:val="20"/>
          <w:szCs w:val="20"/>
        </w:rPr>
        <w:t>3</w:t>
      </w:r>
      <w:r w:rsidRPr="00BD5733">
        <w:rPr>
          <w:color w:val="2F5496" w:themeColor="accent1" w:themeShade="BF"/>
          <w:sz w:val="20"/>
          <w:szCs w:val="20"/>
        </w:rPr>
        <w:t>).</w:t>
      </w:r>
    </w:p>
    <w:p w14:paraId="0DF20211" w14:textId="77777777" w:rsidR="00A3057F" w:rsidRPr="009104DE" w:rsidRDefault="00A3057F" w:rsidP="00BC68DD">
      <w:pPr>
        <w:tabs>
          <w:tab w:val="left" w:pos="0"/>
        </w:tabs>
        <w:spacing w:line="480" w:lineRule="auto"/>
        <w:jc w:val="both"/>
        <w:rPr>
          <w:b/>
          <w:sz w:val="20"/>
          <w:szCs w:val="20"/>
        </w:rPr>
      </w:pPr>
      <w:r w:rsidRPr="00BD5733">
        <w:rPr>
          <w:b/>
          <w:sz w:val="20"/>
          <w:szCs w:val="20"/>
        </w:rPr>
        <w:t>Zircon</w:t>
      </w:r>
      <w:r>
        <w:rPr>
          <w:b/>
          <w:sz w:val="20"/>
          <w:szCs w:val="20"/>
        </w:rPr>
        <w:t xml:space="preserve">: </w:t>
      </w:r>
      <w:r w:rsidRPr="00BD5733">
        <w:rPr>
          <w:sz w:val="20"/>
          <w:szCs w:val="20"/>
        </w:rPr>
        <w:t>Selected zones of the imaged zircon grains were analysed on the SHRIMP II at the JdLC, Curtin University. CL images were utilised to target magmatic zircon and to avoid inherited zircon grains, distinguishable by their commonly darker colour and sharp contact with the harmonic magmatic concentric zoning</w:t>
      </w:r>
      <w:r>
        <w:rPr>
          <w:sz w:val="20"/>
          <w:szCs w:val="20"/>
        </w:rPr>
        <w:t>.</w:t>
      </w:r>
      <w:r w:rsidRPr="00BD5733">
        <w:rPr>
          <w:color w:val="2F5496" w:themeColor="accent1" w:themeShade="BF"/>
          <w:sz w:val="20"/>
          <w:szCs w:val="20"/>
        </w:rPr>
        <w:t xml:space="preserve"> </w:t>
      </w:r>
      <w:r w:rsidRPr="00BD5733">
        <w:rPr>
          <w:sz w:val="20"/>
          <w:szCs w:val="20"/>
        </w:rPr>
        <w:t xml:space="preserve">The analytical procedures for the Curtin consortium SHRIMP II have been described by </w:t>
      </w:r>
      <w:r w:rsidRPr="00BD5733">
        <w:rPr>
          <w:noProof/>
          <w:color w:val="2F5496" w:themeColor="accent1" w:themeShade="BF"/>
          <w:sz w:val="20"/>
          <w:szCs w:val="20"/>
        </w:rPr>
        <w:t>De Laeter and Kennedy (1998)</w:t>
      </w:r>
      <w:r w:rsidRPr="00BD5733">
        <w:rPr>
          <w:color w:val="2F5496" w:themeColor="accent1" w:themeShade="BF"/>
          <w:sz w:val="20"/>
          <w:szCs w:val="20"/>
        </w:rPr>
        <w:t xml:space="preserve"> </w:t>
      </w:r>
      <w:r w:rsidRPr="00BD5733">
        <w:rPr>
          <w:sz w:val="20"/>
          <w:szCs w:val="20"/>
        </w:rPr>
        <w:t xml:space="preserve">and </w:t>
      </w:r>
      <w:r w:rsidRPr="00BD5733">
        <w:rPr>
          <w:noProof/>
          <w:color w:val="2F5496" w:themeColor="accent1" w:themeShade="BF"/>
          <w:sz w:val="20"/>
          <w:szCs w:val="20"/>
        </w:rPr>
        <w:t>Kennedy and De Laeter (1994)</w:t>
      </w:r>
      <w:r w:rsidRPr="00BD5733">
        <w:rPr>
          <w:color w:val="2F5496" w:themeColor="accent1" w:themeShade="BF"/>
          <w:sz w:val="20"/>
          <w:szCs w:val="20"/>
        </w:rPr>
        <w:t>.</w:t>
      </w:r>
      <w:r w:rsidRPr="00BD5733">
        <w:rPr>
          <w:sz w:val="20"/>
          <w:szCs w:val="20"/>
        </w:rPr>
        <w:t xml:space="preserve">  A 20−25 μm elliptical spot was used with a mass-filtered O2--primary beam of ~2.8−3.0 nA and reference materials were in the same resin mount as the unknowns. Data for each analysis was collected in sets of six scans through the mass range (count times in brackets) of </w:t>
      </w:r>
      <w:r w:rsidRPr="00BD5733">
        <w:rPr>
          <w:sz w:val="20"/>
          <w:szCs w:val="20"/>
          <w:vertAlign w:val="superscript"/>
        </w:rPr>
        <w:t>196</w:t>
      </w:r>
      <w:r w:rsidRPr="00BD5733">
        <w:rPr>
          <w:sz w:val="20"/>
          <w:szCs w:val="20"/>
        </w:rPr>
        <w:t>Zr</w:t>
      </w:r>
      <w:r w:rsidRPr="00BD5733">
        <w:rPr>
          <w:sz w:val="20"/>
          <w:szCs w:val="20"/>
          <w:vertAlign w:val="subscript"/>
        </w:rPr>
        <w:t>2</w:t>
      </w:r>
      <w:r w:rsidRPr="00BD5733">
        <w:rPr>
          <w:sz w:val="20"/>
          <w:szCs w:val="20"/>
        </w:rPr>
        <w:t>O</w:t>
      </w:r>
      <w:r w:rsidRPr="00BD5733">
        <w:rPr>
          <w:sz w:val="20"/>
          <w:szCs w:val="20"/>
          <w:vertAlign w:val="superscript"/>
        </w:rPr>
        <w:t>+</w:t>
      </w:r>
      <w:r w:rsidRPr="00BD5733">
        <w:rPr>
          <w:sz w:val="20"/>
          <w:szCs w:val="20"/>
        </w:rPr>
        <w:t xml:space="preserve"> (2 s), </w:t>
      </w:r>
      <w:r w:rsidRPr="00BD5733">
        <w:rPr>
          <w:sz w:val="20"/>
          <w:szCs w:val="20"/>
          <w:vertAlign w:val="superscript"/>
        </w:rPr>
        <w:t>204</w:t>
      </w:r>
      <w:r w:rsidRPr="00BD5733">
        <w:rPr>
          <w:sz w:val="20"/>
          <w:szCs w:val="20"/>
        </w:rPr>
        <w:t>Pb</w:t>
      </w:r>
      <w:r w:rsidRPr="00BD5733">
        <w:rPr>
          <w:sz w:val="20"/>
          <w:szCs w:val="20"/>
          <w:vertAlign w:val="superscript"/>
        </w:rPr>
        <w:t>+</w:t>
      </w:r>
      <w:r w:rsidRPr="00BD5733">
        <w:rPr>
          <w:sz w:val="20"/>
          <w:szCs w:val="20"/>
        </w:rPr>
        <w:t xml:space="preserve"> (10 s), Background 204.1 (10 s), </w:t>
      </w:r>
      <w:r w:rsidRPr="00BD5733">
        <w:rPr>
          <w:sz w:val="20"/>
          <w:szCs w:val="20"/>
          <w:vertAlign w:val="superscript"/>
        </w:rPr>
        <w:t>206</w:t>
      </w:r>
      <w:r w:rsidRPr="00BD5733">
        <w:rPr>
          <w:sz w:val="20"/>
          <w:szCs w:val="20"/>
        </w:rPr>
        <w:t>Pb</w:t>
      </w:r>
      <w:r w:rsidRPr="00BD5733">
        <w:rPr>
          <w:sz w:val="20"/>
          <w:szCs w:val="20"/>
          <w:vertAlign w:val="superscript"/>
        </w:rPr>
        <w:t>+</w:t>
      </w:r>
      <w:r w:rsidRPr="00BD5733">
        <w:rPr>
          <w:sz w:val="20"/>
          <w:szCs w:val="20"/>
        </w:rPr>
        <w:t xml:space="preserve"> (10 s), </w:t>
      </w:r>
      <w:r w:rsidRPr="00BD5733">
        <w:rPr>
          <w:sz w:val="20"/>
          <w:szCs w:val="20"/>
          <w:vertAlign w:val="superscript"/>
        </w:rPr>
        <w:t>207</w:t>
      </w:r>
      <w:r w:rsidRPr="00BD5733">
        <w:rPr>
          <w:sz w:val="20"/>
          <w:szCs w:val="20"/>
        </w:rPr>
        <w:t>Pb</w:t>
      </w:r>
      <w:r w:rsidRPr="00BD5733">
        <w:rPr>
          <w:sz w:val="20"/>
          <w:szCs w:val="20"/>
          <w:vertAlign w:val="superscript"/>
        </w:rPr>
        <w:t>+</w:t>
      </w:r>
      <w:r w:rsidRPr="00BD5733">
        <w:rPr>
          <w:sz w:val="20"/>
          <w:szCs w:val="20"/>
        </w:rPr>
        <w:t xml:space="preserve"> (30 s), </w:t>
      </w:r>
      <w:r w:rsidRPr="00BD5733">
        <w:rPr>
          <w:sz w:val="20"/>
          <w:szCs w:val="20"/>
          <w:vertAlign w:val="superscript"/>
        </w:rPr>
        <w:t>208</w:t>
      </w:r>
      <w:r w:rsidRPr="00BD5733">
        <w:rPr>
          <w:sz w:val="20"/>
          <w:szCs w:val="20"/>
        </w:rPr>
        <w:t>Pb</w:t>
      </w:r>
      <w:r w:rsidRPr="00BD5733">
        <w:rPr>
          <w:sz w:val="20"/>
          <w:szCs w:val="20"/>
          <w:vertAlign w:val="superscript"/>
        </w:rPr>
        <w:t>+</w:t>
      </w:r>
      <w:r w:rsidRPr="00BD5733">
        <w:rPr>
          <w:sz w:val="20"/>
          <w:szCs w:val="20"/>
        </w:rPr>
        <w:t xml:space="preserve"> (10 s),</w:t>
      </w:r>
      <w:r w:rsidRPr="00BD5733">
        <w:rPr>
          <w:sz w:val="20"/>
          <w:szCs w:val="20"/>
          <w:vertAlign w:val="superscript"/>
        </w:rPr>
        <w:t xml:space="preserve"> 238</w:t>
      </w:r>
      <w:r w:rsidRPr="00BD5733">
        <w:rPr>
          <w:sz w:val="20"/>
          <w:szCs w:val="20"/>
        </w:rPr>
        <w:t>U</w:t>
      </w:r>
      <w:r w:rsidRPr="00BD5733">
        <w:rPr>
          <w:sz w:val="20"/>
          <w:szCs w:val="20"/>
          <w:vertAlign w:val="superscript"/>
        </w:rPr>
        <w:t>+</w:t>
      </w:r>
      <w:r w:rsidRPr="00BD5733">
        <w:rPr>
          <w:sz w:val="20"/>
          <w:szCs w:val="20"/>
        </w:rPr>
        <w:t xml:space="preserve"> (5 s), </w:t>
      </w:r>
      <w:r w:rsidRPr="00BD5733">
        <w:rPr>
          <w:sz w:val="20"/>
          <w:szCs w:val="20"/>
          <w:vertAlign w:val="superscript"/>
        </w:rPr>
        <w:t>248</w:t>
      </w:r>
      <w:r w:rsidRPr="00BD5733">
        <w:rPr>
          <w:sz w:val="20"/>
          <w:szCs w:val="20"/>
        </w:rPr>
        <w:t>ThO</w:t>
      </w:r>
      <w:r w:rsidRPr="00BD5733">
        <w:rPr>
          <w:sz w:val="20"/>
          <w:szCs w:val="20"/>
          <w:vertAlign w:val="superscript"/>
        </w:rPr>
        <w:t>+</w:t>
      </w:r>
      <w:r w:rsidRPr="00BD5733">
        <w:rPr>
          <w:sz w:val="20"/>
          <w:szCs w:val="20"/>
        </w:rPr>
        <w:t xml:space="preserve"> (5 s), and </w:t>
      </w:r>
      <w:r w:rsidRPr="00BD5733">
        <w:rPr>
          <w:sz w:val="20"/>
          <w:szCs w:val="20"/>
          <w:vertAlign w:val="superscript"/>
        </w:rPr>
        <w:t>254</w:t>
      </w:r>
      <w:r w:rsidRPr="00BD5733">
        <w:rPr>
          <w:sz w:val="20"/>
          <w:szCs w:val="20"/>
        </w:rPr>
        <w:t>UO</w:t>
      </w:r>
      <w:r w:rsidRPr="00BD5733">
        <w:rPr>
          <w:sz w:val="20"/>
          <w:szCs w:val="20"/>
          <w:vertAlign w:val="superscript"/>
        </w:rPr>
        <w:t>+</w:t>
      </w:r>
      <w:r w:rsidRPr="00BD5733">
        <w:rPr>
          <w:sz w:val="20"/>
          <w:szCs w:val="20"/>
        </w:rPr>
        <w:t xml:space="preserve"> (2 s). The calibration and concentration reference material used were Curtin internal laboratory reference material CUYZ (</w:t>
      </w:r>
      <w:r w:rsidRPr="00BD5733">
        <w:rPr>
          <w:sz w:val="20"/>
          <w:szCs w:val="20"/>
          <w:vertAlign w:val="superscript"/>
        </w:rPr>
        <w:t>238</w:t>
      </w:r>
      <w:r w:rsidRPr="00BD5733">
        <w:rPr>
          <w:sz w:val="20"/>
          <w:szCs w:val="20"/>
        </w:rPr>
        <w:t>U/</w:t>
      </w:r>
      <w:r w:rsidRPr="00BD5733">
        <w:rPr>
          <w:sz w:val="20"/>
          <w:szCs w:val="20"/>
          <w:vertAlign w:val="superscript"/>
        </w:rPr>
        <w:t>206</w:t>
      </w:r>
      <w:r w:rsidRPr="00BD5733">
        <w:rPr>
          <w:sz w:val="20"/>
          <w:szCs w:val="20"/>
        </w:rPr>
        <w:t xml:space="preserve">Pb age 568.6 Ma,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age 569.5 Ma, and </w:t>
      </w:r>
      <w:r w:rsidRPr="00BD5733">
        <w:rPr>
          <w:sz w:val="20"/>
          <w:szCs w:val="20"/>
          <w:vertAlign w:val="superscript"/>
        </w:rPr>
        <w:t>238</w:t>
      </w:r>
      <w:r w:rsidRPr="00BD5733">
        <w:rPr>
          <w:sz w:val="20"/>
          <w:szCs w:val="20"/>
        </w:rPr>
        <w:t xml:space="preserve">U 582.7 ppm), and OGC1 zircon </w:t>
      </w:r>
      <w:r w:rsidRPr="00BD5733">
        <w:rPr>
          <w:noProof/>
          <w:sz w:val="20"/>
          <w:szCs w:val="20"/>
        </w:rPr>
        <w:t xml:space="preserve">(3465.4 ± 0.6 Ma; </w:t>
      </w:r>
      <w:r w:rsidRPr="00BD5733">
        <w:rPr>
          <w:noProof/>
          <w:color w:val="2F5496" w:themeColor="accent1" w:themeShade="BF"/>
          <w:sz w:val="20"/>
          <w:szCs w:val="20"/>
        </w:rPr>
        <w:t>Stern et al. 2009)</w:t>
      </w:r>
      <w:r w:rsidRPr="00BD5733">
        <w:rPr>
          <w:sz w:val="20"/>
          <w:szCs w:val="20"/>
        </w:rPr>
        <w:t xml:space="preserve"> which was used to monitor the accuracy of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Pb ratios.</w:t>
      </w:r>
    </w:p>
    <w:p w14:paraId="1845F4B6" w14:textId="77777777" w:rsidR="00A3057F" w:rsidRPr="00AC0CE2" w:rsidRDefault="00A3057F" w:rsidP="00BC68DD">
      <w:pPr>
        <w:tabs>
          <w:tab w:val="left" w:pos="0"/>
        </w:tabs>
        <w:spacing w:line="480" w:lineRule="auto"/>
        <w:jc w:val="both"/>
        <w:rPr>
          <w:color w:val="2F5496" w:themeColor="accent1" w:themeShade="BF"/>
          <w:sz w:val="20"/>
          <w:szCs w:val="20"/>
        </w:rPr>
      </w:pPr>
      <w:r w:rsidRPr="00BD5733">
        <w:rPr>
          <w:sz w:val="20"/>
          <w:szCs w:val="20"/>
        </w:rPr>
        <w:tab/>
        <w:t xml:space="preserve">Data were processed using the SQUID 2.5 and Isoplot 2.71 Excel add-ins </w:t>
      </w:r>
      <w:r w:rsidRPr="00BD5733">
        <w:rPr>
          <w:noProof/>
          <w:color w:val="2F5496" w:themeColor="accent1" w:themeShade="BF"/>
          <w:sz w:val="20"/>
          <w:szCs w:val="20"/>
        </w:rPr>
        <w:t>(Ludwig 2003; Ludwig 2009)</w:t>
      </w:r>
      <w:r w:rsidRPr="00BD5733">
        <w:rPr>
          <w:sz w:val="20"/>
          <w:szCs w:val="20"/>
        </w:rPr>
        <w:t xml:space="preserve">. Ratios of </w:t>
      </w:r>
      <w:r w:rsidRPr="00BD5733">
        <w:rPr>
          <w:sz w:val="20"/>
          <w:szCs w:val="20"/>
          <w:vertAlign w:val="superscript"/>
        </w:rPr>
        <w:t>238</w:t>
      </w:r>
      <w:r w:rsidRPr="00BD5733">
        <w:rPr>
          <w:sz w:val="20"/>
          <w:szCs w:val="20"/>
        </w:rPr>
        <w:t>U/</w:t>
      </w:r>
      <w:r w:rsidRPr="00BD5733">
        <w:rPr>
          <w:sz w:val="20"/>
          <w:szCs w:val="20"/>
          <w:vertAlign w:val="superscript"/>
        </w:rPr>
        <w:t>206</w:t>
      </w:r>
      <w:r w:rsidRPr="00BD5733">
        <w:rPr>
          <w:sz w:val="20"/>
          <w:szCs w:val="20"/>
        </w:rPr>
        <w:t xml:space="preserve">Pb measured in the CUYZ reference during the session were dispersed well beyond analytical precision. Excluding data &gt;4σ from the mean value, 22 of 31 analyses yielded a </w:t>
      </w:r>
      <w:r w:rsidRPr="00BD5733">
        <w:rPr>
          <w:sz w:val="20"/>
          <w:szCs w:val="20"/>
          <w:vertAlign w:val="superscript"/>
        </w:rPr>
        <w:t>238</w:t>
      </w:r>
      <w:r w:rsidRPr="00BD5733">
        <w:rPr>
          <w:sz w:val="20"/>
          <w:szCs w:val="20"/>
        </w:rPr>
        <w:t>U/</w:t>
      </w:r>
      <w:r w:rsidRPr="00BD5733">
        <w:rPr>
          <w:sz w:val="20"/>
          <w:szCs w:val="20"/>
          <w:vertAlign w:val="superscript"/>
        </w:rPr>
        <w:t>206</w:t>
      </w:r>
      <w:r w:rsidRPr="00BD5733">
        <w:rPr>
          <w:sz w:val="20"/>
          <w:szCs w:val="20"/>
        </w:rPr>
        <w:t xml:space="preserve">Pb calibration uncertainty of 0.51% (1σ) and a spot-to-spot reproducibility uncertainty of 1.99% (1σ). Calibration uncertainties are included in the uncertainty of the </w:t>
      </w:r>
      <w:r w:rsidRPr="00BD5733">
        <w:rPr>
          <w:sz w:val="20"/>
          <w:szCs w:val="20"/>
          <w:vertAlign w:val="superscript"/>
        </w:rPr>
        <w:t>238</w:t>
      </w:r>
      <w:r w:rsidRPr="00BD5733">
        <w:rPr>
          <w:sz w:val="20"/>
          <w:szCs w:val="20"/>
        </w:rPr>
        <w:t>U/</w:t>
      </w:r>
      <w:r w:rsidRPr="00BD5733">
        <w:rPr>
          <w:sz w:val="20"/>
          <w:szCs w:val="20"/>
          <w:vertAlign w:val="superscript"/>
        </w:rPr>
        <w:t>206</w:t>
      </w:r>
      <w:r w:rsidRPr="00BD5733">
        <w:rPr>
          <w:sz w:val="20"/>
          <w:szCs w:val="20"/>
        </w:rPr>
        <w:t xml:space="preserve">Pb ratios and dates listed in data tables. Isotopic mass fractionation of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ratios during the session was corrected by reference to OGC1; ratios measured in unknown zircon grains were reduced by 0.66%, and the associated uncertainty in the fractionation correction was added in quadrature to the uncertainties of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ratios and dates. All analyses were corrected for common Pb based on measured </w:t>
      </w:r>
      <w:r w:rsidRPr="00BD5733">
        <w:rPr>
          <w:sz w:val="20"/>
          <w:szCs w:val="20"/>
          <w:vertAlign w:val="superscript"/>
        </w:rPr>
        <w:t>204</w:t>
      </w:r>
      <w:r w:rsidRPr="00BD5733">
        <w:rPr>
          <w:sz w:val="20"/>
          <w:szCs w:val="20"/>
        </w:rPr>
        <w:t>Pb/</w:t>
      </w:r>
      <w:r w:rsidRPr="00BD5733">
        <w:rPr>
          <w:sz w:val="20"/>
          <w:szCs w:val="20"/>
          <w:vertAlign w:val="superscript"/>
        </w:rPr>
        <w:t>206</w:t>
      </w:r>
      <w:r w:rsidRPr="00BD5733">
        <w:rPr>
          <w:sz w:val="20"/>
          <w:szCs w:val="20"/>
        </w:rPr>
        <w:t xml:space="preserve">Pb ratios </w:t>
      </w:r>
      <w:r w:rsidRPr="00BD5733">
        <w:rPr>
          <w:noProof/>
          <w:color w:val="2F5496" w:themeColor="accent1" w:themeShade="BF"/>
          <w:sz w:val="20"/>
          <w:szCs w:val="20"/>
        </w:rPr>
        <w:t>(Compston et al. 1984)</w:t>
      </w:r>
      <w:r w:rsidRPr="00BD5733">
        <w:rPr>
          <w:color w:val="2F5496" w:themeColor="accent1" w:themeShade="BF"/>
          <w:sz w:val="20"/>
          <w:szCs w:val="20"/>
        </w:rPr>
        <w:t xml:space="preserve">. </w:t>
      </w:r>
      <w:r w:rsidRPr="00BD5733">
        <w:rPr>
          <w:sz w:val="20"/>
          <w:szCs w:val="20"/>
        </w:rPr>
        <w:t xml:space="preserve">Ratios and dates for individual analyses in data tables are quoted with 1σ uncertainties, and weighted mean dates are reported with 95% confidence </w:t>
      </w:r>
      <w:r w:rsidRPr="00BD5733">
        <w:rPr>
          <w:sz w:val="20"/>
          <w:szCs w:val="20"/>
          <w:lang w:val="en-US"/>
        </w:rPr>
        <w:t>limits (c.l.)</w:t>
      </w:r>
      <w:r w:rsidRPr="00BD5733">
        <w:rPr>
          <w:sz w:val="20"/>
          <w:szCs w:val="20"/>
        </w:rPr>
        <w:t xml:space="preserve">. Uncertainty ellipses on the Concordia diagrams are at the 2σ level. Most data are concordant to slightly discordant, and a small minority of analyses &gt;10% discordant were not included in determining the age of each sample. A complete list of the analysed samples can be found in </w:t>
      </w:r>
      <w:r w:rsidRPr="00805B05">
        <w:rPr>
          <w:color w:val="2F5496" w:themeColor="accent1" w:themeShade="BF"/>
          <w:sz w:val="20"/>
          <w:szCs w:val="20"/>
          <w:lang w:val="en-AU"/>
        </w:rPr>
        <w:t>Electronic</w:t>
      </w:r>
      <w:r w:rsidRPr="00540892">
        <w:rPr>
          <w:color w:val="2F5496" w:themeColor="accent1" w:themeShade="BF"/>
          <w:sz w:val="20"/>
          <w:szCs w:val="20"/>
          <w:lang w:val="en-AU"/>
        </w:rPr>
        <w:t xml:space="preserve"> </w:t>
      </w:r>
      <w:r>
        <w:rPr>
          <w:color w:val="2F5496" w:themeColor="accent1" w:themeShade="BF"/>
          <w:sz w:val="20"/>
          <w:szCs w:val="20"/>
          <w:lang w:val="en-AU"/>
        </w:rPr>
        <w:t>s</w:t>
      </w:r>
      <w:r w:rsidRPr="00540892">
        <w:rPr>
          <w:color w:val="2F5496" w:themeColor="accent1" w:themeShade="BF"/>
          <w:sz w:val="20"/>
          <w:szCs w:val="20"/>
          <w:lang w:val="en-AU"/>
        </w:rPr>
        <w:t xml:space="preserve">upplementary </w:t>
      </w:r>
      <w:r>
        <w:rPr>
          <w:color w:val="2F5496" w:themeColor="accent1" w:themeShade="BF"/>
          <w:sz w:val="20"/>
          <w:szCs w:val="20"/>
          <w:lang w:val="en-AU"/>
        </w:rPr>
        <w:t>m</w:t>
      </w:r>
      <w:r w:rsidRPr="00540892">
        <w:rPr>
          <w:color w:val="2F5496" w:themeColor="accent1" w:themeShade="BF"/>
          <w:sz w:val="20"/>
          <w:szCs w:val="20"/>
          <w:lang w:val="en-AU"/>
        </w:rPr>
        <w:t>aterial</w:t>
      </w:r>
      <w:r>
        <w:rPr>
          <w:color w:val="2F5496" w:themeColor="accent1" w:themeShade="BF"/>
          <w:sz w:val="20"/>
          <w:szCs w:val="20"/>
          <w:lang w:val="en-AU"/>
        </w:rPr>
        <w:t xml:space="preserve"> Table S2</w:t>
      </w:r>
      <w:r w:rsidRPr="00BD5733">
        <w:rPr>
          <w:color w:val="2F5496" w:themeColor="accent1" w:themeShade="BF"/>
          <w:sz w:val="20"/>
          <w:szCs w:val="20"/>
        </w:rPr>
        <w:t>.</w:t>
      </w:r>
    </w:p>
    <w:p w14:paraId="4EC995E0" w14:textId="6C9425BB" w:rsidR="00A3057F" w:rsidRPr="009104DE" w:rsidRDefault="00A3057F" w:rsidP="00BC68DD">
      <w:pPr>
        <w:tabs>
          <w:tab w:val="left" w:pos="0"/>
        </w:tabs>
        <w:spacing w:line="480" w:lineRule="auto"/>
        <w:jc w:val="both"/>
        <w:rPr>
          <w:b/>
          <w:sz w:val="20"/>
          <w:szCs w:val="20"/>
        </w:rPr>
      </w:pPr>
      <w:r w:rsidRPr="00BD5733">
        <w:rPr>
          <w:b/>
          <w:sz w:val="20"/>
          <w:szCs w:val="20"/>
        </w:rPr>
        <w:t>Monazite</w:t>
      </w:r>
      <w:r>
        <w:rPr>
          <w:b/>
          <w:sz w:val="20"/>
          <w:szCs w:val="20"/>
        </w:rPr>
        <w:t xml:space="preserve">: </w:t>
      </w:r>
      <w:r w:rsidRPr="00BD5733">
        <w:rPr>
          <w:sz w:val="20"/>
          <w:szCs w:val="20"/>
        </w:rPr>
        <w:t xml:space="preserve">The monazite U–Th–Pb analyses utilized the high spatial-resolution capability of the SHRIMP II in the JdLC, Curtin University. All grains were analysed in a single analytical session using a 30 μm Köhler aperture, </w:t>
      </w:r>
      <w:r w:rsidRPr="00BD5733">
        <w:rPr>
          <w:rFonts w:ascii="Cambria Math" w:hAnsi="Cambria Math" w:cs="Cambria Math"/>
          <w:sz w:val="20"/>
          <w:szCs w:val="20"/>
        </w:rPr>
        <w:t>∼</w:t>
      </w:r>
      <w:r w:rsidRPr="00BD5733">
        <w:rPr>
          <w:sz w:val="20"/>
          <w:szCs w:val="20"/>
        </w:rPr>
        <w:t>0.3 nA primary ion beam (O</w:t>
      </w:r>
      <w:r w:rsidRPr="00BD5733">
        <w:rPr>
          <w:sz w:val="20"/>
          <w:szCs w:val="20"/>
          <w:vertAlign w:val="subscript"/>
        </w:rPr>
        <w:t>2−</w:t>
      </w:r>
      <w:r w:rsidRPr="00BD5733">
        <w:rPr>
          <w:sz w:val="20"/>
          <w:szCs w:val="20"/>
        </w:rPr>
        <w:t xml:space="preserve">) and a </w:t>
      </w:r>
      <w:r w:rsidRPr="00BD5733">
        <w:rPr>
          <w:rFonts w:ascii="Cambria Math" w:hAnsi="Cambria Math" w:cs="Cambria Math"/>
          <w:sz w:val="20"/>
          <w:szCs w:val="20"/>
        </w:rPr>
        <w:t>∼</w:t>
      </w:r>
      <w:r w:rsidRPr="00BD5733">
        <w:rPr>
          <w:sz w:val="20"/>
          <w:szCs w:val="20"/>
        </w:rPr>
        <w:t>10 μm elliptical spot</w:t>
      </w:r>
      <w:r w:rsidR="00AE335E">
        <w:rPr>
          <w:sz w:val="20"/>
          <w:szCs w:val="20"/>
        </w:rPr>
        <w:t xml:space="preserve"> </w:t>
      </w:r>
      <w:r w:rsidR="00AE335E" w:rsidRPr="00BD5733">
        <w:rPr>
          <w:color w:val="2F5496" w:themeColor="accent1" w:themeShade="BF"/>
          <w:sz w:val="20"/>
          <w:szCs w:val="20"/>
        </w:rPr>
        <w:t>(</w:t>
      </w:r>
      <w:r w:rsidR="00AE335E">
        <w:rPr>
          <w:color w:val="2F5496" w:themeColor="accent1" w:themeShade="BF"/>
          <w:sz w:val="20"/>
          <w:szCs w:val="20"/>
        </w:rPr>
        <w:t xml:space="preserve">Appendix </w:t>
      </w:r>
      <w:r w:rsidR="00AE335E" w:rsidRPr="00BD5733">
        <w:rPr>
          <w:color w:val="2F5496" w:themeColor="accent1" w:themeShade="BF"/>
          <w:sz w:val="20"/>
          <w:szCs w:val="20"/>
        </w:rPr>
        <w:t xml:space="preserve">Fig. </w:t>
      </w:r>
      <w:r w:rsidR="00AE335E">
        <w:rPr>
          <w:color w:val="2F5496" w:themeColor="accent1" w:themeShade="BF"/>
          <w:sz w:val="20"/>
          <w:szCs w:val="20"/>
        </w:rPr>
        <w:t>S2</w:t>
      </w:r>
      <w:r w:rsidR="00AE335E" w:rsidRPr="00BD5733">
        <w:rPr>
          <w:color w:val="2F5496" w:themeColor="accent1" w:themeShade="BF"/>
          <w:sz w:val="20"/>
          <w:szCs w:val="20"/>
        </w:rPr>
        <w:t>)</w:t>
      </w:r>
      <w:r w:rsidRPr="00BD5733">
        <w:rPr>
          <w:sz w:val="20"/>
          <w:szCs w:val="20"/>
        </w:rPr>
        <w:t xml:space="preserve">. Data for each analysis were </w:t>
      </w:r>
      <w:r w:rsidRPr="00BD5733">
        <w:rPr>
          <w:sz w:val="20"/>
          <w:szCs w:val="20"/>
        </w:rPr>
        <w:lastRenderedPageBreak/>
        <w:t xml:space="preserve">collected in sets of six scans through the mass range (count times in brackets) of </w:t>
      </w:r>
      <w:r w:rsidRPr="00BD5733">
        <w:rPr>
          <w:sz w:val="20"/>
          <w:szCs w:val="20"/>
          <w:vertAlign w:val="superscript"/>
        </w:rPr>
        <w:t>202</w:t>
      </w:r>
      <w:r w:rsidRPr="00BD5733">
        <w:rPr>
          <w:sz w:val="20"/>
          <w:szCs w:val="20"/>
        </w:rPr>
        <w:t>LaPO</w:t>
      </w:r>
      <w:r w:rsidRPr="00BD5733">
        <w:rPr>
          <w:sz w:val="20"/>
          <w:szCs w:val="20"/>
          <w:vertAlign w:val="subscript"/>
        </w:rPr>
        <w:t>2</w:t>
      </w:r>
      <w:r w:rsidRPr="00BD5733">
        <w:rPr>
          <w:sz w:val="20"/>
          <w:szCs w:val="20"/>
          <w:vertAlign w:val="superscript"/>
        </w:rPr>
        <w:t>+</w:t>
      </w:r>
      <w:r w:rsidRPr="00BD5733">
        <w:rPr>
          <w:sz w:val="20"/>
          <w:szCs w:val="20"/>
        </w:rPr>
        <w:t xml:space="preserve"> (2s), </w:t>
      </w:r>
      <w:r w:rsidRPr="00BD5733">
        <w:rPr>
          <w:sz w:val="20"/>
          <w:szCs w:val="20"/>
          <w:vertAlign w:val="superscript"/>
        </w:rPr>
        <w:t>203</w:t>
      </w:r>
      <w:r w:rsidRPr="00BD5733">
        <w:rPr>
          <w:sz w:val="20"/>
          <w:szCs w:val="20"/>
        </w:rPr>
        <w:t>CePO</w:t>
      </w:r>
      <w:r w:rsidRPr="00BD5733">
        <w:rPr>
          <w:sz w:val="20"/>
          <w:szCs w:val="20"/>
          <w:vertAlign w:val="subscript"/>
        </w:rPr>
        <w:t>2</w:t>
      </w:r>
      <w:r w:rsidRPr="00BD5733">
        <w:rPr>
          <w:sz w:val="20"/>
          <w:szCs w:val="20"/>
          <w:vertAlign w:val="superscript"/>
        </w:rPr>
        <w:t>+</w:t>
      </w:r>
      <w:r w:rsidRPr="00BD5733">
        <w:rPr>
          <w:sz w:val="20"/>
          <w:szCs w:val="20"/>
        </w:rPr>
        <w:t xml:space="preserve"> (2s), </w:t>
      </w:r>
      <w:r w:rsidRPr="00BD5733">
        <w:rPr>
          <w:sz w:val="20"/>
          <w:szCs w:val="20"/>
          <w:vertAlign w:val="superscript"/>
        </w:rPr>
        <w:t>204</w:t>
      </w:r>
      <w:r w:rsidRPr="00BD5733">
        <w:rPr>
          <w:sz w:val="20"/>
          <w:szCs w:val="20"/>
        </w:rPr>
        <w:t>Pb</w:t>
      </w:r>
      <w:r w:rsidRPr="00BD5733">
        <w:rPr>
          <w:sz w:val="20"/>
          <w:szCs w:val="20"/>
          <w:vertAlign w:val="superscript"/>
        </w:rPr>
        <w:t>+</w:t>
      </w:r>
      <w:r w:rsidRPr="00BD5733">
        <w:rPr>
          <w:sz w:val="20"/>
          <w:szCs w:val="20"/>
        </w:rPr>
        <w:t xml:space="preserve"> (10s), Background 204.1 (10s), </w:t>
      </w:r>
      <w:r w:rsidRPr="00BD5733">
        <w:rPr>
          <w:sz w:val="20"/>
          <w:szCs w:val="20"/>
          <w:vertAlign w:val="superscript"/>
        </w:rPr>
        <w:t>205</w:t>
      </w:r>
      <w:r w:rsidRPr="00BD5733">
        <w:rPr>
          <w:sz w:val="20"/>
          <w:szCs w:val="20"/>
        </w:rPr>
        <w:t>NdPO</w:t>
      </w:r>
      <w:r w:rsidRPr="00BD5733">
        <w:rPr>
          <w:sz w:val="20"/>
          <w:szCs w:val="20"/>
          <w:vertAlign w:val="subscript"/>
        </w:rPr>
        <w:t>2</w:t>
      </w:r>
      <w:r w:rsidRPr="00BD5733">
        <w:rPr>
          <w:sz w:val="20"/>
          <w:szCs w:val="20"/>
          <w:vertAlign w:val="superscript"/>
        </w:rPr>
        <w:t>+</w:t>
      </w:r>
      <w:r w:rsidRPr="00BD5733">
        <w:rPr>
          <w:sz w:val="20"/>
          <w:szCs w:val="20"/>
        </w:rPr>
        <w:t xml:space="preserve"> (2s), </w:t>
      </w:r>
      <w:r w:rsidRPr="00BD5733">
        <w:rPr>
          <w:sz w:val="20"/>
          <w:szCs w:val="20"/>
          <w:vertAlign w:val="superscript"/>
        </w:rPr>
        <w:t>206</w:t>
      </w:r>
      <w:r w:rsidRPr="00BD5733">
        <w:rPr>
          <w:sz w:val="20"/>
          <w:szCs w:val="20"/>
        </w:rPr>
        <w:t>Pb</w:t>
      </w:r>
      <w:r w:rsidRPr="00BD5733">
        <w:rPr>
          <w:sz w:val="20"/>
          <w:szCs w:val="20"/>
          <w:vertAlign w:val="superscript"/>
        </w:rPr>
        <w:t>+</w:t>
      </w:r>
      <w:r w:rsidRPr="00BD5733">
        <w:rPr>
          <w:sz w:val="20"/>
          <w:szCs w:val="20"/>
        </w:rPr>
        <w:t xml:space="preserve"> (20s), </w:t>
      </w:r>
      <w:r w:rsidRPr="00BD5733">
        <w:rPr>
          <w:sz w:val="20"/>
          <w:szCs w:val="20"/>
          <w:vertAlign w:val="superscript"/>
        </w:rPr>
        <w:t>207</w:t>
      </w:r>
      <w:r w:rsidRPr="00BD5733">
        <w:rPr>
          <w:sz w:val="20"/>
          <w:szCs w:val="20"/>
        </w:rPr>
        <w:t>Pb</w:t>
      </w:r>
      <w:r w:rsidRPr="00BD5733">
        <w:rPr>
          <w:sz w:val="20"/>
          <w:szCs w:val="20"/>
          <w:vertAlign w:val="superscript"/>
        </w:rPr>
        <w:t>+</w:t>
      </w:r>
      <w:r w:rsidRPr="00BD5733">
        <w:rPr>
          <w:sz w:val="20"/>
          <w:szCs w:val="20"/>
        </w:rPr>
        <w:t xml:space="preserve"> (20s), </w:t>
      </w:r>
      <w:r w:rsidRPr="00BD5733">
        <w:rPr>
          <w:sz w:val="20"/>
          <w:szCs w:val="20"/>
          <w:vertAlign w:val="superscript"/>
        </w:rPr>
        <w:t>208</w:t>
      </w:r>
      <w:r w:rsidRPr="00BD5733">
        <w:rPr>
          <w:sz w:val="20"/>
          <w:szCs w:val="20"/>
        </w:rPr>
        <w:t>Pb</w:t>
      </w:r>
      <w:r w:rsidRPr="00BD5733">
        <w:rPr>
          <w:sz w:val="20"/>
          <w:szCs w:val="20"/>
          <w:vertAlign w:val="superscript"/>
        </w:rPr>
        <w:t>+</w:t>
      </w:r>
      <w:r w:rsidRPr="00BD5733">
        <w:rPr>
          <w:sz w:val="20"/>
          <w:szCs w:val="20"/>
        </w:rPr>
        <w:t xml:space="preserve"> (10s), </w:t>
      </w:r>
      <w:r w:rsidRPr="00BD5733">
        <w:rPr>
          <w:sz w:val="20"/>
          <w:szCs w:val="20"/>
          <w:vertAlign w:val="superscript"/>
        </w:rPr>
        <w:t>232</w:t>
      </w:r>
      <w:r w:rsidRPr="00BD5733">
        <w:rPr>
          <w:sz w:val="20"/>
          <w:szCs w:val="20"/>
        </w:rPr>
        <w:t>Th</w:t>
      </w:r>
      <w:r w:rsidRPr="00BD5733">
        <w:rPr>
          <w:sz w:val="20"/>
          <w:szCs w:val="20"/>
          <w:vertAlign w:val="superscript"/>
        </w:rPr>
        <w:t>+</w:t>
      </w:r>
      <w:r w:rsidRPr="00BD5733">
        <w:rPr>
          <w:sz w:val="20"/>
          <w:szCs w:val="20"/>
        </w:rPr>
        <w:t xml:space="preserve"> (3s), </w:t>
      </w:r>
      <w:r w:rsidRPr="00BD5733">
        <w:rPr>
          <w:sz w:val="20"/>
          <w:szCs w:val="20"/>
          <w:vertAlign w:val="superscript"/>
        </w:rPr>
        <w:t>245</w:t>
      </w:r>
      <w:r w:rsidRPr="00BD5733">
        <w:rPr>
          <w:sz w:val="20"/>
          <w:szCs w:val="20"/>
        </w:rPr>
        <w:t>YCeO</w:t>
      </w:r>
      <w:r w:rsidRPr="00BD5733">
        <w:rPr>
          <w:sz w:val="20"/>
          <w:szCs w:val="20"/>
          <w:vertAlign w:val="superscript"/>
        </w:rPr>
        <w:t>+</w:t>
      </w:r>
      <w:r w:rsidRPr="00BD5733">
        <w:rPr>
          <w:sz w:val="20"/>
          <w:szCs w:val="20"/>
        </w:rPr>
        <w:t xml:space="preserve"> (5s), </w:t>
      </w:r>
      <w:r w:rsidRPr="00BD5733">
        <w:rPr>
          <w:sz w:val="20"/>
          <w:szCs w:val="20"/>
          <w:vertAlign w:val="superscript"/>
        </w:rPr>
        <w:t>254</w:t>
      </w:r>
      <w:r w:rsidRPr="00BD5733">
        <w:rPr>
          <w:sz w:val="20"/>
          <w:szCs w:val="20"/>
        </w:rPr>
        <w:t>UO</w:t>
      </w:r>
      <w:r w:rsidRPr="00BD5733">
        <w:rPr>
          <w:sz w:val="20"/>
          <w:szCs w:val="20"/>
          <w:vertAlign w:val="superscript"/>
        </w:rPr>
        <w:t>+</w:t>
      </w:r>
      <w:r w:rsidRPr="00BD5733">
        <w:rPr>
          <w:sz w:val="20"/>
          <w:szCs w:val="20"/>
        </w:rPr>
        <w:t xml:space="preserve"> (3s), </w:t>
      </w:r>
      <w:r w:rsidRPr="00BD5733">
        <w:rPr>
          <w:sz w:val="20"/>
          <w:szCs w:val="20"/>
          <w:vertAlign w:val="superscript"/>
        </w:rPr>
        <w:t>264</w:t>
      </w:r>
      <w:r w:rsidRPr="00BD5733">
        <w:rPr>
          <w:sz w:val="20"/>
          <w:szCs w:val="20"/>
        </w:rPr>
        <w:t>ThO</w:t>
      </w:r>
      <w:r w:rsidRPr="00BD5733">
        <w:rPr>
          <w:sz w:val="20"/>
          <w:szCs w:val="20"/>
          <w:vertAlign w:val="subscript"/>
        </w:rPr>
        <w:t>2</w:t>
      </w:r>
      <w:r w:rsidRPr="00BD5733">
        <w:rPr>
          <w:sz w:val="20"/>
          <w:szCs w:val="20"/>
          <w:vertAlign w:val="superscript"/>
        </w:rPr>
        <w:t>+</w:t>
      </w:r>
      <w:r w:rsidRPr="00BD5733">
        <w:rPr>
          <w:sz w:val="20"/>
          <w:szCs w:val="20"/>
        </w:rPr>
        <w:t xml:space="preserve"> (3s), </w:t>
      </w:r>
      <w:r w:rsidRPr="00BD5733">
        <w:rPr>
          <w:sz w:val="20"/>
          <w:szCs w:val="20"/>
          <w:vertAlign w:val="superscript"/>
        </w:rPr>
        <w:t>270</w:t>
      </w:r>
      <w:r w:rsidRPr="00BD5733">
        <w:rPr>
          <w:sz w:val="20"/>
          <w:szCs w:val="20"/>
        </w:rPr>
        <w:t>UO</w:t>
      </w:r>
      <w:r w:rsidRPr="00BD5733">
        <w:rPr>
          <w:sz w:val="20"/>
          <w:szCs w:val="20"/>
          <w:vertAlign w:val="subscript"/>
        </w:rPr>
        <w:t>2</w:t>
      </w:r>
      <w:r w:rsidRPr="00BD5733">
        <w:rPr>
          <w:sz w:val="20"/>
          <w:szCs w:val="20"/>
          <w:vertAlign w:val="superscript"/>
        </w:rPr>
        <w:t>+</w:t>
      </w:r>
      <w:r w:rsidRPr="00BD5733">
        <w:rPr>
          <w:sz w:val="20"/>
          <w:szCs w:val="20"/>
        </w:rPr>
        <w:t xml:space="preserve"> (3s). GM2 (</w:t>
      </w:r>
      <w:r w:rsidRPr="00BD5733">
        <w:rPr>
          <w:sz w:val="20"/>
          <w:szCs w:val="20"/>
          <w:vertAlign w:val="superscript"/>
        </w:rPr>
        <w:t>206</w:t>
      </w:r>
      <w:r w:rsidRPr="00BD5733">
        <w:rPr>
          <w:sz w:val="20"/>
          <w:szCs w:val="20"/>
        </w:rPr>
        <w:t>Pb/</w:t>
      </w:r>
      <w:r w:rsidRPr="00BD5733">
        <w:rPr>
          <w:sz w:val="20"/>
          <w:szCs w:val="20"/>
          <w:vertAlign w:val="superscript"/>
        </w:rPr>
        <w:t>238</w:t>
      </w:r>
      <w:r w:rsidRPr="00BD5733">
        <w:rPr>
          <w:sz w:val="20"/>
          <w:szCs w:val="20"/>
        </w:rPr>
        <w:t>U age 492.8 Ma, Curtin internal laboratory standard) was used as the primary Pb/U reference material, and IND (</w:t>
      </w:r>
      <w:r w:rsidRPr="00BD5733">
        <w:rPr>
          <w:sz w:val="20"/>
          <w:szCs w:val="20"/>
          <w:vertAlign w:val="superscript"/>
        </w:rPr>
        <w:t>206</w:t>
      </w:r>
      <w:r w:rsidRPr="00BD5733">
        <w:rPr>
          <w:sz w:val="20"/>
          <w:szCs w:val="20"/>
        </w:rPr>
        <w:t>Pb/</w:t>
      </w:r>
      <w:r w:rsidRPr="00BD5733">
        <w:rPr>
          <w:sz w:val="20"/>
          <w:szCs w:val="20"/>
          <w:vertAlign w:val="superscript"/>
        </w:rPr>
        <w:t>238</w:t>
      </w:r>
      <w:r w:rsidRPr="00BD5733">
        <w:rPr>
          <w:sz w:val="20"/>
          <w:szCs w:val="20"/>
        </w:rPr>
        <w:t>U age 509 Ma, Curtin internal laboratory standard), VK–1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Pb age 464.6 Ma, Curtin internal laboratory standard) and Hout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age 2046 Ma, Curtin internal laboratory standard) were the secondary reference materials used to monitor matrix effects </w:t>
      </w:r>
      <w:r w:rsidRPr="00BD5733">
        <w:rPr>
          <w:noProof/>
          <w:color w:val="2F5496" w:themeColor="accent1" w:themeShade="BF"/>
          <w:sz w:val="20"/>
          <w:szCs w:val="20"/>
        </w:rPr>
        <w:t>(Fletcher et al. 2010)</w:t>
      </w:r>
      <w:r w:rsidRPr="00BD5733">
        <w:rPr>
          <w:sz w:val="20"/>
          <w:szCs w:val="20"/>
        </w:rPr>
        <w:t xml:space="preserve">. During the session, 20 analyses of GM2 yielded a mean </w:t>
      </w:r>
      <w:r w:rsidRPr="00BD5733">
        <w:rPr>
          <w:sz w:val="20"/>
          <w:szCs w:val="20"/>
          <w:vertAlign w:val="superscript"/>
        </w:rPr>
        <w:t>206</w:t>
      </w:r>
      <w:r w:rsidRPr="00BD5733">
        <w:rPr>
          <w:sz w:val="20"/>
          <w:szCs w:val="20"/>
        </w:rPr>
        <w:t>Pb/</w:t>
      </w:r>
      <w:r w:rsidRPr="00BD5733">
        <w:rPr>
          <w:sz w:val="20"/>
          <w:szCs w:val="20"/>
          <w:vertAlign w:val="superscript"/>
        </w:rPr>
        <w:t>238</w:t>
      </w:r>
      <w:r w:rsidRPr="00BD5733">
        <w:rPr>
          <w:sz w:val="20"/>
          <w:szCs w:val="20"/>
        </w:rPr>
        <w:t xml:space="preserve">U age of 492.8 ± 2.4 Ma. A minimum error of 1% was assigned to the external spot-to-spot error to reflect the long-term performance of the SHRIMP with the primary standard yielded a </w:t>
      </w:r>
      <w:r w:rsidRPr="00BD5733">
        <w:rPr>
          <w:sz w:val="20"/>
          <w:szCs w:val="20"/>
          <w:vertAlign w:val="superscript"/>
        </w:rPr>
        <w:t>238</w:t>
      </w:r>
      <w:r w:rsidRPr="00BD5733">
        <w:rPr>
          <w:sz w:val="20"/>
          <w:szCs w:val="20"/>
        </w:rPr>
        <w:t>U/</w:t>
      </w:r>
      <w:r w:rsidRPr="00BD5733">
        <w:rPr>
          <w:sz w:val="20"/>
          <w:szCs w:val="20"/>
          <w:vertAlign w:val="superscript"/>
        </w:rPr>
        <w:t>206</w:t>
      </w:r>
      <w:r w:rsidRPr="00BD5733">
        <w:rPr>
          <w:sz w:val="20"/>
          <w:szCs w:val="20"/>
        </w:rPr>
        <w:t xml:space="preserve">Pb calibration uncertainty of 0.26%. Secondary standards yielded </w:t>
      </w:r>
      <w:r w:rsidRPr="00BD5733">
        <w:rPr>
          <w:sz w:val="20"/>
          <w:szCs w:val="20"/>
          <w:vertAlign w:val="superscript"/>
        </w:rPr>
        <w:t>206</w:t>
      </w:r>
      <w:r w:rsidRPr="00BD5733">
        <w:rPr>
          <w:sz w:val="20"/>
          <w:szCs w:val="20"/>
        </w:rPr>
        <w:t>Pb/</w:t>
      </w:r>
      <w:r w:rsidRPr="00BD5733">
        <w:rPr>
          <w:sz w:val="20"/>
          <w:szCs w:val="20"/>
          <w:vertAlign w:val="superscript"/>
        </w:rPr>
        <w:t>238</w:t>
      </w:r>
      <w:r w:rsidRPr="00BD5733">
        <w:rPr>
          <w:sz w:val="20"/>
          <w:szCs w:val="20"/>
        </w:rPr>
        <w:t xml:space="preserve">U ages of 514 ± 19 Ma (n=5) for IND, and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ages of 480 ± 47 Ma (n=4) for VK–1, and 2036 ± 59 Ma (n=3) for Hout; within the uncertainty of reported ages. Data were processed using the SQUID 2.5 and Isoplot 2.71 Excel add-ins </w:t>
      </w:r>
      <w:r w:rsidRPr="00BD5733">
        <w:rPr>
          <w:noProof/>
          <w:color w:val="2F5496" w:themeColor="accent1" w:themeShade="BF"/>
          <w:sz w:val="20"/>
          <w:szCs w:val="20"/>
        </w:rPr>
        <w:t>(Ludwig 2003; Ludwig 2009)</w:t>
      </w:r>
      <w:r w:rsidRPr="00BD5733">
        <w:rPr>
          <w:sz w:val="20"/>
          <w:szCs w:val="20"/>
        </w:rPr>
        <w:t xml:space="preserve">.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dates from individual analyses are presented with 1σ internal precisions, whereas weighted mean </w:t>
      </w:r>
      <w:r w:rsidRPr="00BD5733">
        <w:rPr>
          <w:sz w:val="20"/>
          <w:szCs w:val="20"/>
          <w:vertAlign w:val="superscript"/>
        </w:rPr>
        <w:t>207</w:t>
      </w:r>
      <w:r w:rsidRPr="00BD5733">
        <w:rPr>
          <w:sz w:val="20"/>
          <w:szCs w:val="20"/>
        </w:rPr>
        <w:t>Pb/</w:t>
      </w:r>
      <w:r w:rsidRPr="00BD5733">
        <w:rPr>
          <w:sz w:val="20"/>
          <w:szCs w:val="20"/>
          <w:vertAlign w:val="superscript"/>
        </w:rPr>
        <w:t>206</w:t>
      </w:r>
      <w:r w:rsidRPr="00BD5733">
        <w:rPr>
          <w:sz w:val="20"/>
          <w:szCs w:val="20"/>
        </w:rPr>
        <w:t xml:space="preserve">Pb dates are reported at 95% confidence limits. Uncertainty ellipses on Concordia diagrams are at the 2σ level </w:t>
      </w:r>
      <w:r w:rsidRPr="00BD5733">
        <w:rPr>
          <w:color w:val="2F5496" w:themeColor="accent1" w:themeShade="BF"/>
          <w:sz w:val="20"/>
          <w:szCs w:val="20"/>
        </w:rPr>
        <w:t>(Fig.</w:t>
      </w:r>
      <w:r>
        <w:rPr>
          <w:color w:val="2F5496" w:themeColor="accent1" w:themeShade="BF"/>
          <w:sz w:val="20"/>
          <w:szCs w:val="20"/>
        </w:rPr>
        <w:t>3</w:t>
      </w:r>
      <w:r w:rsidRPr="00BD5733">
        <w:rPr>
          <w:color w:val="2F5496" w:themeColor="accent1" w:themeShade="BF"/>
          <w:sz w:val="20"/>
          <w:szCs w:val="20"/>
        </w:rPr>
        <w:t>)</w:t>
      </w:r>
      <w:r w:rsidRPr="00BD5733">
        <w:rPr>
          <w:sz w:val="20"/>
          <w:szCs w:val="20"/>
        </w:rPr>
        <w:t xml:space="preserve">. Spot analyses that were poorly placed on cracks and/or inclusions, were over 10% discordant and/or did not agree with the definition of discordant data </w:t>
      </w:r>
      <w:r w:rsidRPr="00BD5733">
        <w:rPr>
          <w:noProof/>
          <w:color w:val="2F5496" w:themeColor="accent1" w:themeShade="BF"/>
          <w:sz w:val="20"/>
          <w:szCs w:val="20"/>
        </w:rPr>
        <w:t>(Spencer et al. 2016)</w:t>
      </w:r>
      <w:r w:rsidRPr="00BD5733">
        <w:rPr>
          <w:sz w:val="20"/>
          <w:szCs w:val="20"/>
        </w:rPr>
        <w:t xml:space="preserve"> were not included in the database and are not presented. A complete list of the analysed samples can be found in </w:t>
      </w:r>
      <w:r w:rsidRPr="00805B05">
        <w:rPr>
          <w:color w:val="2F5496" w:themeColor="accent1" w:themeShade="BF"/>
          <w:sz w:val="20"/>
          <w:szCs w:val="20"/>
          <w:lang w:val="en-AU"/>
        </w:rPr>
        <w:t>Electronic</w:t>
      </w:r>
      <w:r w:rsidRPr="00540892">
        <w:rPr>
          <w:color w:val="2F5496" w:themeColor="accent1" w:themeShade="BF"/>
          <w:sz w:val="20"/>
          <w:szCs w:val="20"/>
          <w:lang w:val="en-AU"/>
        </w:rPr>
        <w:t xml:space="preserve"> </w:t>
      </w:r>
      <w:r>
        <w:rPr>
          <w:color w:val="2F5496" w:themeColor="accent1" w:themeShade="BF"/>
          <w:sz w:val="20"/>
          <w:szCs w:val="20"/>
          <w:lang w:val="en-AU"/>
        </w:rPr>
        <w:t>s</w:t>
      </w:r>
      <w:r w:rsidRPr="00540892">
        <w:rPr>
          <w:color w:val="2F5496" w:themeColor="accent1" w:themeShade="BF"/>
          <w:sz w:val="20"/>
          <w:szCs w:val="20"/>
          <w:lang w:val="en-AU"/>
        </w:rPr>
        <w:t xml:space="preserve">upplementary </w:t>
      </w:r>
      <w:r>
        <w:rPr>
          <w:color w:val="2F5496" w:themeColor="accent1" w:themeShade="BF"/>
          <w:sz w:val="20"/>
          <w:szCs w:val="20"/>
          <w:lang w:val="en-AU"/>
        </w:rPr>
        <w:t>m</w:t>
      </w:r>
      <w:r w:rsidRPr="00540892">
        <w:rPr>
          <w:color w:val="2F5496" w:themeColor="accent1" w:themeShade="BF"/>
          <w:sz w:val="20"/>
          <w:szCs w:val="20"/>
          <w:lang w:val="en-AU"/>
        </w:rPr>
        <w:t>aterial</w:t>
      </w:r>
      <w:r>
        <w:rPr>
          <w:color w:val="2F5496" w:themeColor="accent1" w:themeShade="BF"/>
          <w:sz w:val="20"/>
          <w:szCs w:val="20"/>
          <w:lang w:val="en-AU"/>
        </w:rPr>
        <w:t xml:space="preserve"> Table S</w:t>
      </w:r>
      <w:r w:rsidRPr="007C1BB9">
        <w:rPr>
          <w:color w:val="2F5496" w:themeColor="accent1" w:themeShade="BF"/>
          <w:sz w:val="20"/>
          <w:szCs w:val="20"/>
          <w:lang w:val="en-AU"/>
        </w:rPr>
        <w:t>2</w:t>
      </w:r>
      <w:r w:rsidRPr="007C1BB9">
        <w:rPr>
          <w:sz w:val="20"/>
          <w:szCs w:val="20"/>
        </w:rPr>
        <w:t>.</w:t>
      </w:r>
    </w:p>
    <w:p w14:paraId="26878F37" w14:textId="269E345B" w:rsidR="00A3057F" w:rsidRPr="00AC0CE2" w:rsidRDefault="00A3057F" w:rsidP="00E66CF6">
      <w:pPr>
        <w:pStyle w:val="ListParagraph"/>
        <w:numPr>
          <w:ilvl w:val="1"/>
          <w:numId w:val="2"/>
        </w:numPr>
        <w:tabs>
          <w:tab w:val="left" w:pos="0"/>
        </w:tabs>
        <w:spacing w:line="480" w:lineRule="auto"/>
        <w:jc w:val="both"/>
        <w:rPr>
          <w:b/>
          <w:sz w:val="22"/>
          <w:szCs w:val="22"/>
        </w:rPr>
      </w:pPr>
      <w:r w:rsidRPr="00AC0CE2">
        <w:rPr>
          <w:b/>
          <w:sz w:val="22"/>
          <w:szCs w:val="22"/>
        </w:rPr>
        <w:t>LA</w:t>
      </w:r>
      <w:r w:rsidR="00AE335E">
        <w:rPr>
          <w:b/>
          <w:sz w:val="22"/>
          <w:szCs w:val="22"/>
        </w:rPr>
        <w:t>-</w:t>
      </w:r>
      <w:r w:rsidRPr="00AC0CE2">
        <w:rPr>
          <w:b/>
          <w:sz w:val="22"/>
          <w:szCs w:val="22"/>
        </w:rPr>
        <w:t>SS-ICP</w:t>
      </w:r>
      <w:r w:rsidR="00F07CEC" w:rsidRPr="00AC0CE2">
        <w:rPr>
          <w:b/>
          <w:sz w:val="22"/>
          <w:szCs w:val="22"/>
        </w:rPr>
        <w:t>-</w:t>
      </w:r>
      <w:r w:rsidRPr="00AC0CE2">
        <w:rPr>
          <w:b/>
          <w:sz w:val="22"/>
          <w:szCs w:val="22"/>
        </w:rPr>
        <w:t>MS of zircon and monazite – Trace Elements</w:t>
      </w:r>
    </w:p>
    <w:p w14:paraId="398DE67B" w14:textId="1C45AC96" w:rsidR="00A3057F" w:rsidRPr="00AC0CE2" w:rsidRDefault="00A3057F" w:rsidP="00BC68DD">
      <w:pPr>
        <w:tabs>
          <w:tab w:val="left" w:pos="0"/>
        </w:tabs>
        <w:spacing w:line="480" w:lineRule="auto"/>
        <w:jc w:val="both"/>
        <w:rPr>
          <w:color w:val="2F5496" w:themeColor="accent1" w:themeShade="BF"/>
          <w:sz w:val="20"/>
          <w:szCs w:val="20"/>
        </w:rPr>
      </w:pPr>
      <w:r w:rsidRPr="00BD5733">
        <w:rPr>
          <w:sz w:val="20"/>
          <w:szCs w:val="20"/>
        </w:rPr>
        <w:t xml:space="preserve">For the </w:t>
      </w:r>
      <w:r>
        <w:rPr>
          <w:sz w:val="20"/>
          <w:szCs w:val="20"/>
        </w:rPr>
        <w:t>laser ablation split stream (</w:t>
      </w:r>
      <w:r w:rsidRPr="00BD5733">
        <w:rPr>
          <w:sz w:val="20"/>
          <w:szCs w:val="20"/>
        </w:rPr>
        <w:t>LA</w:t>
      </w:r>
      <w:r w:rsidR="00AE335E">
        <w:rPr>
          <w:sz w:val="20"/>
          <w:szCs w:val="20"/>
        </w:rPr>
        <w:t>-</w:t>
      </w:r>
      <w:r w:rsidRPr="00BD5733">
        <w:rPr>
          <w:sz w:val="20"/>
          <w:szCs w:val="20"/>
        </w:rPr>
        <w:t>SS</w:t>
      </w:r>
      <w:r>
        <w:rPr>
          <w:sz w:val="20"/>
          <w:szCs w:val="20"/>
        </w:rPr>
        <w:t>)</w:t>
      </w:r>
      <w:r w:rsidR="00F07CEC" w:rsidRPr="00AC0CE2">
        <w:rPr>
          <w:b/>
          <w:sz w:val="22"/>
          <w:szCs w:val="22"/>
        </w:rPr>
        <w:t>-</w:t>
      </w:r>
      <w:r w:rsidRPr="00BD5733">
        <w:rPr>
          <w:sz w:val="20"/>
          <w:szCs w:val="20"/>
        </w:rPr>
        <w:t>ICP</w:t>
      </w:r>
      <w:r w:rsidR="00F07CEC" w:rsidRPr="00AC0CE2">
        <w:rPr>
          <w:b/>
          <w:sz w:val="22"/>
          <w:szCs w:val="22"/>
        </w:rPr>
        <w:t>-</w:t>
      </w:r>
      <w:r w:rsidRPr="00BD5733">
        <w:rPr>
          <w:sz w:val="20"/>
          <w:szCs w:val="20"/>
        </w:rPr>
        <w:t xml:space="preserve">MS, different zircon and monazite grains were analysed than those used in the SHRIMP analysis. </w:t>
      </w:r>
      <w:r w:rsidRPr="00BD5733">
        <w:rPr>
          <w:rFonts w:eastAsia="Calibri"/>
          <w:sz w:val="20"/>
          <w:szCs w:val="20"/>
        </w:rPr>
        <w:t xml:space="preserve">Samples were analysed over two sessions for monazite (both with the same analytical conditions) and one session for zircon. </w:t>
      </w:r>
      <w:r w:rsidRPr="00BD5733">
        <w:rPr>
          <w:sz w:val="20"/>
          <w:szCs w:val="20"/>
        </w:rPr>
        <w:t xml:space="preserve">In the zircon </w:t>
      </w:r>
      <w:r w:rsidR="00AE335E" w:rsidRPr="00BD5733">
        <w:rPr>
          <w:color w:val="2F5496" w:themeColor="accent1" w:themeShade="BF"/>
          <w:sz w:val="20"/>
          <w:szCs w:val="20"/>
        </w:rPr>
        <w:t>(</w:t>
      </w:r>
      <w:r w:rsidR="00AE335E">
        <w:rPr>
          <w:color w:val="2F5496" w:themeColor="accent1" w:themeShade="BF"/>
          <w:sz w:val="20"/>
          <w:szCs w:val="20"/>
        </w:rPr>
        <w:t xml:space="preserve">Appendix </w:t>
      </w:r>
      <w:r w:rsidR="00AE335E" w:rsidRPr="00BD5733">
        <w:rPr>
          <w:color w:val="2F5496" w:themeColor="accent1" w:themeShade="BF"/>
          <w:sz w:val="20"/>
          <w:szCs w:val="20"/>
        </w:rPr>
        <w:t xml:space="preserve">Fig. </w:t>
      </w:r>
      <w:r w:rsidR="00AE335E">
        <w:rPr>
          <w:color w:val="2F5496" w:themeColor="accent1" w:themeShade="BF"/>
          <w:sz w:val="20"/>
          <w:szCs w:val="20"/>
        </w:rPr>
        <w:t>S3a</w:t>
      </w:r>
      <w:r w:rsidR="00AE335E" w:rsidRPr="00BD5733">
        <w:rPr>
          <w:color w:val="2F5496" w:themeColor="accent1" w:themeShade="BF"/>
          <w:sz w:val="20"/>
          <w:szCs w:val="20"/>
        </w:rPr>
        <w:t>)</w:t>
      </w:r>
      <w:r w:rsidR="00AE335E">
        <w:rPr>
          <w:color w:val="2F5496" w:themeColor="accent1" w:themeShade="BF"/>
          <w:sz w:val="20"/>
          <w:szCs w:val="20"/>
        </w:rPr>
        <w:t xml:space="preserve"> </w:t>
      </w:r>
      <w:r w:rsidRPr="00BD5733">
        <w:rPr>
          <w:sz w:val="20"/>
          <w:szCs w:val="20"/>
        </w:rPr>
        <w:t xml:space="preserve">and monazite </w:t>
      </w:r>
      <w:r w:rsidR="00AE335E" w:rsidRPr="00BD5733">
        <w:rPr>
          <w:color w:val="2F5496" w:themeColor="accent1" w:themeShade="BF"/>
          <w:sz w:val="20"/>
          <w:szCs w:val="20"/>
        </w:rPr>
        <w:t>(</w:t>
      </w:r>
      <w:r w:rsidR="00AE335E">
        <w:rPr>
          <w:color w:val="2F5496" w:themeColor="accent1" w:themeShade="BF"/>
          <w:sz w:val="20"/>
          <w:szCs w:val="20"/>
        </w:rPr>
        <w:t xml:space="preserve">Appendix </w:t>
      </w:r>
      <w:r w:rsidR="00AE335E" w:rsidRPr="00BD5733">
        <w:rPr>
          <w:color w:val="2F5496" w:themeColor="accent1" w:themeShade="BF"/>
          <w:sz w:val="20"/>
          <w:szCs w:val="20"/>
        </w:rPr>
        <w:t xml:space="preserve">Fig. </w:t>
      </w:r>
      <w:r w:rsidR="00AE335E">
        <w:rPr>
          <w:color w:val="2F5496" w:themeColor="accent1" w:themeShade="BF"/>
          <w:sz w:val="20"/>
          <w:szCs w:val="20"/>
        </w:rPr>
        <w:t>S3b</w:t>
      </w:r>
      <w:r w:rsidR="00AE335E" w:rsidRPr="00BD5733">
        <w:rPr>
          <w:color w:val="2F5496" w:themeColor="accent1" w:themeShade="BF"/>
          <w:sz w:val="20"/>
          <w:szCs w:val="20"/>
        </w:rPr>
        <w:t>)</w:t>
      </w:r>
      <w:r w:rsidR="00AE335E">
        <w:rPr>
          <w:color w:val="2F5496" w:themeColor="accent1" w:themeShade="BF"/>
          <w:sz w:val="20"/>
          <w:szCs w:val="20"/>
        </w:rPr>
        <w:t xml:space="preserve"> </w:t>
      </w:r>
      <w:r w:rsidRPr="008D2F9A">
        <w:rPr>
          <w:sz w:val="20"/>
          <w:szCs w:val="20"/>
          <w:lang w:val="en-US"/>
        </w:rPr>
        <w:t>rare e</w:t>
      </w:r>
      <w:r>
        <w:rPr>
          <w:sz w:val="20"/>
          <w:szCs w:val="20"/>
          <w:lang w:val="en-US"/>
        </w:rPr>
        <w:t>arth element (</w:t>
      </w:r>
      <w:r w:rsidRPr="00BD5733">
        <w:rPr>
          <w:sz w:val="20"/>
          <w:szCs w:val="20"/>
        </w:rPr>
        <w:t>REE</w:t>
      </w:r>
      <w:r w:rsidRPr="008D2F9A">
        <w:rPr>
          <w:sz w:val="20"/>
          <w:szCs w:val="20"/>
          <w:lang w:val="en-US"/>
        </w:rPr>
        <w:t>)</w:t>
      </w:r>
      <w:r w:rsidRPr="00BD5733">
        <w:rPr>
          <w:sz w:val="20"/>
          <w:szCs w:val="20"/>
        </w:rPr>
        <w:t xml:space="preserve"> plots, the analysed data were normalized against the chondrite values of </w:t>
      </w:r>
      <w:r w:rsidRPr="00BD5733">
        <w:rPr>
          <w:noProof/>
          <w:color w:val="2F5496" w:themeColor="accent1" w:themeShade="BF"/>
          <w:sz w:val="20"/>
          <w:szCs w:val="20"/>
        </w:rPr>
        <w:t>Anders and Grevesse (1989)</w:t>
      </w:r>
      <w:r w:rsidRPr="00BD5733">
        <w:rPr>
          <w:sz w:val="20"/>
          <w:szCs w:val="20"/>
        </w:rPr>
        <w:t xml:space="preserve">, denoted by </w:t>
      </w:r>
      <w:r w:rsidRPr="00BD5733">
        <w:rPr>
          <w:i/>
          <w:iCs/>
          <w:sz w:val="20"/>
          <w:szCs w:val="20"/>
        </w:rPr>
        <w:t>X</w:t>
      </w:r>
      <w:r w:rsidRPr="00BD5733">
        <w:rPr>
          <w:i/>
          <w:iCs/>
          <w:sz w:val="20"/>
          <w:szCs w:val="20"/>
          <w:vertAlign w:val="subscript"/>
        </w:rPr>
        <w:t>N</w:t>
      </w:r>
      <w:r w:rsidRPr="00BD5733">
        <w:rPr>
          <w:sz w:val="20"/>
          <w:szCs w:val="20"/>
        </w:rPr>
        <w:t xml:space="preserve"> where </w:t>
      </w:r>
      <w:r w:rsidRPr="00BD5733">
        <w:rPr>
          <w:i/>
          <w:iCs/>
          <w:sz w:val="20"/>
          <w:szCs w:val="20"/>
        </w:rPr>
        <w:t>X</w:t>
      </w:r>
      <w:r w:rsidRPr="00BD5733">
        <w:rPr>
          <w:sz w:val="20"/>
          <w:szCs w:val="20"/>
        </w:rPr>
        <w:t xml:space="preserve"> is the element in question and </w:t>
      </w:r>
      <w:r w:rsidRPr="00BD5733">
        <w:rPr>
          <w:sz w:val="20"/>
          <w:szCs w:val="20"/>
          <w:vertAlign w:val="subscript"/>
        </w:rPr>
        <w:t>N</w:t>
      </w:r>
      <w:r w:rsidRPr="00BD5733">
        <w:rPr>
          <w:sz w:val="20"/>
          <w:szCs w:val="20"/>
        </w:rPr>
        <w:t xml:space="preserve"> indicates the normalized value</w:t>
      </w:r>
      <w:r w:rsidRPr="00BD5733">
        <w:rPr>
          <w:color w:val="2F5496" w:themeColor="accent1" w:themeShade="BF"/>
          <w:sz w:val="20"/>
          <w:szCs w:val="20"/>
        </w:rPr>
        <w:t>.</w:t>
      </w:r>
    </w:p>
    <w:p w14:paraId="13CFCAB0" w14:textId="77777777" w:rsidR="00A3057F" w:rsidRPr="009104DE" w:rsidRDefault="00A3057F" w:rsidP="00BC68DD">
      <w:pPr>
        <w:tabs>
          <w:tab w:val="left" w:pos="0"/>
        </w:tabs>
        <w:spacing w:line="480" w:lineRule="auto"/>
        <w:jc w:val="both"/>
        <w:rPr>
          <w:b/>
          <w:sz w:val="20"/>
          <w:szCs w:val="20"/>
        </w:rPr>
      </w:pPr>
      <w:r w:rsidRPr="00BD5733">
        <w:rPr>
          <w:b/>
          <w:sz w:val="20"/>
          <w:szCs w:val="20"/>
        </w:rPr>
        <w:t>Zircon trace elements</w:t>
      </w:r>
      <w:r>
        <w:rPr>
          <w:b/>
          <w:sz w:val="20"/>
          <w:szCs w:val="20"/>
        </w:rPr>
        <w:t xml:space="preserve">: </w:t>
      </w:r>
      <w:r w:rsidRPr="00BD5733">
        <w:rPr>
          <w:sz w:val="20"/>
          <w:szCs w:val="20"/>
        </w:rPr>
        <w:t xml:space="preserve">Zircon was ablated in the JdLC GeoHistory Facility, Curtin University using a </w:t>
      </w:r>
      <w:r w:rsidRPr="00BD5733">
        <w:rPr>
          <w:rFonts w:eastAsia="Calibri"/>
          <w:sz w:val="20"/>
          <w:szCs w:val="20"/>
        </w:rPr>
        <w:t>RESOlution M‐50 193nm excimer laser equipped with a low‐volume Laurin Technic S155 cell, coupled to an Agilent 8900x QQQ ICPMS.</w:t>
      </w:r>
      <w:r w:rsidRPr="00BD5733">
        <w:rPr>
          <w:sz w:val="20"/>
          <w:szCs w:val="20"/>
        </w:rPr>
        <w:t xml:space="preserve"> The beam diameter was 30 μm, the repetition rate was 4 Hz, and the on-sample energy was ~2 J cm</w:t>
      </w:r>
      <w:r w:rsidRPr="00BD5733">
        <w:rPr>
          <w:sz w:val="20"/>
          <w:szCs w:val="20"/>
          <w:vertAlign w:val="superscript"/>
        </w:rPr>
        <w:t>−2</w:t>
      </w:r>
      <w:r w:rsidRPr="00BD5733">
        <w:rPr>
          <w:sz w:val="20"/>
          <w:szCs w:val="20"/>
        </w:rPr>
        <w:t xml:space="preserve">. Following two cleaning pulses, total acquisition time per analysis was 90 s including 30 s of background acquisition and 40 s of sample ablation, followed by a 20 s washout period. </w:t>
      </w:r>
      <w:r w:rsidRPr="00BD5733">
        <w:rPr>
          <w:sz w:val="20"/>
          <w:szCs w:val="20"/>
          <w:lang w:val="en-US"/>
        </w:rPr>
        <w:t>The sample cell was flushed with ultrahigh purity He (350 mL min</w:t>
      </w:r>
      <w:r w:rsidRPr="00BD5733">
        <w:rPr>
          <w:sz w:val="20"/>
          <w:szCs w:val="20"/>
          <w:vertAlign w:val="superscript"/>
          <w:lang w:val="en-US"/>
        </w:rPr>
        <w:t>-1</w:t>
      </w:r>
      <w:r w:rsidRPr="00BD5733">
        <w:rPr>
          <w:sz w:val="20"/>
          <w:szCs w:val="20"/>
          <w:lang w:val="en-US"/>
        </w:rPr>
        <w:t xml:space="preserve"> and N</w:t>
      </w:r>
      <w:r w:rsidRPr="00BD5733">
        <w:rPr>
          <w:sz w:val="20"/>
          <w:szCs w:val="20"/>
          <w:vertAlign w:val="subscript"/>
          <w:lang w:val="en-US"/>
        </w:rPr>
        <w:t>2</w:t>
      </w:r>
      <w:r w:rsidRPr="00BD5733">
        <w:rPr>
          <w:sz w:val="20"/>
          <w:szCs w:val="20"/>
          <w:lang w:val="en-US"/>
        </w:rPr>
        <w:t xml:space="preserve"> (3.8 mL min</w:t>
      </w:r>
      <w:r w:rsidRPr="00BD5733">
        <w:rPr>
          <w:sz w:val="20"/>
          <w:szCs w:val="20"/>
          <w:vertAlign w:val="superscript"/>
          <w:lang w:val="en-US"/>
        </w:rPr>
        <w:t>-1</w:t>
      </w:r>
      <w:r w:rsidRPr="00BD5733">
        <w:rPr>
          <w:sz w:val="20"/>
          <w:szCs w:val="20"/>
          <w:lang w:val="en-US"/>
        </w:rPr>
        <w:t xml:space="preserve">) and high purity Ar was utilized as the plasma/carrier gas. Unknowns were bracketed by a suite of reference zircon (GJ-1 </w:t>
      </w:r>
      <w:r w:rsidRPr="00BD5733">
        <w:rPr>
          <w:noProof/>
          <w:color w:val="2F5496" w:themeColor="accent1" w:themeShade="BF"/>
          <w:sz w:val="20"/>
          <w:szCs w:val="20"/>
          <w:lang w:val="en-US"/>
        </w:rPr>
        <w:t>(Liu et al. 2010)</w:t>
      </w:r>
      <w:r w:rsidRPr="00BD5733">
        <w:rPr>
          <w:sz w:val="20"/>
          <w:szCs w:val="20"/>
          <w:lang w:val="en-US"/>
        </w:rPr>
        <w:t xml:space="preserve">, 91500 </w:t>
      </w:r>
      <w:r w:rsidRPr="00BD5733">
        <w:rPr>
          <w:noProof/>
          <w:color w:val="2F5496" w:themeColor="accent1" w:themeShade="BF"/>
          <w:sz w:val="20"/>
          <w:szCs w:val="20"/>
          <w:lang w:val="en-US"/>
        </w:rPr>
        <w:lastRenderedPageBreak/>
        <w:t>(Wiedenbeck et al. 1995)</w:t>
      </w:r>
      <w:r w:rsidRPr="00BD5733">
        <w:rPr>
          <w:sz w:val="20"/>
          <w:szCs w:val="20"/>
          <w:lang w:val="en-US"/>
        </w:rPr>
        <w:t xml:space="preserve">, OGC </w:t>
      </w:r>
      <w:r w:rsidRPr="00BD5733">
        <w:rPr>
          <w:noProof/>
          <w:color w:val="2F5496" w:themeColor="accent1" w:themeShade="BF"/>
          <w:sz w:val="20"/>
          <w:szCs w:val="20"/>
          <w:lang w:val="en-US"/>
        </w:rPr>
        <w:t>(Stern et al. 2009)</w:t>
      </w:r>
      <w:r w:rsidRPr="00BD5733">
        <w:rPr>
          <w:sz w:val="20"/>
          <w:szCs w:val="20"/>
          <w:lang w:val="en-US"/>
        </w:rPr>
        <w:t xml:space="preserve">, Plesoviçe </w:t>
      </w:r>
      <w:r w:rsidRPr="00BD5733">
        <w:rPr>
          <w:noProof/>
          <w:color w:val="2F5496" w:themeColor="accent1" w:themeShade="BF"/>
          <w:sz w:val="20"/>
          <w:szCs w:val="20"/>
          <w:lang w:val="en-US"/>
        </w:rPr>
        <w:t>(Sláma et al. 2008)</w:t>
      </w:r>
      <w:r w:rsidRPr="00BD5733">
        <w:rPr>
          <w:color w:val="2F5496" w:themeColor="accent1" w:themeShade="BF"/>
          <w:sz w:val="20"/>
          <w:szCs w:val="20"/>
          <w:lang w:val="en-US"/>
        </w:rPr>
        <w:t xml:space="preserve"> </w:t>
      </w:r>
      <w:r w:rsidRPr="00BD5733">
        <w:rPr>
          <w:sz w:val="20"/>
          <w:szCs w:val="20"/>
          <w:lang w:val="en-US"/>
        </w:rPr>
        <w:t xml:space="preserve">and a homogeneous Penglai zircon megacryst </w:t>
      </w:r>
      <w:r w:rsidRPr="00BD5733">
        <w:rPr>
          <w:noProof/>
          <w:color w:val="2F5496" w:themeColor="accent1" w:themeShade="BF"/>
          <w:sz w:val="20"/>
          <w:szCs w:val="20"/>
          <w:lang w:val="en-US"/>
        </w:rPr>
        <w:t>(PL1; Li et al. 2010)</w:t>
      </w:r>
      <w:r w:rsidRPr="00BD5733">
        <w:rPr>
          <w:sz w:val="20"/>
          <w:szCs w:val="20"/>
          <w:lang w:val="en-US"/>
        </w:rPr>
        <w:t xml:space="preserve">, extensively characterized for trace element content and utilized as an in-house trace element standard) and NIST SRM glasses (610 and 612), analyzed every 20 unknowns. </w:t>
      </w:r>
      <w:r w:rsidRPr="00BD5733">
        <w:rPr>
          <w:sz w:val="20"/>
          <w:szCs w:val="20"/>
        </w:rPr>
        <w:t>The following isotopes were monitored for 0.01-0.02s each (</w:t>
      </w:r>
      <w:r w:rsidRPr="00BD5733">
        <w:rPr>
          <w:sz w:val="20"/>
          <w:szCs w:val="20"/>
          <w:vertAlign w:val="superscript"/>
        </w:rPr>
        <w:t>29</w:t>
      </w:r>
      <w:r w:rsidRPr="00BD5733">
        <w:rPr>
          <w:sz w:val="20"/>
          <w:szCs w:val="20"/>
        </w:rPr>
        <w:t xml:space="preserve">Si, </w:t>
      </w:r>
      <w:r w:rsidRPr="00BD5733">
        <w:rPr>
          <w:sz w:val="20"/>
          <w:szCs w:val="20"/>
          <w:vertAlign w:val="superscript"/>
        </w:rPr>
        <w:t>49</w:t>
      </w:r>
      <w:r w:rsidRPr="00BD5733">
        <w:rPr>
          <w:sz w:val="20"/>
          <w:szCs w:val="20"/>
        </w:rPr>
        <w:t xml:space="preserve">Ti, </w:t>
      </w:r>
      <w:r w:rsidRPr="00BD5733">
        <w:rPr>
          <w:sz w:val="20"/>
          <w:szCs w:val="20"/>
          <w:vertAlign w:val="superscript"/>
        </w:rPr>
        <w:t>89</w:t>
      </w:r>
      <w:r w:rsidRPr="00BD5733">
        <w:rPr>
          <w:sz w:val="20"/>
          <w:szCs w:val="20"/>
        </w:rPr>
        <w:t xml:space="preserve">Y, </w:t>
      </w:r>
      <w:r w:rsidRPr="00BD5733">
        <w:rPr>
          <w:sz w:val="20"/>
          <w:szCs w:val="20"/>
          <w:vertAlign w:val="superscript"/>
        </w:rPr>
        <w:t>93</w:t>
      </w:r>
      <w:r w:rsidRPr="00BD5733">
        <w:rPr>
          <w:sz w:val="20"/>
          <w:szCs w:val="20"/>
        </w:rPr>
        <w:t xml:space="preserve">Nb, </w:t>
      </w:r>
      <w:r w:rsidRPr="00BD5733">
        <w:rPr>
          <w:sz w:val="20"/>
          <w:szCs w:val="20"/>
          <w:vertAlign w:val="superscript"/>
        </w:rPr>
        <w:t>139</w:t>
      </w:r>
      <w:r w:rsidRPr="00BD5733">
        <w:rPr>
          <w:sz w:val="20"/>
          <w:szCs w:val="20"/>
        </w:rPr>
        <w:t>La,</w:t>
      </w:r>
      <w:r w:rsidRPr="00BD5733">
        <w:rPr>
          <w:sz w:val="20"/>
          <w:szCs w:val="20"/>
          <w:vertAlign w:val="superscript"/>
        </w:rPr>
        <w:t xml:space="preserve"> 140</w:t>
      </w:r>
      <w:r w:rsidRPr="00BD5733">
        <w:rPr>
          <w:sz w:val="20"/>
          <w:szCs w:val="20"/>
        </w:rPr>
        <w:t xml:space="preserve">Ce, </w:t>
      </w:r>
      <w:r w:rsidRPr="00BD5733">
        <w:rPr>
          <w:sz w:val="20"/>
          <w:szCs w:val="20"/>
          <w:vertAlign w:val="superscript"/>
        </w:rPr>
        <w:t>146</w:t>
      </w:r>
      <w:r w:rsidRPr="00BD5733">
        <w:rPr>
          <w:sz w:val="20"/>
          <w:szCs w:val="20"/>
        </w:rPr>
        <w:t xml:space="preserve">Nd, </w:t>
      </w:r>
      <w:r w:rsidRPr="00BD5733">
        <w:rPr>
          <w:sz w:val="20"/>
          <w:szCs w:val="20"/>
          <w:vertAlign w:val="superscript"/>
        </w:rPr>
        <w:t>147</w:t>
      </w:r>
      <w:r w:rsidRPr="00BD5733">
        <w:rPr>
          <w:sz w:val="20"/>
          <w:szCs w:val="20"/>
        </w:rPr>
        <w:t xml:space="preserve">Sm, </w:t>
      </w:r>
      <w:r w:rsidRPr="00BD5733">
        <w:rPr>
          <w:sz w:val="20"/>
          <w:szCs w:val="20"/>
          <w:vertAlign w:val="superscript"/>
        </w:rPr>
        <w:t>151</w:t>
      </w:r>
      <w:r w:rsidRPr="00BD5733">
        <w:rPr>
          <w:sz w:val="20"/>
          <w:szCs w:val="20"/>
        </w:rPr>
        <w:t>Eu,</w:t>
      </w:r>
      <w:r w:rsidRPr="00BD5733">
        <w:rPr>
          <w:sz w:val="20"/>
          <w:szCs w:val="20"/>
          <w:vertAlign w:val="superscript"/>
        </w:rPr>
        <w:t xml:space="preserve"> 157</w:t>
      </w:r>
      <w:r w:rsidRPr="00BD5733">
        <w:rPr>
          <w:sz w:val="20"/>
          <w:szCs w:val="20"/>
        </w:rPr>
        <w:t xml:space="preserve">Gd, </w:t>
      </w:r>
      <w:r w:rsidRPr="00BD5733">
        <w:rPr>
          <w:sz w:val="20"/>
          <w:szCs w:val="20"/>
          <w:vertAlign w:val="superscript"/>
        </w:rPr>
        <w:t>159</w:t>
      </w:r>
      <w:r w:rsidRPr="00BD5733">
        <w:rPr>
          <w:sz w:val="20"/>
          <w:szCs w:val="20"/>
        </w:rPr>
        <w:t>Tb,</w:t>
      </w:r>
      <w:r w:rsidRPr="00BD5733">
        <w:rPr>
          <w:sz w:val="20"/>
          <w:szCs w:val="20"/>
          <w:vertAlign w:val="superscript"/>
        </w:rPr>
        <w:t xml:space="preserve"> 163</w:t>
      </w:r>
      <w:r w:rsidRPr="00BD5733">
        <w:rPr>
          <w:sz w:val="20"/>
          <w:szCs w:val="20"/>
        </w:rPr>
        <w:t>Dy,</w:t>
      </w:r>
      <w:r w:rsidRPr="00BD5733">
        <w:rPr>
          <w:sz w:val="20"/>
          <w:szCs w:val="20"/>
          <w:vertAlign w:val="superscript"/>
        </w:rPr>
        <w:t xml:space="preserve"> 165</w:t>
      </w:r>
      <w:r w:rsidRPr="00BD5733">
        <w:rPr>
          <w:sz w:val="20"/>
          <w:szCs w:val="20"/>
        </w:rPr>
        <w:t xml:space="preserve">Ho, </w:t>
      </w:r>
      <w:r w:rsidRPr="00BD5733">
        <w:rPr>
          <w:sz w:val="20"/>
          <w:szCs w:val="20"/>
          <w:vertAlign w:val="superscript"/>
        </w:rPr>
        <w:t>166</w:t>
      </w:r>
      <w:r w:rsidRPr="00BD5733">
        <w:rPr>
          <w:sz w:val="20"/>
          <w:szCs w:val="20"/>
        </w:rPr>
        <w:t>Er</w:t>
      </w:r>
      <w:r w:rsidRPr="00BD5733">
        <w:rPr>
          <w:sz w:val="20"/>
          <w:szCs w:val="20"/>
          <w:vertAlign w:val="superscript"/>
        </w:rPr>
        <w:t xml:space="preserve"> 172</w:t>
      </w:r>
      <w:r w:rsidRPr="00BD5733">
        <w:rPr>
          <w:sz w:val="20"/>
          <w:szCs w:val="20"/>
        </w:rPr>
        <w:t xml:space="preserve">Yb, </w:t>
      </w:r>
      <w:r w:rsidRPr="00BD5733">
        <w:rPr>
          <w:sz w:val="20"/>
          <w:szCs w:val="20"/>
          <w:vertAlign w:val="superscript"/>
        </w:rPr>
        <w:t>175</w:t>
      </w:r>
      <w:r w:rsidRPr="00BD5733">
        <w:rPr>
          <w:sz w:val="20"/>
          <w:szCs w:val="20"/>
        </w:rPr>
        <w:t xml:space="preserve">Lu, </w:t>
      </w:r>
      <w:r w:rsidRPr="00BD5733">
        <w:rPr>
          <w:sz w:val="20"/>
          <w:szCs w:val="20"/>
          <w:vertAlign w:val="superscript"/>
        </w:rPr>
        <w:t>178</w:t>
      </w:r>
      <w:r w:rsidRPr="00BD5733">
        <w:rPr>
          <w:sz w:val="20"/>
          <w:szCs w:val="20"/>
        </w:rPr>
        <w:t xml:space="preserve">Hf, </w:t>
      </w:r>
      <w:r w:rsidRPr="00BD5733">
        <w:rPr>
          <w:sz w:val="20"/>
          <w:szCs w:val="20"/>
          <w:vertAlign w:val="superscript"/>
        </w:rPr>
        <w:t>204</w:t>
      </w:r>
      <w:r w:rsidRPr="00BD5733">
        <w:rPr>
          <w:sz w:val="20"/>
          <w:szCs w:val="20"/>
        </w:rPr>
        <w:t xml:space="preserve">Pb, </w:t>
      </w:r>
      <w:r w:rsidRPr="00BD5733">
        <w:rPr>
          <w:sz w:val="20"/>
          <w:szCs w:val="20"/>
          <w:vertAlign w:val="superscript"/>
        </w:rPr>
        <w:t>206</w:t>
      </w:r>
      <w:r w:rsidRPr="00BD5733">
        <w:rPr>
          <w:sz w:val="20"/>
          <w:szCs w:val="20"/>
        </w:rPr>
        <w:t>Pb,</w:t>
      </w:r>
      <w:r w:rsidRPr="00BD5733">
        <w:rPr>
          <w:sz w:val="20"/>
          <w:szCs w:val="20"/>
          <w:vertAlign w:val="superscript"/>
        </w:rPr>
        <w:t xml:space="preserve"> 207</w:t>
      </w:r>
      <w:r w:rsidRPr="00BD5733">
        <w:rPr>
          <w:sz w:val="20"/>
          <w:szCs w:val="20"/>
        </w:rPr>
        <w:t>Pb,</w:t>
      </w:r>
      <w:r w:rsidRPr="00BD5733">
        <w:rPr>
          <w:sz w:val="20"/>
          <w:szCs w:val="20"/>
          <w:vertAlign w:val="superscript"/>
        </w:rPr>
        <w:t xml:space="preserve"> 208</w:t>
      </w:r>
      <w:r w:rsidRPr="00BD5733">
        <w:rPr>
          <w:sz w:val="20"/>
          <w:szCs w:val="20"/>
        </w:rPr>
        <w:t>Pb,</w:t>
      </w:r>
      <w:r w:rsidRPr="00BD5733">
        <w:rPr>
          <w:sz w:val="20"/>
          <w:szCs w:val="20"/>
          <w:vertAlign w:val="superscript"/>
        </w:rPr>
        <w:t xml:space="preserve"> 232</w:t>
      </w:r>
      <w:r w:rsidRPr="00BD5733">
        <w:rPr>
          <w:sz w:val="20"/>
          <w:szCs w:val="20"/>
        </w:rPr>
        <w:t xml:space="preserve">Th and </w:t>
      </w:r>
      <w:r w:rsidRPr="00BD5733">
        <w:rPr>
          <w:sz w:val="20"/>
          <w:szCs w:val="20"/>
          <w:vertAlign w:val="superscript"/>
        </w:rPr>
        <w:t>238</w:t>
      </w:r>
      <w:r w:rsidRPr="00BD5733">
        <w:rPr>
          <w:sz w:val="20"/>
          <w:szCs w:val="20"/>
        </w:rPr>
        <w:t xml:space="preserve">U). Although U-Pb isotopes were collected, only the trace element data is utilized in this work. </w:t>
      </w:r>
      <w:r w:rsidRPr="00BD5733">
        <w:rPr>
          <w:sz w:val="20"/>
          <w:szCs w:val="20"/>
          <w:lang w:val="en-US"/>
        </w:rPr>
        <w:t>Zircon standard PL1 was used as the primary reference material to calculate elemental concentrations (</w:t>
      </w:r>
      <w:r w:rsidRPr="00BD5733">
        <w:rPr>
          <w:sz w:val="20"/>
          <w:szCs w:val="20"/>
          <w:vertAlign w:val="superscript"/>
          <w:lang w:val="en-US"/>
        </w:rPr>
        <w:t>91</w:t>
      </w:r>
      <w:r w:rsidRPr="00BD5733">
        <w:rPr>
          <w:sz w:val="20"/>
          <w:szCs w:val="20"/>
          <w:lang w:val="en-US"/>
        </w:rPr>
        <w:t>Zr as the internal standard element, 43.14% Zr assumed in unknowns). The trace element results for NIST 612 (secondary standard) using NIST 610 as the reference material and assuming 33.7% Si, indicate that the accuracy was better than 3% for all isotopes</w:t>
      </w:r>
      <w:r w:rsidRPr="00BD5733">
        <w:rPr>
          <w:sz w:val="20"/>
          <w:szCs w:val="20"/>
        </w:rPr>
        <w:t xml:space="preserve"> with detection limits for REE ranging from 0.1 to 0.5 ppm.  Data were collected using time-resolved data acquisition and processed using the Iolite software package </w:t>
      </w:r>
      <w:r w:rsidRPr="00BD5733">
        <w:rPr>
          <w:noProof/>
          <w:color w:val="2F5496" w:themeColor="accent1" w:themeShade="BF"/>
          <w:sz w:val="20"/>
          <w:szCs w:val="20"/>
        </w:rPr>
        <w:t>(Paton et al. 2011; Paton et al. 2010)</w:t>
      </w:r>
      <w:r w:rsidRPr="00BD5733">
        <w:rPr>
          <w:color w:val="2F5496" w:themeColor="accent1" w:themeShade="BF"/>
          <w:sz w:val="20"/>
          <w:szCs w:val="20"/>
        </w:rPr>
        <w:t>.</w:t>
      </w:r>
      <w:r w:rsidRPr="00BD5733">
        <w:rPr>
          <w:sz w:val="20"/>
          <w:szCs w:val="20"/>
        </w:rPr>
        <w:t xml:space="preserve"> Complete tables of results can be found in Supplementary material </w:t>
      </w:r>
      <w:r w:rsidRPr="007C1BB9">
        <w:rPr>
          <w:color w:val="2F5496" w:themeColor="accent1" w:themeShade="BF"/>
          <w:sz w:val="20"/>
          <w:szCs w:val="20"/>
        </w:rPr>
        <w:t>(</w:t>
      </w:r>
      <w:r w:rsidRPr="007C1BB9">
        <w:rPr>
          <w:color w:val="2F5496" w:themeColor="accent1" w:themeShade="BF"/>
          <w:sz w:val="20"/>
          <w:szCs w:val="20"/>
          <w:lang w:val="en-AU"/>
        </w:rPr>
        <w:t xml:space="preserve">Electronic supplementary material Table </w:t>
      </w:r>
      <w:r>
        <w:rPr>
          <w:color w:val="2F5496" w:themeColor="accent1" w:themeShade="BF"/>
          <w:sz w:val="20"/>
          <w:szCs w:val="20"/>
          <w:lang w:val="en-AU"/>
        </w:rPr>
        <w:t>S</w:t>
      </w:r>
      <w:r w:rsidRPr="007C1BB9">
        <w:rPr>
          <w:color w:val="2F5496" w:themeColor="accent1" w:themeShade="BF"/>
          <w:sz w:val="20"/>
          <w:szCs w:val="20"/>
        </w:rPr>
        <w:t>3).</w:t>
      </w:r>
    </w:p>
    <w:p w14:paraId="259F78C9" w14:textId="77777777" w:rsidR="00A3057F" w:rsidRPr="009104DE" w:rsidRDefault="00A3057F" w:rsidP="00AC0CE2">
      <w:pPr>
        <w:tabs>
          <w:tab w:val="left" w:pos="0"/>
        </w:tabs>
        <w:spacing w:line="480" w:lineRule="auto"/>
        <w:jc w:val="both"/>
        <w:rPr>
          <w:b/>
          <w:sz w:val="20"/>
          <w:szCs w:val="20"/>
        </w:rPr>
      </w:pPr>
      <w:r w:rsidRPr="00BD5733">
        <w:rPr>
          <w:b/>
          <w:sz w:val="20"/>
          <w:szCs w:val="20"/>
        </w:rPr>
        <w:t>Monazite trace elements</w:t>
      </w:r>
      <w:r>
        <w:rPr>
          <w:b/>
          <w:sz w:val="20"/>
          <w:szCs w:val="20"/>
        </w:rPr>
        <w:t xml:space="preserve">: </w:t>
      </w:r>
      <w:r w:rsidRPr="00BD5733">
        <w:rPr>
          <w:rFonts w:eastAsia="Calibri"/>
          <w:sz w:val="20"/>
          <w:szCs w:val="20"/>
        </w:rPr>
        <w:t>Monazite was analysed by laser ablation split stream in the JdLC GeoHistory Facility, Curtin University. Both ages and trace element analyses were obtained from a single ablation spot. However, only the trace element data is utilized in this work and only the trace element acquisition parameters are described below. Following two cleaning pulses and 45 s of baseline acquisition, 20 s ablations were performed using a 7-</w:t>
      </w:r>
      <w:r w:rsidRPr="00BD5733">
        <w:rPr>
          <w:sz w:val="20"/>
          <w:szCs w:val="20"/>
        </w:rPr>
        <w:t>µm diameter beam, at 4 Hz and 0.6 J cm</w:t>
      </w:r>
      <w:r w:rsidRPr="00BD5733">
        <w:rPr>
          <w:sz w:val="20"/>
          <w:szCs w:val="20"/>
          <w:vertAlign w:val="superscript"/>
        </w:rPr>
        <w:t>-2</w:t>
      </w:r>
      <w:r w:rsidRPr="00BD5733">
        <w:rPr>
          <w:sz w:val="20"/>
          <w:szCs w:val="20"/>
        </w:rPr>
        <w:t xml:space="preserve"> </w:t>
      </w:r>
      <w:r w:rsidRPr="00BD5733">
        <w:rPr>
          <w:rFonts w:eastAsia="Calibri"/>
          <w:sz w:val="20"/>
          <w:szCs w:val="20"/>
        </w:rPr>
        <w:t>(77 unknowns) using a RESOlution M‐50 193nm excimer laser equipped with a low‐volume Laurin Technic S155 cell, coupled to an Agilent 7700x quadrupole ICPMS. The sample cell was flushed with ultrahigh purity He (320 ml min</w:t>
      </w:r>
      <w:r w:rsidRPr="00BD5733">
        <w:rPr>
          <w:rFonts w:eastAsia="Calibri"/>
          <w:sz w:val="20"/>
          <w:szCs w:val="20"/>
          <w:vertAlign w:val="superscript"/>
        </w:rPr>
        <w:t>-1</w:t>
      </w:r>
      <w:r w:rsidRPr="00BD5733">
        <w:rPr>
          <w:rFonts w:eastAsia="Calibri"/>
          <w:sz w:val="20"/>
          <w:szCs w:val="20"/>
        </w:rPr>
        <w:t>) and N</w:t>
      </w:r>
      <w:r w:rsidRPr="00BD5733">
        <w:rPr>
          <w:rFonts w:eastAsia="Calibri"/>
          <w:sz w:val="20"/>
          <w:szCs w:val="20"/>
          <w:vertAlign w:val="subscript"/>
        </w:rPr>
        <w:t>2</w:t>
      </w:r>
      <w:r w:rsidRPr="00BD5733">
        <w:rPr>
          <w:rFonts w:eastAsia="Calibri"/>
          <w:sz w:val="20"/>
          <w:szCs w:val="20"/>
        </w:rPr>
        <w:t xml:space="preserve"> (1.2 ml min</w:t>
      </w:r>
      <w:r w:rsidRPr="00BD5733">
        <w:rPr>
          <w:rFonts w:eastAsia="Calibri"/>
          <w:sz w:val="20"/>
          <w:szCs w:val="20"/>
          <w:vertAlign w:val="superscript"/>
        </w:rPr>
        <w:t>-1</w:t>
      </w:r>
      <w:r w:rsidRPr="00BD5733">
        <w:rPr>
          <w:rFonts w:eastAsia="Calibri"/>
          <w:sz w:val="20"/>
          <w:szCs w:val="20"/>
        </w:rPr>
        <w:t>).  The following isotopes were monitored for 0.01-0.02s each: (</w:t>
      </w:r>
      <w:r w:rsidRPr="00BD5733">
        <w:rPr>
          <w:rFonts w:eastAsia="Calibri"/>
          <w:sz w:val="20"/>
          <w:szCs w:val="20"/>
          <w:vertAlign w:val="superscript"/>
        </w:rPr>
        <w:t>29</w:t>
      </w:r>
      <w:r w:rsidRPr="00BD5733">
        <w:rPr>
          <w:rFonts w:eastAsia="Calibri"/>
          <w:sz w:val="20"/>
          <w:szCs w:val="20"/>
        </w:rPr>
        <w:t xml:space="preserve">Si, </w:t>
      </w:r>
      <w:r w:rsidRPr="00BD5733">
        <w:rPr>
          <w:rFonts w:eastAsia="Calibri"/>
          <w:sz w:val="20"/>
          <w:szCs w:val="20"/>
          <w:vertAlign w:val="superscript"/>
        </w:rPr>
        <w:t>31</w:t>
      </w:r>
      <w:r w:rsidRPr="00BD5733">
        <w:rPr>
          <w:rFonts w:eastAsia="Calibri"/>
          <w:sz w:val="20"/>
          <w:szCs w:val="20"/>
        </w:rPr>
        <w:t xml:space="preserve">P, </w:t>
      </w:r>
      <w:r w:rsidRPr="00BD5733">
        <w:rPr>
          <w:rFonts w:eastAsia="Calibri"/>
          <w:sz w:val="20"/>
          <w:szCs w:val="20"/>
          <w:vertAlign w:val="superscript"/>
        </w:rPr>
        <w:t>44</w:t>
      </w:r>
      <w:r w:rsidRPr="00BD5733">
        <w:rPr>
          <w:rFonts w:eastAsia="Calibri"/>
          <w:sz w:val="20"/>
          <w:szCs w:val="20"/>
        </w:rPr>
        <w:t xml:space="preserve">Ca, </w:t>
      </w:r>
      <w:r w:rsidRPr="00BD5733">
        <w:rPr>
          <w:rFonts w:eastAsia="Calibri"/>
          <w:sz w:val="20"/>
          <w:szCs w:val="20"/>
          <w:vertAlign w:val="superscript"/>
        </w:rPr>
        <w:t>88</w:t>
      </w:r>
      <w:r w:rsidRPr="00BD5733">
        <w:rPr>
          <w:rFonts w:eastAsia="Calibri"/>
          <w:sz w:val="20"/>
          <w:szCs w:val="20"/>
        </w:rPr>
        <w:t xml:space="preserve">Sr, </w:t>
      </w:r>
      <w:r w:rsidRPr="00BD5733">
        <w:rPr>
          <w:rFonts w:eastAsia="Calibri"/>
          <w:sz w:val="20"/>
          <w:szCs w:val="20"/>
          <w:vertAlign w:val="superscript"/>
        </w:rPr>
        <w:t>89</w:t>
      </w:r>
      <w:r w:rsidRPr="00BD5733">
        <w:rPr>
          <w:rFonts w:eastAsia="Calibri"/>
          <w:sz w:val="20"/>
          <w:szCs w:val="20"/>
        </w:rPr>
        <w:t xml:space="preserve">Y, </w:t>
      </w:r>
      <w:r w:rsidRPr="00BD5733">
        <w:rPr>
          <w:rFonts w:eastAsia="Calibri"/>
          <w:sz w:val="20"/>
          <w:szCs w:val="20"/>
          <w:vertAlign w:val="superscript"/>
        </w:rPr>
        <w:t>139</w:t>
      </w:r>
      <w:r w:rsidRPr="00BD5733">
        <w:rPr>
          <w:rFonts w:eastAsia="Calibri"/>
          <w:sz w:val="20"/>
          <w:szCs w:val="20"/>
        </w:rPr>
        <w:t>La,</w:t>
      </w:r>
      <w:r w:rsidRPr="00BD5733">
        <w:rPr>
          <w:rFonts w:eastAsia="Calibri"/>
          <w:sz w:val="20"/>
          <w:szCs w:val="20"/>
          <w:vertAlign w:val="superscript"/>
        </w:rPr>
        <w:t xml:space="preserve"> 140</w:t>
      </w:r>
      <w:r w:rsidRPr="00BD5733">
        <w:rPr>
          <w:rFonts w:eastAsia="Calibri"/>
          <w:sz w:val="20"/>
          <w:szCs w:val="20"/>
        </w:rPr>
        <w:t xml:space="preserve">Ce, </w:t>
      </w:r>
      <w:r w:rsidRPr="00BD5733">
        <w:rPr>
          <w:rFonts w:eastAsia="Calibri"/>
          <w:sz w:val="20"/>
          <w:szCs w:val="20"/>
          <w:vertAlign w:val="superscript"/>
        </w:rPr>
        <w:t>141</w:t>
      </w:r>
      <w:r w:rsidRPr="00BD5733">
        <w:rPr>
          <w:rFonts w:eastAsia="Calibri"/>
          <w:sz w:val="20"/>
          <w:szCs w:val="20"/>
        </w:rPr>
        <w:t xml:space="preserve">Pr, </w:t>
      </w:r>
      <w:r w:rsidRPr="00BD5733">
        <w:rPr>
          <w:rFonts w:eastAsia="Calibri"/>
          <w:sz w:val="20"/>
          <w:szCs w:val="20"/>
          <w:vertAlign w:val="superscript"/>
        </w:rPr>
        <w:t>146</w:t>
      </w:r>
      <w:r w:rsidRPr="00BD5733">
        <w:rPr>
          <w:rFonts w:eastAsia="Calibri"/>
          <w:sz w:val="20"/>
          <w:szCs w:val="20"/>
        </w:rPr>
        <w:t xml:space="preserve">Nd, </w:t>
      </w:r>
      <w:r w:rsidRPr="00BD5733">
        <w:rPr>
          <w:rFonts w:eastAsia="Calibri"/>
          <w:sz w:val="20"/>
          <w:szCs w:val="20"/>
          <w:vertAlign w:val="superscript"/>
        </w:rPr>
        <w:t>147</w:t>
      </w:r>
      <w:r w:rsidRPr="00BD5733">
        <w:rPr>
          <w:rFonts w:eastAsia="Calibri"/>
          <w:sz w:val="20"/>
          <w:szCs w:val="20"/>
        </w:rPr>
        <w:t xml:space="preserve">Sm, </w:t>
      </w:r>
      <w:r w:rsidRPr="00BD5733">
        <w:rPr>
          <w:rFonts w:eastAsia="Calibri"/>
          <w:sz w:val="20"/>
          <w:szCs w:val="20"/>
          <w:vertAlign w:val="superscript"/>
        </w:rPr>
        <w:t>153</w:t>
      </w:r>
      <w:r w:rsidRPr="00BD5733">
        <w:rPr>
          <w:rFonts w:eastAsia="Calibri"/>
          <w:sz w:val="20"/>
          <w:szCs w:val="20"/>
        </w:rPr>
        <w:t>Eu,</w:t>
      </w:r>
      <w:r w:rsidRPr="00BD5733">
        <w:rPr>
          <w:rFonts w:eastAsia="Calibri"/>
          <w:sz w:val="20"/>
          <w:szCs w:val="20"/>
          <w:vertAlign w:val="superscript"/>
        </w:rPr>
        <w:t xml:space="preserve"> 157</w:t>
      </w:r>
      <w:r w:rsidRPr="00BD5733">
        <w:rPr>
          <w:rFonts w:eastAsia="Calibri"/>
          <w:sz w:val="20"/>
          <w:szCs w:val="20"/>
        </w:rPr>
        <w:t xml:space="preserve">Gd, </w:t>
      </w:r>
      <w:r w:rsidRPr="00BD5733">
        <w:rPr>
          <w:rFonts w:eastAsia="Calibri"/>
          <w:sz w:val="20"/>
          <w:szCs w:val="20"/>
          <w:vertAlign w:val="superscript"/>
        </w:rPr>
        <w:t>159</w:t>
      </w:r>
      <w:r w:rsidRPr="00BD5733">
        <w:rPr>
          <w:rFonts w:eastAsia="Calibri"/>
          <w:sz w:val="20"/>
          <w:szCs w:val="20"/>
        </w:rPr>
        <w:t>Tb,</w:t>
      </w:r>
      <w:r w:rsidRPr="00BD5733">
        <w:rPr>
          <w:rFonts w:eastAsia="Calibri"/>
          <w:sz w:val="20"/>
          <w:szCs w:val="20"/>
          <w:vertAlign w:val="superscript"/>
        </w:rPr>
        <w:t xml:space="preserve"> 163</w:t>
      </w:r>
      <w:r w:rsidRPr="00BD5733">
        <w:rPr>
          <w:rFonts w:eastAsia="Calibri"/>
          <w:sz w:val="20"/>
          <w:szCs w:val="20"/>
        </w:rPr>
        <w:t>Dy,</w:t>
      </w:r>
      <w:r w:rsidRPr="00BD5733">
        <w:rPr>
          <w:rFonts w:eastAsia="Calibri"/>
          <w:sz w:val="20"/>
          <w:szCs w:val="20"/>
          <w:vertAlign w:val="superscript"/>
        </w:rPr>
        <w:t xml:space="preserve"> 165</w:t>
      </w:r>
      <w:r w:rsidRPr="00BD5733">
        <w:rPr>
          <w:rFonts w:eastAsia="Calibri"/>
          <w:sz w:val="20"/>
          <w:szCs w:val="20"/>
        </w:rPr>
        <w:t xml:space="preserve">Ho, </w:t>
      </w:r>
      <w:r w:rsidRPr="00BD5733">
        <w:rPr>
          <w:rFonts w:eastAsia="Calibri"/>
          <w:sz w:val="20"/>
          <w:szCs w:val="20"/>
          <w:vertAlign w:val="superscript"/>
        </w:rPr>
        <w:t>166</w:t>
      </w:r>
      <w:r w:rsidRPr="00BD5733">
        <w:rPr>
          <w:rFonts w:eastAsia="Calibri"/>
          <w:sz w:val="20"/>
          <w:szCs w:val="20"/>
        </w:rPr>
        <w:t>Er</w:t>
      </w:r>
      <w:r w:rsidRPr="00BD5733">
        <w:rPr>
          <w:rFonts w:eastAsia="Calibri"/>
          <w:sz w:val="20"/>
          <w:szCs w:val="20"/>
          <w:vertAlign w:val="superscript"/>
        </w:rPr>
        <w:t xml:space="preserve"> 169</w:t>
      </w:r>
      <w:r w:rsidRPr="00BD5733">
        <w:rPr>
          <w:rFonts w:eastAsia="Calibri"/>
          <w:sz w:val="20"/>
          <w:szCs w:val="20"/>
        </w:rPr>
        <w:t xml:space="preserve">Tm, </w:t>
      </w:r>
      <w:r w:rsidRPr="00BD5733">
        <w:rPr>
          <w:rFonts w:eastAsia="Calibri"/>
          <w:sz w:val="20"/>
          <w:szCs w:val="20"/>
          <w:vertAlign w:val="superscript"/>
        </w:rPr>
        <w:t>172</w:t>
      </w:r>
      <w:r w:rsidRPr="00BD5733">
        <w:rPr>
          <w:rFonts w:eastAsia="Calibri"/>
          <w:sz w:val="20"/>
          <w:szCs w:val="20"/>
        </w:rPr>
        <w:t xml:space="preserve">Yb, </w:t>
      </w:r>
      <w:r w:rsidRPr="00BD5733">
        <w:rPr>
          <w:rFonts w:eastAsia="Calibri"/>
          <w:sz w:val="20"/>
          <w:szCs w:val="20"/>
          <w:vertAlign w:val="superscript"/>
        </w:rPr>
        <w:t>175</w:t>
      </w:r>
      <w:r w:rsidRPr="00BD5733">
        <w:rPr>
          <w:rFonts w:eastAsia="Calibri"/>
          <w:sz w:val="20"/>
          <w:szCs w:val="20"/>
        </w:rPr>
        <w:t xml:space="preserve">Lu, </w:t>
      </w:r>
      <w:r w:rsidRPr="00BD5733">
        <w:rPr>
          <w:rFonts w:eastAsia="Calibri"/>
          <w:sz w:val="20"/>
          <w:szCs w:val="20"/>
          <w:vertAlign w:val="superscript"/>
        </w:rPr>
        <w:t>232</w:t>
      </w:r>
      <w:r w:rsidRPr="00BD5733">
        <w:rPr>
          <w:rFonts w:eastAsia="Calibri"/>
          <w:sz w:val="20"/>
          <w:szCs w:val="20"/>
        </w:rPr>
        <w:t xml:space="preserve">Th, </w:t>
      </w:r>
      <w:r w:rsidRPr="00BD5733">
        <w:rPr>
          <w:rFonts w:eastAsia="Calibri"/>
          <w:sz w:val="20"/>
          <w:szCs w:val="20"/>
          <w:vertAlign w:val="superscript"/>
        </w:rPr>
        <w:t>238</w:t>
      </w:r>
      <w:r w:rsidRPr="00BD5733">
        <w:rPr>
          <w:rFonts w:eastAsia="Calibri"/>
          <w:sz w:val="20"/>
          <w:szCs w:val="20"/>
        </w:rPr>
        <w:t xml:space="preserve">U). Each session comprised a suite of age and trace element reference materials </w:t>
      </w:r>
      <w:r>
        <w:rPr>
          <w:rFonts w:eastAsia="Calibri"/>
          <w:noProof/>
          <w:color w:val="2F5496" w:themeColor="accent1" w:themeShade="BF"/>
          <w:sz w:val="20"/>
          <w:szCs w:val="20"/>
          <w:lang w:val="en-US"/>
        </w:rPr>
        <w:t>(44069, Holder et al. 2015)</w:t>
      </w:r>
      <w:r w:rsidRPr="00BD5733">
        <w:rPr>
          <w:rFonts w:eastAsia="Calibri"/>
          <w:sz w:val="20"/>
          <w:szCs w:val="20"/>
          <w:lang w:val="en-US"/>
        </w:rPr>
        <w:t xml:space="preserve">; Trebilcock, </w:t>
      </w:r>
      <w:r w:rsidRPr="00BD5733">
        <w:rPr>
          <w:rFonts w:eastAsia="Calibri"/>
          <w:noProof/>
          <w:color w:val="2F5496" w:themeColor="accent1" w:themeShade="BF"/>
          <w:sz w:val="20"/>
          <w:szCs w:val="20"/>
          <w:lang w:val="en-US"/>
        </w:rPr>
        <w:t>(McFarlane and McCulloch 2007)</w:t>
      </w:r>
      <w:r w:rsidRPr="00BD5733">
        <w:rPr>
          <w:rFonts w:eastAsia="Calibri"/>
          <w:sz w:val="20"/>
          <w:szCs w:val="20"/>
          <w:lang w:val="en-US"/>
        </w:rPr>
        <w:t>; Stern (no published trace element data), and five in-house monazite megacrysts with known and widely varying Ce content)</w:t>
      </w:r>
      <w:r w:rsidRPr="00BD5733">
        <w:rPr>
          <w:rFonts w:eastAsia="Calibri"/>
          <w:sz w:val="20"/>
          <w:szCs w:val="20"/>
        </w:rPr>
        <w:t xml:space="preserve">, run in blocks every 16 unknown analyses. The monazite megacrysts were utilized to plot an external calibration curve, from which the Ce content of each unknown was determined. To quantify the final trace element content of unknowns, a homogeneous in-house monazite megacryst (VK1.) </w:t>
      </w:r>
      <w:r w:rsidRPr="00BD5733">
        <w:rPr>
          <w:rFonts w:eastAsia="Calibri"/>
          <w:sz w:val="20"/>
          <w:szCs w:val="20"/>
          <w:lang w:val="en-US"/>
        </w:rPr>
        <w:t xml:space="preserve">was utilized as the primary standard with </w:t>
      </w:r>
      <w:r w:rsidRPr="00BD5733">
        <w:rPr>
          <w:rFonts w:eastAsia="Calibri"/>
          <w:sz w:val="20"/>
          <w:szCs w:val="20"/>
          <w:vertAlign w:val="superscript"/>
          <w:lang w:val="en-US"/>
        </w:rPr>
        <w:t>140</w:t>
      </w:r>
      <w:r w:rsidRPr="00BD5733">
        <w:rPr>
          <w:rFonts w:eastAsia="Calibri"/>
          <w:sz w:val="20"/>
          <w:szCs w:val="20"/>
          <w:lang w:val="en-US"/>
        </w:rPr>
        <w:t xml:space="preserve">Ce as the internal reference. </w:t>
      </w:r>
      <w:r w:rsidRPr="00BD5733">
        <w:rPr>
          <w:rFonts w:eastAsia="Calibri"/>
          <w:sz w:val="20"/>
          <w:szCs w:val="20"/>
        </w:rPr>
        <w:t xml:space="preserve">Data were processed using the Iolite software package </w:t>
      </w:r>
      <w:r w:rsidRPr="00BD5733">
        <w:rPr>
          <w:rFonts w:eastAsia="Calibri"/>
          <w:noProof/>
          <w:color w:val="2F5496" w:themeColor="accent1" w:themeShade="BF"/>
          <w:sz w:val="20"/>
          <w:szCs w:val="20"/>
        </w:rPr>
        <w:t>(Paton et al. 2011; Paton et al. 2010)</w:t>
      </w:r>
      <w:r w:rsidRPr="00BD5733">
        <w:rPr>
          <w:rFonts w:eastAsia="Calibri"/>
          <w:color w:val="2F5496" w:themeColor="accent1" w:themeShade="BF"/>
          <w:sz w:val="20"/>
          <w:szCs w:val="20"/>
        </w:rPr>
        <w:t xml:space="preserve"> </w:t>
      </w:r>
      <w:r w:rsidRPr="00BD5733">
        <w:rPr>
          <w:rFonts w:eastAsia="Calibri"/>
          <w:color w:val="000000" w:themeColor="text1"/>
          <w:sz w:val="20"/>
          <w:szCs w:val="20"/>
        </w:rPr>
        <w:t xml:space="preserve">using the </w:t>
      </w:r>
      <w:r w:rsidRPr="00BD5733">
        <w:rPr>
          <w:rFonts w:eastAsia="Calibri"/>
          <w:sz w:val="20"/>
          <w:szCs w:val="20"/>
        </w:rPr>
        <w:t xml:space="preserve">Trace Elements IS data reduction scheme. </w:t>
      </w:r>
      <w:r w:rsidRPr="00BD5733">
        <w:rPr>
          <w:sz w:val="20"/>
          <w:szCs w:val="20"/>
        </w:rPr>
        <w:t xml:space="preserve">A complete list of the analysed samples can be found in </w:t>
      </w:r>
      <w:r>
        <w:rPr>
          <w:sz w:val="20"/>
          <w:szCs w:val="20"/>
        </w:rPr>
        <w:t xml:space="preserve">the </w:t>
      </w:r>
      <w:r w:rsidRPr="007C1BB9">
        <w:rPr>
          <w:color w:val="2F5496" w:themeColor="accent1" w:themeShade="BF"/>
          <w:sz w:val="20"/>
          <w:szCs w:val="20"/>
          <w:lang w:val="en-AU"/>
        </w:rPr>
        <w:t xml:space="preserve">Electronic supplementary material Table </w:t>
      </w:r>
      <w:r>
        <w:rPr>
          <w:color w:val="2F5496" w:themeColor="accent1" w:themeShade="BF"/>
          <w:sz w:val="20"/>
          <w:szCs w:val="20"/>
          <w:lang w:val="en-AU"/>
        </w:rPr>
        <w:t>S</w:t>
      </w:r>
      <w:r w:rsidRPr="007C1BB9">
        <w:rPr>
          <w:color w:val="2F5496" w:themeColor="accent1" w:themeShade="BF"/>
          <w:sz w:val="20"/>
          <w:szCs w:val="20"/>
        </w:rPr>
        <w:t>3</w:t>
      </w:r>
      <w:r w:rsidRPr="00BD5733">
        <w:rPr>
          <w:sz w:val="20"/>
          <w:szCs w:val="20"/>
        </w:rPr>
        <w:t>.</w:t>
      </w:r>
    </w:p>
    <w:p w14:paraId="71E98F5B" w14:textId="77777777" w:rsidR="00A3057F" w:rsidRPr="00AC0CE2" w:rsidRDefault="00A3057F" w:rsidP="00E66CF6">
      <w:pPr>
        <w:pStyle w:val="ListParagraph"/>
        <w:numPr>
          <w:ilvl w:val="1"/>
          <w:numId w:val="2"/>
        </w:numPr>
        <w:tabs>
          <w:tab w:val="left" w:pos="0"/>
        </w:tabs>
        <w:spacing w:line="480" w:lineRule="auto"/>
        <w:jc w:val="both"/>
        <w:rPr>
          <w:b/>
          <w:sz w:val="22"/>
          <w:szCs w:val="22"/>
        </w:rPr>
      </w:pPr>
      <w:r w:rsidRPr="00AC0CE2">
        <w:rPr>
          <w:b/>
          <w:sz w:val="22"/>
          <w:szCs w:val="22"/>
        </w:rPr>
        <w:t>X-ray fluorescence (XRF)</w:t>
      </w:r>
    </w:p>
    <w:p w14:paraId="282D9C2F" w14:textId="3D79810C" w:rsidR="00A3057F" w:rsidRPr="009F03FC" w:rsidRDefault="00A3057F" w:rsidP="00BC68DD">
      <w:pPr>
        <w:spacing w:line="480" w:lineRule="auto"/>
        <w:jc w:val="both"/>
        <w:rPr>
          <w:rFonts w:eastAsia="Calibri"/>
          <w:color w:val="2F5496" w:themeColor="accent1" w:themeShade="BF"/>
          <w:sz w:val="20"/>
          <w:szCs w:val="20"/>
        </w:rPr>
      </w:pPr>
      <w:r w:rsidRPr="00BD5733">
        <w:rPr>
          <w:rFonts w:eastAsia="Calibri"/>
          <w:sz w:val="20"/>
          <w:szCs w:val="20"/>
        </w:rPr>
        <w:lastRenderedPageBreak/>
        <w:t xml:space="preserve">The bulk rock composition data used for modelling </w:t>
      </w:r>
      <w:r w:rsidR="00AE335E" w:rsidRPr="00BD5733">
        <w:rPr>
          <w:rFonts w:eastAsia="Calibri"/>
          <w:color w:val="2F5496" w:themeColor="accent1" w:themeShade="BF"/>
          <w:sz w:val="20"/>
          <w:szCs w:val="20"/>
        </w:rPr>
        <w:t xml:space="preserve">(Table </w:t>
      </w:r>
      <w:r w:rsidR="00AE335E">
        <w:rPr>
          <w:rFonts w:eastAsia="Calibri"/>
          <w:color w:val="2F5496" w:themeColor="accent1" w:themeShade="BF"/>
          <w:sz w:val="20"/>
          <w:szCs w:val="20"/>
        </w:rPr>
        <w:t>1</w:t>
      </w:r>
      <w:r w:rsidR="00AE335E" w:rsidRPr="00BD5733">
        <w:rPr>
          <w:rFonts w:eastAsia="Calibri"/>
          <w:color w:val="2F5496" w:themeColor="accent1" w:themeShade="BF"/>
          <w:sz w:val="20"/>
          <w:szCs w:val="20"/>
        </w:rPr>
        <w:t xml:space="preserve">) </w:t>
      </w:r>
      <w:r w:rsidR="007D4F4C">
        <w:rPr>
          <w:rFonts w:eastAsia="Calibri"/>
          <w:sz w:val="20"/>
          <w:szCs w:val="20"/>
        </w:rPr>
        <w:t xml:space="preserve">and the granitic rocks analysed for geochronology </w:t>
      </w:r>
      <w:r w:rsidRPr="00BD5733">
        <w:rPr>
          <w:rFonts w:eastAsia="Calibri"/>
          <w:sz w:val="20"/>
          <w:szCs w:val="20"/>
        </w:rPr>
        <w:t xml:space="preserve">were determined from X-ray fluorescence (XRF) analysis of major elements and titration for ferrous iron contents, </w:t>
      </w:r>
      <w:r w:rsidR="007D4F4C">
        <w:rPr>
          <w:rFonts w:eastAsia="Calibri"/>
          <w:sz w:val="20"/>
          <w:szCs w:val="20"/>
        </w:rPr>
        <w:t xml:space="preserve">and for major oxides, loss-on-ignition (LOI) and trace element, respectively, </w:t>
      </w:r>
      <w:r w:rsidRPr="00BD5733">
        <w:rPr>
          <w:rFonts w:eastAsia="Calibri"/>
          <w:sz w:val="20"/>
          <w:szCs w:val="20"/>
        </w:rPr>
        <w:t xml:space="preserve">undertaken by Bureau Veritas (Perth, Western Australia). The XRF analyses were characterised using the following procedure. For sample preparation, the </w:t>
      </w:r>
      <w:r w:rsidR="007D4F4C">
        <w:rPr>
          <w:rFonts w:eastAsia="Calibri"/>
          <w:sz w:val="20"/>
          <w:szCs w:val="20"/>
        </w:rPr>
        <w:t xml:space="preserve">metapelitic </w:t>
      </w:r>
      <w:r w:rsidRPr="00BD5733">
        <w:rPr>
          <w:rFonts w:eastAsia="Calibri"/>
          <w:sz w:val="20"/>
          <w:szCs w:val="20"/>
        </w:rPr>
        <w:t>samples were sorted</w:t>
      </w:r>
      <w:r w:rsidR="007D4F4C">
        <w:rPr>
          <w:rFonts w:eastAsia="Calibri"/>
          <w:sz w:val="20"/>
          <w:szCs w:val="20"/>
        </w:rPr>
        <w:t xml:space="preserve">, </w:t>
      </w:r>
      <w:r w:rsidRPr="00BD5733">
        <w:rPr>
          <w:rFonts w:eastAsia="Calibri"/>
          <w:sz w:val="20"/>
          <w:szCs w:val="20"/>
        </w:rPr>
        <w:t>dried</w:t>
      </w:r>
      <w:r w:rsidR="007D4F4C">
        <w:rPr>
          <w:rFonts w:eastAsia="Calibri"/>
          <w:sz w:val="20"/>
          <w:szCs w:val="20"/>
        </w:rPr>
        <w:t xml:space="preserve">, </w:t>
      </w:r>
      <w:r w:rsidRPr="00BD5733">
        <w:rPr>
          <w:rFonts w:eastAsia="Calibri"/>
          <w:sz w:val="20"/>
          <w:szCs w:val="20"/>
        </w:rPr>
        <w:t>crushed</w:t>
      </w:r>
      <w:r w:rsidR="007D4F4C">
        <w:rPr>
          <w:rFonts w:eastAsia="Calibri"/>
          <w:sz w:val="20"/>
          <w:szCs w:val="20"/>
        </w:rPr>
        <w:t xml:space="preserve"> and subsequently </w:t>
      </w:r>
      <w:r w:rsidR="007D4F4C" w:rsidRPr="00BD5733">
        <w:rPr>
          <w:rFonts w:eastAsia="Calibri"/>
          <w:sz w:val="20"/>
          <w:szCs w:val="20"/>
        </w:rPr>
        <w:t>pulverised in a vibrating disc pulveriser</w:t>
      </w:r>
      <w:r w:rsidR="007D4F4C">
        <w:rPr>
          <w:rFonts w:eastAsia="Calibri"/>
          <w:sz w:val="20"/>
          <w:szCs w:val="20"/>
        </w:rPr>
        <w:t xml:space="preserve">, whereas the granitic rock samples were crushed and </w:t>
      </w:r>
      <w:r w:rsidR="009F0C85">
        <w:rPr>
          <w:rFonts w:eastAsia="Calibri"/>
          <w:sz w:val="20"/>
          <w:szCs w:val="20"/>
        </w:rPr>
        <w:t xml:space="preserve">then ground with ethyl alcohol in an agate mill to a grain size below 50 µm, </w:t>
      </w:r>
      <w:r w:rsidR="007D4F4C">
        <w:rPr>
          <w:rFonts w:eastAsia="Calibri"/>
          <w:sz w:val="20"/>
          <w:szCs w:val="20"/>
        </w:rPr>
        <w:t>at Curtin University</w:t>
      </w:r>
      <w:r w:rsidRPr="00BD5733">
        <w:rPr>
          <w:rFonts w:eastAsia="Calibri"/>
          <w:sz w:val="20"/>
          <w:szCs w:val="20"/>
        </w:rPr>
        <w:t xml:space="preserve">. </w:t>
      </w:r>
      <w:r w:rsidR="009F0C85">
        <w:rPr>
          <w:rFonts w:eastAsia="Calibri"/>
          <w:sz w:val="20"/>
          <w:szCs w:val="20"/>
        </w:rPr>
        <w:t>S</w:t>
      </w:r>
      <w:r w:rsidRPr="00BD5733">
        <w:rPr>
          <w:rFonts w:eastAsia="Calibri"/>
          <w:sz w:val="20"/>
          <w:szCs w:val="20"/>
        </w:rPr>
        <w:t xml:space="preserve">amples were cast using a 66:34 flux with 4% </w:t>
      </w:r>
      <w:r w:rsidR="009F0C85">
        <w:rPr>
          <w:rFonts w:eastAsia="Calibri"/>
          <w:sz w:val="20"/>
          <w:szCs w:val="20"/>
        </w:rPr>
        <w:t>l</w:t>
      </w:r>
      <w:r w:rsidRPr="00BD5733">
        <w:rPr>
          <w:rFonts w:eastAsia="Calibri"/>
          <w:sz w:val="20"/>
          <w:szCs w:val="20"/>
        </w:rPr>
        <w:t>ithium nitrate added to form a glass bead</w:t>
      </w:r>
      <w:r w:rsidR="009F0C85">
        <w:rPr>
          <w:rFonts w:eastAsia="Calibri"/>
          <w:sz w:val="20"/>
          <w:szCs w:val="20"/>
        </w:rPr>
        <w:t>, which was then analysed for</w:t>
      </w:r>
      <w:r w:rsidRPr="00BD5733">
        <w:rPr>
          <w:rFonts w:eastAsia="Calibri"/>
          <w:sz w:val="20"/>
          <w:szCs w:val="20"/>
        </w:rPr>
        <w:t xml:space="preserve"> Al</w:t>
      </w:r>
      <w:r w:rsidRPr="00BD5733">
        <w:rPr>
          <w:rFonts w:eastAsia="Calibri"/>
          <w:sz w:val="20"/>
          <w:szCs w:val="20"/>
          <w:vertAlign w:val="subscript"/>
        </w:rPr>
        <w:t>2</w:t>
      </w:r>
      <w:r w:rsidRPr="00BD5733">
        <w:rPr>
          <w:rFonts w:eastAsia="Calibri"/>
          <w:sz w:val="20"/>
          <w:szCs w:val="20"/>
        </w:rPr>
        <w:t>O</w:t>
      </w:r>
      <w:r w:rsidRPr="00BD5733">
        <w:rPr>
          <w:rFonts w:eastAsia="Calibri"/>
          <w:sz w:val="20"/>
          <w:szCs w:val="20"/>
          <w:vertAlign w:val="subscript"/>
        </w:rPr>
        <w:t>3</w:t>
      </w:r>
      <w:r w:rsidRPr="00BD5733">
        <w:rPr>
          <w:rFonts w:eastAsia="Calibri"/>
          <w:sz w:val="20"/>
          <w:szCs w:val="20"/>
        </w:rPr>
        <w:t>, As, BaO, CaO, Cl, Co, Cr</w:t>
      </w:r>
      <w:r w:rsidRPr="00BD5733">
        <w:rPr>
          <w:rFonts w:eastAsia="Calibri"/>
          <w:sz w:val="20"/>
          <w:szCs w:val="20"/>
          <w:vertAlign w:val="subscript"/>
        </w:rPr>
        <w:t>2</w:t>
      </w:r>
      <w:r w:rsidRPr="00BD5733">
        <w:rPr>
          <w:rFonts w:eastAsia="Calibri"/>
          <w:sz w:val="20"/>
          <w:szCs w:val="20"/>
        </w:rPr>
        <w:t>O</w:t>
      </w:r>
      <w:r w:rsidRPr="00BD5733">
        <w:rPr>
          <w:rFonts w:eastAsia="Calibri"/>
          <w:sz w:val="20"/>
          <w:szCs w:val="20"/>
          <w:vertAlign w:val="subscript"/>
        </w:rPr>
        <w:t>3</w:t>
      </w:r>
      <w:r w:rsidRPr="00BD5733">
        <w:rPr>
          <w:rFonts w:eastAsia="Calibri"/>
          <w:sz w:val="20"/>
          <w:szCs w:val="20"/>
        </w:rPr>
        <w:t>, Cu, Fe</w:t>
      </w:r>
      <w:r w:rsidRPr="00BD5733">
        <w:rPr>
          <w:rFonts w:eastAsia="Calibri"/>
          <w:sz w:val="20"/>
          <w:szCs w:val="20"/>
          <w:vertAlign w:val="subscript"/>
        </w:rPr>
        <w:t>2</w:t>
      </w:r>
      <w:r w:rsidRPr="00BD5733">
        <w:rPr>
          <w:rFonts w:eastAsia="Calibri"/>
          <w:sz w:val="20"/>
          <w:szCs w:val="20"/>
        </w:rPr>
        <w:t>O</w:t>
      </w:r>
      <w:r w:rsidRPr="00BD5733">
        <w:rPr>
          <w:rFonts w:eastAsia="Calibri"/>
          <w:sz w:val="20"/>
          <w:szCs w:val="20"/>
          <w:vertAlign w:val="subscript"/>
        </w:rPr>
        <w:t>3</w:t>
      </w:r>
      <w:r w:rsidRPr="00BD5733">
        <w:rPr>
          <w:rFonts w:eastAsia="Calibri"/>
          <w:sz w:val="20"/>
          <w:szCs w:val="20"/>
        </w:rPr>
        <w:t>, K</w:t>
      </w:r>
      <w:r w:rsidRPr="00BD5733">
        <w:rPr>
          <w:rFonts w:eastAsia="Calibri"/>
          <w:sz w:val="20"/>
          <w:szCs w:val="20"/>
          <w:vertAlign w:val="subscript"/>
        </w:rPr>
        <w:t>2</w:t>
      </w:r>
      <w:r w:rsidRPr="00BD5733">
        <w:rPr>
          <w:rFonts w:eastAsia="Calibri"/>
          <w:sz w:val="20"/>
          <w:szCs w:val="20"/>
        </w:rPr>
        <w:t>O, MgO, MnO, Na</w:t>
      </w:r>
      <w:r w:rsidRPr="00BD5733">
        <w:rPr>
          <w:rFonts w:eastAsia="Calibri"/>
          <w:sz w:val="20"/>
          <w:szCs w:val="20"/>
          <w:vertAlign w:val="subscript"/>
        </w:rPr>
        <w:t>2</w:t>
      </w:r>
      <w:r w:rsidRPr="00BD5733">
        <w:rPr>
          <w:rFonts w:eastAsia="Calibri"/>
          <w:sz w:val="20"/>
          <w:szCs w:val="20"/>
        </w:rPr>
        <w:t>O, Ni, P</w:t>
      </w:r>
      <w:r w:rsidRPr="00BD5733">
        <w:rPr>
          <w:rFonts w:eastAsia="Calibri"/>
          <w:sz w:val="20"/>
          <w:szCs w:val="20"/>
          <w:vertAlign w:val="subscript"/>
        </w:rPr>
        <w:t>2</w:t>
      </w:r>
      <w:r w:rsidRPr="00BD5733">
        <w:rPr>
          <w:rFonts w:eastAsia="Calibri"/>
          <w:sz w:val="20"/>
          <w:szCs w:val="20"/>
        </w:rPr>
        <w:t>O</w:t>
      </w:r>
      <w:r w:rsidRPr="00BD5733">
        <w:rPr>
          <w:rFonts w:eastAsia="Calibri"/>
          <w:sz w:val="20"/>
          <w:szCs w:val="20"/>
          <w:vertAlign w:val="subscript"/>
        </w:rPr>
        <w:t>5</w:t>
      </w:r>
      <w:r w:rsidRPr="00BD5733">
        <w:rPr>
          <w:rFonts w:eastAsia="Calibri"/>
          <w:sz w:val="20"/>
          <w:szCs w:val="20"/>
        </w:rPr>
        <w:t>, Pb, SiO</w:t>
      </w:r>
      <w:r w:rsidRPr="00BD5733">
        <w:rPr>
          <w:rFonts w:eastAsia="Calibri"/>
          <w:sz w:val="20"/>
          <w:szCs w:val="20"/>
          <w:vertAlign w:val="subscript"/>
        </w:rPr>
        <w:t>2</w:t>
      </w:r>
      <w:r w:rsidRPr="00BD5733">
        <w:rPr>
          <w:rFonts w:eastAsia="Calibri"/>
          <w:sz w:val="20"/>
          <w:szCs w:val="20"/>
        </w:rPr>
        <w:t>, SO</w:t>
      </w:r>
      <w:r w:rsidRPr="00BD5733">
        <w:rPr>
          <w:rFonts w:eastAsia="Calibri"/>
          <w:sz w:val="20"/>
          <w:szCs w:val="20"/>
          <w:vertAlign w:val="subscript"/>
        </w:rPr>
        <w:t>3</w:t>
      </w:r>
      <w:r w:rsidRPr="00BD5733">
        <w:rPr>
          <w:rFonts w:eastAsia="Calibri"/>
          <w:sz w:val="20"/>
          <w:szCs w:val="20"/>
        </w:rPr>
        <w:t>, SrO, TiO</w:t>
      </w:r>
      <w:r w:rsidRPr="00BD5733">
        <w:rPr>
          <w:rFonts w:eastAsia="Calibri"/>
          <w:sz w:val="20"/>
          <w:szCs w:val="20"/>
          <w:vertAlign w:val="subscript"/>
        </w:rPr>
        <w:t>2</w:t>
      </w:r>
      <w:r w:rsidRPr="00BD5733">
        <w:rPr>
          <w:rFonts w:eastAsia="Calibri"/>
          <w:sz w:val="20"/>
          <w:szCs w:val="20"/>
        </w:rPr>
        <w:t>, V</w:t>
      </w:r>
      <w:r w:rsidRPr="00BD5733">
        <w:rPr>
          <w:rFonts w:eastAsia="Calibri"/>
          <w:sz w:val="20"/>
          <w:szCs w:val="20"/>
          <w:vertAlign w:val="subscript"/>
        </w:rPr>
        <w:t>2</w:t>
      </w:r>
      <w:r w:rsidRPr="00BD5733">
        <w:rPr>
          <w:rFonts w:eastAsia="Calibri"/>
          <w:sz w:val="20"/>
          <w:szCs w:val="20"/>
        </w:rPr>
        <w:t>O</w:t>
      </w:r>
      <w:r w:rsidRPr="00BD5733">
        <w:rPr>
          <w:rFonts w:eastAsia="Calibri"/>
          <w:sz w:val="20"/>
          <w:szCs w:val="20"/>
          <w:vertAlign w:val="subscript"/>
        </w:rPr>
        <w:t>5</w:t>
      </w:r>
      <w:r w:rsidRPr="00BD5733">
        <w:rPr>
          <w:rFonts w:eastAsia="Calibri"/>
          <w:sz w:val="20"/>
          <w:szCs w:val="20"/>
        </w:rPr>
        <w:t xml:space="preserve">, Zn </w:t>
      </w:r>
      <w:r w:rsidR="009F0C85">
        <w:rPr>
          <w:rFonts w:eastAsia="Calibri"/>
          <w:sz w:val="20"/>
          <w:szCs w:val="20"/>
        </w:rPr>
        <w:t>via</w:t>
      </w:r>
      <w:r w:rsidRPr="00BD5733">
        <w:rPr>
          <w:rFonts w:eastAsia="Calibri"/>
          <w:sz w:val="20"/>
          <w:szCs w:val="20"/>
        </w:rPr>
        <w:t xml:space="preserve"> XF Spectrometry on oven-dry (105</w:t>
      </w:r>
      <w:r w:rsidRPr="00BD5733">
        <w:rPr>
          <w:color w:val="222222"/>
          <w:sz w:val="20"/>
          <w:szCs w:val="20"/>
          <w:shd w:val="clear" w:color="auto" w:fill="FFFFFF"/>
        </w:rPr>
        <w:t>°C</w:t>
      </w:r>
      <w:r w:rsidRPr="00BD5733">
        <w:rPr>
          <w:rFonts w:eastAsia="Calibri"/>
          <w:sz w:val="20"/>
          <w:szCs w:val="20"/>
        </w:rPr>
        <w:t>) sample</w:t>
      </w:r>
      <w:r w:rsidR="009F0C85">
        <w:rPr>
          <w:rFonts w:eastAsia="Calibri"/>
          <w:sz w:val="20"/>
          <w:szCs w:val="20"/>
        </w:rPr>
        <w:t>s</w:t>
      </w:r>
      <w:r w:rsidRPr="00BD5733">
        <w:rPr>
          <w:rFonts w:eastAsia="Calibri"/>
          <w:sz w:val="20"/>
          <w:szCs w:val="20"/>
        </w:rPr>
        <w:t xml:space="preserve"> unless otherwise stated. </w:t>
      </w:r>
      <w:r w:rsidR="009F0C85">
        <w:rPr>
          <w:rFonts w:eastAsia="Calibri"/>
          <w:sz w:val="20"/>
          <w:szCs w:val="20"/>
        </w:rPr>
        <w:t>For trace element analysis laser ablation inductively-coupled plasma mass spectrometry (LA</w:t>
      </w:r>
      <w:r w:rsidR="009F0C85" w:rsidRPr="009F0C85">
        <w:rPr>
          <w:rFonts w:eastAsia="Calibri"/>
          <w:sz w:val="20"/>
          <w:szCs w:val="20"/>
        </w:rPr>
        <w:t>–</w:t>
      </w:r>
      <w:r w:rsidR="009F0C85">
        <w:rPr>
          <w:rFonts w:eastAsia="Calibri"/>
          <w:sz w:val="20"/>
          <w:szCs w:val="20"/>
        </w:rPr>
        <w:t>ICP</w:t>
      </w:r>
      <w:r w:rsidR="009F0C85" w:rsidRPr="009F0C85">
        <w:rPr>
          <w:rFonts w:eastAsia="Calibri"/>
          <w:sz w:val="20"/>
          <w:szCs w:val="20"/>
        </w:rPr>
        <w:t>–</w:t>
      </w:r>
      <w:r w:rsidR="009F0C85">
        <w:rPr>
          <w:rFonts w:eastAsia="Calibri"/>
          <w:sz w:val="20"/>
          <w:szCs w:val="20"/>
        </w:rPr>
        <w:t xml:space="preserve">MS) was used. </w:t>
      </w:r>
      <w:r w:rsidRPr="00BD5733">
        <w:rPr>
          <w:rFonts w:eastAsia="Calibri"/>
          <w:sz w:val="20"/>
          <w:szCs w:val="20"/>
        </w:rPr>
        <w:t>Loss</w:t>
      </w:r>
      <w:r w:rsidR="009F0C85">
        <w:rPr>
          <w:rFonts w:eastAsia="Calibri"/>
          <w:sz w:val="20"/>
          <w:szCs w:val="20"/>
        </w:rPr>
        <w:t>-</w:t>
      </w:r>
      <w:r w:rsidRPr="00BD5733">
        <w:rPr>
          <w:rFonts w:eastAsia="Calibri"/>
          <w:sz w:val="20"/>
          <w:szCs w:val="20"/>
        </w:rPr>
        <w:t>on</w:t>
      </w:r>
      <w:r w:rsidR="009F0C85">
        <w:rPr>
          <w:rFonts w:eastAsia="Calibri"/>
          <w:sz w:val="20"/>
          <w:szCs w:val="20"/>
        </w:rPr>
        <w:t>-i</w:t>
      </w:r>
      <w:r w:rsidRPr="00BD5733">
        <w:rPr>
          <w:rFonts w:eastAsia="Calibri"/>
          <w:sz w:val="20"/>
          <w:szCs w:val="20"/>
        </w:rPr>
        <w:t xml:space="preserve">gnition </w:t>
      </w:r>
      <w:r w:rsidRPr="00BD5733">
        <w:rPr>
          <w:rFonts w:eastAsia="Calibri"/>
          <w:sz w:val="20"/>
          <w:szCs w:val="20"/>
          <w:lang w:val="en-US"/>
        </w:rPr>
        <w:t>(LOI) values</w:t>
      </w:r>
      <w:r w:rsidRPr="00BD5733">
        <w:rPr>
          <w:rFonts w:eastAsia="Calibri"/>
          <w:sz w:val="20"/>
          <w:szCs w:val="20"/>
        </w:rPr>
        <w:t xml:space="preserve"> were determined using a robotic thermogravimetric analysis (TGA)</w:t>
      </w:r>
      <w:r w:rsidRPr="00BD5733">
        <w:rPr>
          <w:rFonts w:eastAsia="Calibri"/>
          <w:sz w:val="20"/>
          <w:szCs w:val="20"/>
          <w:lang w:val="en-US"/>
        </w:rPr>
        <w:t xml:space="preserve"> </w:t>
      </w:r>
      <w:r w:rsidRPr="00BD5733">
        <w:rPr>
          <w:rFonts w:eastAsia="Calibri"/>
          <w:sz w:val="20"/>
          <w:szCs w:val="20"/>
        </w:rPr>
        <w:t>system. Furnaces in the system were set to 110 and 1000</w:t>
      </w:r>
      <w:r w:rsidRPr="00BD5733">
        <w:rPr>
          <w:color w:val="222222"/>
          <w:sz w:val="20"/>
          <w:szCs w:val="20"/>
          <w:shd w:val="clear" w:color="auto" w:fill="FFFFFF"/>
        </w:rPr>
        <w:t>°C</w:t>
      </w:r>
      <w:r w:rsidRPr="00BD5733">
        <w:rPr>
          <w:rFonts w:eastAsia="Calibri"/>
          <w:sz w:val="20"/>
          <w:szCs w:val="20"/>
        </w:rPr>
        <w:t>. FeO was determined volumetrically.</w:t>
      </w:r>
      <w:r w:rsidR="009F0C85">
        <w:rPr>
          <w:rFonts w:eastAsia="Calibri"/>
          <w:sz w:val="20"/>
          <w:szCs w:val="20"/>
        </w:rPr>
        <w:t xml:space="preserve"> Bulk-rock chemical data for samples from the literature and this study are presented in </w:t>
      </w:r>
      <w:r w:rsidR="009F0C85" w:rsidRPr="009F03FC">
        <w:rPr>
          <w:rFonts w:eastAsia="Calibri"/>
          <w:color w:val="2F5496" w:themeColor="accent1" w:themeShade="BF"/>
          <w:sz w:val="20"/>
          <w:szCs w:val="20"/>
        </w:rPr>
        <w:t>Fig. 4</w:t>
      </w:r>
      <w:r w:rsidR="009F0C85">
        <w:rPr>
          <w:rFonts w:eastAsia="Calibri"/>
          <w:color w:val="2F5496" w:themeColor="accent1" w:themeShade="BF"/>
          <w:sz w:val="20"/>
          <w:szCs w:val="20"/>
        </w:rPr>
        <w:t xml:space="preserve"> </w:t>
      </w:r>
      <w:r w:rsidR="009F0C85" w:rsidRPr="009F03FC">
        <w:rPr>
          <w:rFonts w:eastAsia="Calibri"/>
          <w:sz w:val="20"/>
          <w:szCs w:val="20"/>
        </w:rPr>
        <w:t xml:space="preserve">and fully reported in </w:t>
      </w:r>
      <w:r w:rsidR="009F0C85" w:rsidRPr="009F03FC">
        <w:rPr>
          <w:rFonts w:eastAsia="Calibri"/>
          <w:color w:val="2F5496" w:themeColor="accent1" w:themeShade="BF"/>
          <w:sz w:val="20"/>
          <w:szCs w:val="20"/>
        </w:rPr>
        <w:t>Electronic supplementary material Table S</w:t>
      </w:r>
      <w:r w:rsidR="009F0C85">
        <w:rPr>
          <w:rFonts w:eastAsia="Calibri"/>
          <w:color w:val="2F5496" w:themeColor="accent1" w:themeShade="BF"/>
          <w:sz w:val="20"/>
          <w:szCs w:val="20"/>
        </w:rPr>
        <w:t>5</w:t>
      </w:r>
      <w:r w:rsidR="009F0C85" w:rsidRPr="009F03FC">
        <w:rPr>
          <w:rFonts w:eastAsia="Calibri"/>
          <w:sz w:val="20"/>
          <w:szCs w:val="20"/>
        </w:rPr>
        <w:t>.</w:t>
      </w:r>
    </w:p>
    <w:p w14:paraId="78CD6FF1" w14:textId="77777777" w:rsidR="00A3057F" w:rsidRPr="00AC0CE2" w:rsidRDefault="00A3057F" w:rsidP="00E66CF6">
      <w:pPr>
        <w:pStyle w:val="ListParagraph"/>
        <w:numPr>
          <w:ilvl w:val="1"/>
          <w:numId w:val="2"/>
        </w:numPr>
        <w:tabs>
          <w:tab w:val="left" w:pos="0"/>
        </w:tabs>
        <w:spacing w:line="480" w:lineRule="auto"/>
        <w:jc w:val="both"/>
        <w:rPr>
          <w:b/>
          <w:color w:val="000000" w:themeColor="text1"/>
          <w:sz w:val="22"/>
          <w:szCs w:val="22"/>
        </w:rPr>
      </w:pPr>
      <w:r w:rsidRPr="00AC0CE2">
        <w:rPr>
          <w:b/>
          <w:color w:val="000000" w:themeColor="text1"/>
          <w:sz w:val="22"/>
          <w:szCs w:val="22"/>
        </w:rPr>
        <w:t>Phase Equilibria Modelling</w:t>
      </w:r>
    </w:p>
    <w:p w14:paraId="34DF5A6C" w14:textId="2D1475A5" w:rsidR="00D13EC2" w:rsidRDefault="00A3057F" w:rsidP="00D3430D">
      <w:pPr>
        <w:tabs>
          <w:tab w:val="left" w:pos="0"/>
        </w:tabs>
        <w:spacing w:line="480" w:lineRule="auto"/>
        <w:jc w:val="both"/>
        <w:rPr>
          <w:sz w:val="20"/>
          <w:szCs w:val="20"/>
        </w:rPr>
      </w:pPr>
      <w:r w:rsidRPr="00BD5733">
        <w:rPr>
          <w:color w:val="000000" w:themeColor="text1"/>
          <w:sz w:val="20"/>
          <w:szCs w:val="20"/>
          <w:lang w:val="en-US"/>
        </w:rPr>
        <w:t xml:space="preserve">We used phase equilibria modelling to constrain the petrogenesis of the S-type granites and understand the role of water within a hydrous crust, such as the one of the GTI, in terms of melt volumes. </w:t>
      </w:r>
      <w:r w:rsidR="00D3430D" w:rsidRPr="00BD5733">
        <w:rPr>
          <w:color w:val="000000" w:themeColor="text1"/>
          <w:sz w:val="20"/>
          <w:szCs w:val="20"/>
        </w:rPr>
        <w:t xml:space="preserve">The two starting compositions </w:t>
      </w:r>
      <w:r w:rsidR="00AE335E" w:rsidRPr="007C2BF4">
        <w:rPr>
          <w:color w:val="2F5496" w:themeColor="accent1" w:themeShade="BF"/>
          <w:sz w:val="20"/>
          <w:szCs w:val="20"/>
        </w:rPr>
        <w:t>(Table 1)</w:t>
      </w:r>
      <w:r w:rsidR="00AE335E" w:rsidRPr="00954700">
        <w:rPr>
          <w:color w:val="2F5496" w:themeColor="accent1" w:themeShade="BF"/>
          <w:sz w:val="20"/>
          <w:szCs w:val="20"/>
          <w:lang w:val="en-US"/>
        </w:rPr>
        <w:t xml:space="preserve"> </w:t>
      </w:r>
      <w:r w:rsidR="00AE335E" w:rsidRPr="00BD5733">
        <w:rPr>
          <w:color w:val="000000" w:themeColor="text1"/>
          <w:sz w:val="20"/>
          <w:szCs w:val="20"/>
        </w:rPr>
        <w:t xml:space="preserve">were chosen to represent common felsic rock types </w:t>
      </w:r>
      <w:r w:rsidR="00AE335E">
        <w:rPr>
          <w:color w:val="000000" w:themeColor="text1"/>
          <w:sz w:val="20"/>
          <w:szCs w:val="20"/>
          <w:lang w:val="en-AU"/>
        </w:rPr>
        <w:t xml:space="preserve">in the GTI from the mid-crustal </w:t>
      </w:r>
      <w:r w:rsidR="00AE335E">
        <w:rPr>
          <w:color w:val="000000" w:themeColor="text1"/>
          <w:sz w:val="20"/>
          <w:szCs w:val="20"/>
        </w:rPr>
        <w:t xml:space="preserve">central domain </w:t>
      </w:r>
      <w:r w:rsidR="00AE335E" w:rsidRPr="00BD5733">
        <w:rPr>
          <w:color w:val="000000" w:themeColor="text1"/>
          <w:sz w:val="20"/>
          <w:szCs w:val="20"/>
        </w:rPr>
        <w:t xml:space="preserve">to </w:t>
      </w:r>
      <w:r w:rsidR="00AE335E">
        <w:rPr>
          <w:color w:val="000000" w:themeColor="text1"/>
          <w:sz w:val="20"/>
          <w:szCs w:val="20"/>
          <w:lang w:val="en-AU"/>
        </w:rPr>
        <w:t>the</w:t>
      </w:r>
      <w:r w:rsidR="00AE335E" w:rsidRPr="00BD5733">
        <w:rPr>
          <w:color w:val="000000" w:themeColor="text1"/>
          <w:sz w:val="20"/>
          <w:szCs w:val="20"/>
        </w:rPr>
        <w:t xml:space="preserve"> </w:t>
      </w:r>
      <w:r w:rsidR="00AE335E" w:rsidRPr="00954700">
        <w:rPr>
          <w:color w:val="000000" w:themeColor="text1"/>
          <w:sz w:val="20"/>
          <w:szCs w:val="20"/>
          <w:lang w:val="en-US"/>
        </w:rPr>
        <w:t xml:space="preserve">lower crustal </w:t>
      </w:r>
      <w:r w:rsidR="00AE335E">
        <w:rPr>
          <w:color w:val="000000" w:themeColor="text1"/>
          <w:sz w:val="20"/>
          <w:szCs w:val="20"/>
        </w:rPr>
        <w:t>eastern domain</w:t>
      </w:r>
      <w:r w:rsidR="00D3430D" w:rsidRPr="006C23FC">
        <w:rPr>
          <w:color w:val="000000" w:themeColor="text1"/>
          <w:sz w:val="20"/>
          <w:szCs w:val="20"/>
        </w:rPr>
        <w:t xml:space="preserve">. </w:t>
      </w:r>
      <w:r w:rsidR="00D13EC2" w:rsidRPr="00BD5733">
        <w:rPr>
          <w:color w:val="000000" w:themeColor="text1"/>
          <w:sz w:val="20"/>
          <w:szCs w:val="20"/>
        </w:rPr>
        <w:t>The</w:t>
      </w:r>
      <w:r w:rsidR="00D13EC2" w:rsidRPr="00BD5733">
        <w:rPr>
          <w:color w:val="000000" w:themeColor="text1"/>
          <w:sz w:val="20"/>
          <w:szCs w:val="20"/>
          <w:lang w:val="en-US"/>
        </w:rPr>
        <w:t xml:space="preserve"> petrological evolution of the</w:t>
      </w:r>
      <w:r w:rsidR="00D13EC2" w:rsidRPr="00BD5733">
        <w:rPr>
          <w:color w:val="000000" w:themeColor="text1"/>
          <w:sz w:val="20"/>
          <w:szCs w:val="20"/>
        </w:rPr>
        <w:t xml:space="preserve"> two </w:t>
      </w:r>
      <w:r w:rsidR="00D13EC2">
        <w:rPr>
          <w:color w:val="000000" w:themeColor="text1"/>
          <w:sz w:val="20"/>
          <w:szCs w:val="20"/>
        </w:rPr>
        <w:t>compositions</w:t>
      </w:r>
      <w:r w:rsidR="00D13EC2" w:rsidRPr="00BD5733">
        <w:rPr>
          <w:color w:val="000000" w:themeColor="text1"/>
          <w:sz w:val="20"/>
          <w:szCs w:val="20"/>
        </w:rPr>
        <w:t xml:space="preserve"> </w:t>
      </w:r>
      <w:r w:rsidR="00D13EC2" w:rsidRPr="00BD5733">
        <w:rPr>
          <w:color w:val="000000" w:themeColor="text1"/>
          <w:sz w:val="20"/>
          <w:szCs w:val="20"/>
          <w:lang w:val="en-US"/>
        </w:rPr>
        <w:t>was modelled</w:t>
      </w:r>
      <w:r w:rsidR="00D13EC2" w:rsidRPr="00BD5733">
        <w:rPr>
          <w:color w:val="000000" w:themeColor="text1"/>
          <w:sz w:val="20"/>
          <w:szCs w:val="20"/>
        </w:rPr>
        <w:t xml:space="preserve"> using </w:t>
      </w:r>
      <w:r w:rsidR="00D13EC2" w:rsidRPr="00BD5733">
        <w:rPr>
          <w:i/>
          <w:color w:val="000000" w:themeColor="text1"/>
          <w:sz w:val="20"/>
          <w:szCs w:val="20"/>
        </w:rPr>
        <w:t>P–T</w:t>
      </w:r>
      <w:r w:rsidR="00D13EC2" w:rsidRPr="00BD5733">
        <w:rPr>
          <w:color w:val="000000" w:themeColor="text1"/>
          <w:sz w:val="20"/>
          <w:szCs w:val="20"/>
        </w:rPr>
        <w:t xml:space="preserve"> and </w:t>
      </w:r>
      <w:r w:rsidR="00D13EC2" w:rsidRPr="00BD5733">
        <w:rPr>
          <w:i/>
          <w:color w:val="000000" w:themeColor="text1"/>
          <w:sz w:val="20"/>
          <w:szCs w:val="20"/>
        </w:rPr>
        <w:t>T–X</w:t>
      </w:r>
      <w:r w:rsidR="00D13EC2" w:rsidRPr="00BD5733">
        <w:rPr>
          <w:color w:val="000000" w:themeColor="text1"/>
          <w:sz w:val="20"/>
          <w:szCs w:val="20"/>
        </w:rPr>
        <w:t xml:space="preserve"> pseudosections calculated in THERMOCALC 3.40 </w:t>
      </w:r>
      <w:r w:rsidR="00D13EC2" w:rsidRPr="00BD5733">
        <w:rPr>
          <w:noProof/>
          <w:color w:val="2F5496" w:themeColor="accent1" w:themeShade="BF"/>
          <w:sz w:val="20"/>
          <w:szCs w:val="20"/>
        </w:rPr>
        <w:t>(Holland and Powell 2011)</w:t>
      </w:r>
      <w:r w:rsidR="00D13EC2" w:rsidRPr="00BD5733">
        <w:rPr>
          <w:sz w:val="20"/>
          <w:szCs w:val="20"/>
        </w:rPr>
        <w:t xml:space="preserve">. </w:t>
      </w:r>
      <w:r w:rsidR="00D13EC2" w:rsidRPr="00BD5733">
        <w:rPr>
          <w:color w:val="000000" w:themeColor="text1"/>
          <w:sz w:val="20"/>
          <w:szCs w:val="20"/>
        </w:rPr>
        <w:t>The calculations were undertaken in the chemical system</w:t>
      </w:r>
      <w:r w:rsidR="00D13EC2" w:rsidRPr="00BD5733">
        <w:rPr>
          <w:sz w:val="20"/>
          <w:szCs w:val="20"/>
        </w:rPr>
        <w:t xml:space="preserve"> MnO–Na</w:t>
      </w:r>
      <w:r w:rsidR="00D13EC2" w:rsidRPr="00BD5733">
        <w:rPr>
          <w:sz w:val="20"/>
          <w:szCs w:val="20"/>
          <w:vertAlign w:val="subscript"/>
        </w:rPr>
        <w:t>2</w:t>
      </w:r>
      <w:r w:rsidR="00D13EC2" w:rsidRPr="00BD5733">
        <w:rPr>
          <w:sz w:val="20"/>
          <w:szCs w:val="20"/>
        </w:rPr>
        <w:t>O–CaO–K</w:t>
      </w:r>
      <w:r w:rsidR="00D13EC2" w:rsidRPr="00BD5733">
        <w:rPr>
          <w:sz w:val="20"/>
          <w:szCs w:val="20"/>
          <w:vertAlign w:val="subscript"/>
        </w:rPr>
        <w:t>2</w:t>
      </w:r>
      <w:r w:rsidR="00D13EC2" w:rsidRPr="00BD5733">
        <w:rPr>
          <w:sz w:val="20"/>
          <w:szCs w:val="20"/>
        </w:rPr>
        <w:t>O–FeO–MgO–Al</w:t>
      </w:r>
      <w:r w:rsidR="00D13EC2" w:rsidRPr="00BD5733">
        <w:rPr>
          <w:sz w:val="20"/>
          <w:szCs w:val="20"/>
          <w:vertAlign w:val="subscript"/>
        </w:rPr>
        <w:t>2</w:t>
      </w:r>
      <w:r w:rsidR="00D13EC2" w:rsidRPr="00BD5733">
        <w:rPr>
          <w:sz w:val="20"/>
          <w:szCs w:val="20"/>
        </w:rPr>
        <w:t>O</w:t>
      </w:r>
      <w:r w:rsidR="00D13EC2" w:rsidRPr="00BD5733">
        <w:rPr>
          <w:sz w:val="20"/>
          <w:szCs w:val="20"/>
          <w:vertAlign w:val="subscript"/>
        </w:rPr>
        <w:t>3</w:t>
      </w:r>
      <w:r w:rsidR="00D13EC2" w:rsidRPr="00BD5733">
        <w:rPr>
          <w:sz w:val="20"/>
          <w:szCs w:val="20"/>
        </w:rPr>
        <w:t>–SiO</w:t>
      </w:r>
      <w:r w:rsidR="00D13EC2" w:rsidRPr="00BD5733">
        <w:rPr>
          <w:sz w:val="20"/>
          <w:szCs w:val="20"/>
          <w:vertAlign w:val="subscript"/>
        </w:rPr>
        <w:t>2</w:t>
      </w:r>
      <w:r w:rsidR="00D13EC2" w:rsidRPr="00BD5733">
        <w:rPr>
          <w:sz w:val="20"/>
          <w:szCs w:val="20"/>
        </w:rPr>
        <w:t>–H</w:t>
      </w:r>
      <w:r w:rsidR="00D13EC2" w:rsidRPr="00BD5733">
        <w:rPr>
          <w:sz w:val="20"/>
          <w:szCs w:val="20"/>
          <w:vertAlign w:val="subscript"/>
        </w:rPr>
        <w:t>2</w:t>
      </w:r>
      <w:r w:rsidR="00D13EC2" w:rsidRPr="00BD5733">
        <w:rPr>
          <w:sz w:val="20"/>
          <w:szCs w:val="20"/>
        </w:rPr>
        <w:t>O–TiO</w:t>
      </w:r>
      <w:r w:rsidR="00D13EC2" w:rsidRPr="00BD5733">
        <w:rPr>
          <w:sz w:val="20"/>
          <w:szCs w:val="20"/>
          <w:vertAlign w:val="subscript"/>
        </w:rPr>
        <w:t>2</w:t>
      </w:r>
      <w:r w:rsidR="00D13EC2" w:rsidRPr="00BD5733">
        <w:rPr>
          <w:sz w:val="20"/>
          <w:szCs w:val="20"/>
        </w:rPr>
        <w:t xml:space="preserve">–O (MnNCKFMASHTO) with the internally consistent dataset of </w:t>
      </w:r>
      <w:r w:rsidR="00D13EC2" w:rsidRPr="00BD5733">
        <w:rPr>
          <w:noProof/>
          <w:color w:val="2F5496" w:themeColor="accent1" w:themeShade="BF"/>
          <w:sz w:val="20"/>
          <w:szCs w:val="20"/>
        </w:rPr>
        <w:t>Holland and Powell (2011)</w:t>
      </w:r>
      <w:r w:rsidR="00D13EC2" w:rsidRPr="00BD5733">
        <w:rPr>
          <w:sz w:val="20"/>
          <w:szCs w:val="20"/>
        </w:rPr>
        <w:t xml:space="preserve"> (specifically the tc-ds62 dataset generated on 06/02/2014). Activity–composition models are from </w:t>
      </w:r>
      <w:r w:rsidR="00D13EC2" w:rsidRPr="00BD5733">
        <w:rPr>
          <w:noProof/>
          <w:color w:val="2F5496" w:themeColor="accent1" w:themeShade="BF"/>
          <w:sz w:val="20"/>
          <w:szCs w:val="20"/>
        </w:rPr>
        <w:t>White et al. (2014)</w:t>
      </w:r>
      <w:r w:rsidR="00D13EC2" w:rsidRPr="00BD5733">
        <w:rPr>
          <w:sz w:val="20"/>
          <w:szCs w:val="20"/>
        </w:rPr>
        <w:t xml:space="preserve">. Calculations considered the phases garnet, silicate melt, hydrous fluid, plagioclase, K-feldspar, sillimanite, andalusite, kyanite, staurolite, muscovite, biotite, chlorite, chloritoid, epidote, orthopyroxene, cordierite, quartz, ilmenite, rutile and magnetite-spinel. </w:t>
      </w:r>
    </w:p>
    <w:p w14:paraId="3365DA6D" w14:textId="5459623E" w:rsidR="001C40EC" w:rsidRDefault="00D13EC2" w:rsidP="00D3430D">
      <w:pPr>
        <w:tabs>
          <w:tab w:val="left" w:pos="0"/>
        </w:tabs>
        <w:spacing w:line="480" w:lineRule="auto"/>
        <w:jc w:val="both"/>
        <w:rPr>
          <w:color w:val="000000" w:themeColor="text1"/>
          <w:sz w:val="20"/>
          <w:szCs w:val="20"/>
        </w:rPr>
      </w:pPr>
      <w:r>
        <w:rPr>
          <w:sz w:val="20"/>
          <w:szCs w:val="20"/>
        </w:rPr>
        <w:tab/>
      </w:r>
      <w:r w:rsidR="00D3430D">
        <w:rPr>
          <w:color w:val="000000" w:themeColor="text1"/>
          <w:sz w:val="20"/>
          <w:szCs w:val="20"/>
        </w:rPr>
        <w:t>For</w:t>
      </w:r>
      <w:r w:rsidR="00D3430D" w:rsidRPr="00EA6FBB">
        <w:rPr>
          <w:color w:val="000000" w:themeColor="text1"/>
          <w:sz w:val="20"/>
          <w:szCs w:val="20"/>
        </w:rPr>
        <w:t xml:space="preserve"> the central domain, a modified version of the average metapelitic composition from </w:t>
      </w:r>
      <w:r w:rsidR="00D3430D" w:rsidRPr="00EA6FBB">
        <w:rPr>
          <w:noProof/>
          <w:color w:val="2F5496" w:themeColor="accent1" w:themeShade="BF"/>
          <w:sz w:val="20"/>
          <w:szCs w:val="20"/>
        </w:rPr>
        <w:t xml:space="preserve">Boger and Hansen (2004, </w:t>
      </w:r>
      <w:r w:rsidR="00D3430D" w:rsidRPr="00885606">
        <w:rPr>
          <w:noProof/>
          <w:color w:val="2F5496" w:themeColor="accent1" w:themeShade="BF"/>
          <w:sz w:val="20"/>
          <w:szCs w:val="20"/>
        </w:rPr>
        <w:t>in Table 1 as</w:t>
      </w:r>
      <w:r w:rsidR="00D3430D">
        <w:rPr>
          <w:noProof/>
          <w:color w:val="2F5496" w:themeColor="accent1" w:themeShade="BF"/>
          <w:sz w:val="20"/>
          <w:szCs w:val="20"/>
        </w:rPr>
        <w:t xml:space="preserve"> </w:t>
      </w:r>
      <w:r w:rsidR="00D3430D" w:rsidRPr="00EA6FBB">
        <w:rPr>
          <w:noProof/>
          <w:color w:val="2F5496" w:themeColor="accent1" w:themeShade="BF"/>
          <w:sz w:val="20"/>
          <w:szCs w:val="20"/>
        </w:rPr>
        <w:t>Average (RR))</w:t>
      </w:r>
      <w:r w:rsidR="00D3430D">
        <w:rPr>
          <w:noProof/>
          <w:color w:val="2F5496" w:themeColor="accent1" w:themeShade="BF"/>
          <w:sz w:val="20"/>
          <w:szCs w:val="20"/>
        </w:rPr>
        <w:t xml:space="preserve"> </w:t>
      </w:r>
      <w:r w:rsidR="00D3430D" w:rsidRPr="00EA6FBB">
        <w:rPr>
          <w:sz w:val="20"/>
          <w:szCs w:val="20"/>
        </w:rPr>
        <w:t>was considered</w:t>
      </w:r>
      <w:r w:rsidR="00D3430D" w:rsidRPr="00EA6FBB" w:rsidDel="00E02F9B">
        <w:rPr>
          <w:sz w:val="20"/>
          <w:szCs w:val="20"/>
        </w:rPr>
        <w:t xml:space="preserve"> </w:t>
      </w:r>
      <w:r w:rsidR="00D3430D" w:rsidRPr="00EA6FBB">
        <w:rPr>
          <w:sz w:val="20"/>
          <w:szCs w:val="20"/>
        </w:rPr>
        <w:t>for the</w:t>
      </w:r>
      <w:r w:rsidR="00D3430D" w:rsidRPr="006C23FC">
        <w:rPr>
          <w:sz w:val="20"/>
          <w:szCs w:val="20"/>
        </w:rPr>
        <w:t xml:space="preserve"> </w:t>
      </w:r>
      <w:r w:rsidR="00D3430D" w:rsidRPr="00EA6FBB">
        <w:rPr>
          <w:sz w:val="20"/>
          <w:szCs w:val="20"/>
        </w:rPr>
        <w:t>metasedimentary rocks in the</w:t>
      </w:r>
      <w:r w:rsidR="00D3430D" w:rsidRPr="006C23FC">
        <w:rPr>
          <w:sz w:val="20"/>
          <w:szCs w:val="20"/>
        </w:rPr>
        <w:t xml:space="preserve"> Robertson River area</w:t>
      </w:r>
      <w:r w:rsidR="00D3430D" w:rsidRPr="00EA6FBB">
        <w:rPr>
          <w:sz w:val="20"/>
          <w:szCs w:val="20"/>
        </w:rPr>
        <w:t xml:space="preserve"> </w:t>
      </w:r>
      <w:r w:rsidR="00D3430D" w:rsidRPr="00EA6FBB">
        <w:rPr>
          <w:color w:val="2F5496" w:themeColor="accent1" w:themeShade="BF"/>
          <w:sz w:val="20"/>
          <w:szCs w:val="20"/>
        </w:rPr>
        <w:t>(Table 1</w:t>
      </w:r>
      <w:r w:rsidR="00D3430D">
        <w:rPr>
          <w:color w:val="2F5496" w:themeColor="accent1" w:themeShade="BF"/>
          <w:sz w:val="20"/>
          <w:szCs w:val="20"/>
        </w:rPr>
        <w:t xml:space="preserve"> this study</w:t>
      </w:r>
      <w:r w:rsidR="00D3430D" w:rsidRPr="00EA6FBB">
        <w:rPr>
          <w:color w:val="2F5496" w:themeColor="accent1" w:themeShade="BF"/>
          <w:sz w:val="20"/>
          <w:szCs w:val="20"/>
        </w:rPr>
        <w:t>)</w:t>
      </w:r>
      <w:r w:rsidR="00D3430D" w:rsidRPr="00EA6FBB">
        <w:rPr>
          <w:sz w:val="20"/>
          <w:szCs w:val="20"/>
        </w:rPr>
        <w:t xml:space="preserve">. </w:t>
      </w:r>
      <w:r w:rsidR="00D3430D" w:rsidRPr="008C00E9">
        <w:rPr>
          <w:sz w:val="20"/>
          <w:szCs w:val="20"/>
        </w:rPr>
        <w:t>The metapeli</w:t>
      </w:r>
      <w:r w:rsidR="00D3430D">
        <w:rPr>
          <w:sz w:val="20"/>
          <w:szCs w:val="20"/>
        </w:rPr>
        <w:t>tic rocks</w:t>
      </w:r>
      <w:r w:rsidR="00D3430D" w:rsidRPr="008C00E9">
        <w:rPr>
          <w:sz w:val="20"/>
          <w:szCs w:val="20"/>
        </w:rPr>
        <w:t xml:space="preserve"> from the central domain are generally mica</w:t>
      </w:r>
      <w:r w:rsidR="00D3430D">
        <w:rPr>
          <w:sz w:val="20"/>
          <w:szCs w:val="20"/>
        </w:rPr>
        <w:t>-</w:t>
      </w:r>
      <w:r w:rsidR="00D3430D" w:rsidRPr="008C00E9">
        <w:rPr>
          <w:sz w:val="20"/>
          <w:szCs w:val="20"/>
        </w:rPr>
        <w:t>rich schists as well as often staurolite</w:t>
      </w:r>
      <w:r w:rsidR="00AE335E">
        <w:rPr>
          <w:sz w:val="20"/>
          <w:szCs w:val="20"/>
        </w:rPr>
        <w:t>-</w:t>
      </w:r>
      <w:r w:rsidR="00D3430D" w:rsidRPr="008C00E9">
        <w:rPr>
          <w:sz w:val="20"/>
          <w:szCs w:val="20"/>
        </w:rPr>
        <w:t xml:space="preserve">bearing </w:t>
      </w:r>
      <w:r w:rsidR="00D3430D" w:rsidRPr="00EA6FBB">
        <w:rPr>
          <w:color w:val="2F5496" w:themeColor="accent1" w:themeShade="BF"/>
          <w:sz w:val="20"/>
          <w:szCs w:val="20"/>
        </w:rPr>
        <w:t>(Boger and Hansen, 2004; Volante et al., 2020)</w:t>
      </w:r>
      <w:r w:rsidR="00EF766A">
        <w:rPr>
          <w:color w:val="2F5496" w:themeColor="accent1" w:themeShade="BF"/>
          <w:sz w:val="20"/>
          <w:szCs w:val="20"/>
        </w:rPr>
        <w:t xml:space="preserve">, </w:t>
      </w:r>
      <w:r w:rsidR="00EF766A" w:rsidRPr="008C00E9">
        <w:rPr>
          <w:sz w:val="20"/>
          <w:szCs w:val="20"/>
        </w:rPr>
        <w:t>so</w:t>
      </w:r>
      <w:r w:rsidR="00D3430D" w:rsidRPr="008C00E9">
        <w:rPr>
          <w:sz w:val="20"/>
          <w:szCs w:val="20"/>
        </w:rPr>
        <w:t xml:space="preserve"> this composition is interpreted to </w:t>
      </w:r>
      <w:r w:rsidR="00D3430D" w:rsidRPr="008C00E9">
        <w:rPr>
          <w:sz w:val="20"/>
          <w:szCs w:val="20"/>
        </w:rPr>
        <w:lastRenderedPageBreak/>
        <w:t>represent subsolidus conditions and thus a hydrated solidus was expected</w:t>
      </w:r>
      <w:r w:rsidR="00D3430D">
        <w:rPr>
          <w:sz w:val="20"/>
          <w:szCs w:val="20"/>
        </w:rPr>
        <w:t xml:space="preserve"> in phase equilibria modelling</w:t>
      </w:r>
      <w:r w:rsidR="00D3430D" w:rsidRPr="008C00E9">
        <w:rPr>
          <w:sz w:val="20"/>
          <w:szCs w:val="20"/>
        </w:rPr>
        <w:t>.</w:t>
      </w:r>
      <w:r>
        <w:rPr>
          <w:sz w:val="20"/>
          <w:szCs w:val="20"/>
        </w:rPr>
        <w:t xml:space="preserve"> In order to make the average metapelitic composition from </w:t>
      </w:r>
      <w:r w:rsidRPr="00EA6FBB">
        <w:rPr>
          <w:color w:val="2F5496" w:themeColor="accent1" w:themeShade="BF"/>
          <w:sz w:val="20"/>
          <w:szCs w:val="20"/>
        </w:rPr>
        <w:t xml:space="preserve">Boger and Hansen (2004) </w:t>
      </w:r>
      <w:r>
        <w:rPr>
          <w:sz w:val="20"/>
          <w:szCs w:val="20"/>
        </w:rPr>
        <w:t xml:space="preserve">comparable to existing modelling within the current internally consistent dataset (ds6) and MnNCKFMASHTO system </w:t>
      </w:r>
      <w:r w:rsidRPr="00EA6FBB">
        <w:rPr>
          <w:color w:val="2F5496" w:themeColor="accent1" w:themeShade="BF"/>
          <w:sz w:val="20"/>
          <w:szCs w:val="20"/>
        </w:rPr>
        <w:t>(Volante et al., 2020)</w:t>
      </w:r>
      <w:r>
        <w:rPr>
          <w:sz w:val="20"/>
          <w:szCs w:val="20"/>
        </w:rPr>
        <w:t xml:space="preserve"> the bulk composition from </w:t>
      </w:r>
      <w:r w:rsidRPr="00EA6FBB">
        <w:rPr>
          <w:color w:val="2F5496" w:themeColor="accent1" w:themeShade="BF"/>
          <w:sz w:val="20"/>
          <w:szCs w:val="20"/>
        </w:rPr>
        <w:t>Table 1</w:t>
      </w:r>
      <w:r>
        <w:rPr>
          <w:sz w:val="20"/>
          <w:szCs w:val="20"/>
        </w:rPr>
        <w:t xml:space="preserve"> in </w:t>
      </w:r>
      <w:r w:rsidRPr="00EA6FBB">
        <w:rPr>
          <w:color w:val="2F5496" w:themeColor="accent1" w:themeShade="BF"/>
          <w:sz w:val="20"/>
          <w:szCs w:val="20"/>
        </w:rPr>
        <w:t>Boger and Hansen (2004)</w:t>
      </w:r>
      <w:r>
        <w:rPr>
          <w:sz w:val="20"/>
          <w:szCs w:val="20"/>
        </w:rPr>
        <w:t xml:space="preserve"> was modified. This composition was combined with the assigned H</w:t>
      </w:r>
      <w:r w:rsidRPr="008C00E9">
        <w:rPr>
          <w:sz w:val="20"/>
          <w:szCs w:val="20"/>
          <w:vertAlign w:val="subscript"/>
        </w:rPr>
        <w:t>2</w:t>
      </w:r>
      <w:r>
        <w:rPr>
          <w:sz w:val="20"/>
          <w:szCs w:val="20"/>
        </w:rPr>
        <w:t xml:space="preserve">O content for suprasolidus conditions used in </w:t>
      </w:r>
      <w:r w:rsidRPr="00EA6FBB">
        <w:rPr>
          <w:color w:val="2F5496" w:themeColor="accent1" w:themeShade="BF"/>
          <w:sz w:val="20"/>
          <w:szCs w:val="20"/>
        </w:rPr>
        <w:t xml:space="preserve">Boger and Hansen (2004; Table 5, Fig. 5a) </w:t>
      </w:r>
      <w:r>
        <w:rPr>
          <w:sz w:val="20"/>
          <w:szCs w:val="20"/>
        </w:rPr>
        <w:t>as well as 10% of FeO was assigned as Fe</w:t>
      </w:r>
      <w:r w:rsidRPr="008C00E9">
        <w:rPr>
          <w:sz w:val="20"/>
          <w:szCs w:val="20"/>
          <w:vertAlign w:val="superscript"/>
        </w:rPr>
        <w:t>3+</w:t>
      </w:r>
      <w:r>
        <w:rPr>
          <w:sz w:val="20"/>
          <w:szCs w:val="20"/>
        </w:rPr>
        <w:t xml:space="preserve"> (i.e. O). The composition was then normalised to that presented in this study (</w:t>
      </w:r>
      <w:r w:rsidRPr="00EA6FBB">
        <w:rPr>
          <w:color w:val="2F5496" w:themeColor="accent1" w:themeShade="BF"/>
          <w:sz w:val="20"/>
          <w:szCs w:val="20"/>
        </w:rPr>
        <w:t>Table 1</w:t>
      </w:r>
      <w:r>
        <w:rPr>
          <w:color w:val="2F5496" w:themeColor="accent1" w:themeShade="BF"/>
          <w:sz w:val="20"/>
          <w:szCs w:val="20"/>
        </w:rPr>
        <w:t xml:space="preserve">, </w:t>
      </w:r>
      <w:r>
        <w:rPr>
          <w:sz w:val="20"/>
          <w:szCs w:val="20"/>
        </w:rPr>
        <w:t xml:space="preserve">now referred to as the modified average metapelitic composition; MAMC), which is as close as possible to the original modelled composition (i.e. Fig 5a; </w:t>
      </w:r>
      <w:r w:rsidRPr="00EA6FBB">
        <w:rPr>
          <w:color w:val="2F5496" w:themeColor="accent1" w:themeShade="BF"/>
          <w:sz w:val="20"/>
          <w:szCs w:val="20"/>
        </w:rPr>
        <w:t>Boger and Hansen, 2004</w:t>
      </w:r>
      <w:r>
        <w:rPr>
          <w:sz w:val="20"/>
          <w:szCs w:val="20"/>
        </w:rPr>
        <w:t>) but compatible with the MnNCKFMASHTO system</w:t>
      </w:r>
      <w:r w:rsidRPr="00BD5733">
        <w:rPr>
          <w:sz w:val="20"/>
          <w:szCs w:val="20"/>
        </w:rPr>
        <w:t>.</w:t>
      </w:r>
      <w:r w:rsidRPr="00D13EC2">
        <w:rPr>
          <w:sz w:val="20"/>
          <w:szCs w:val="20"/>
        </w:rPr>
        <w:t xml:space="preserve"> </w:t>
      </w:r>
      <w:r w:rsidRPr="00EA6FBB">
        <w:rPr>
          <w:noProof/>
          <w:color w:val="000000" w:themeColor="text1"/>
          <w:sz w:val="20"/>
          <w:szCs w:val="20"/>
        </w:rPr>
        <w:t>Therefore</w:t>
      </w:r>
      <w:r w:rsidRPr="00EA6FBB">
        <w:rPr>
          <w:color w:val="000000" w:themeColor="text1"/>
          <w:sz w:val="20"/>
          <w:szCs w:val="20"/>
        </w:rPr>
        <w:t xml:space="preserve">, the average metapelitic composition from </w:t>
      </w:r>
      <w:r w:rsidRPr="00EA6FBB">
        <w:rPr>
          <w:noProof/>
          <w:color w:val="2F5496" w:themeColor="accent1" w:themeShade="BF"/>
          <w:sz w:val="20"/>
          <w:szCs w:val="20"/>
        </w:rPr>
        <w:t>Boger and Hansen (2004)</w:t>
      </w:r>
      <w:r w:rsidRPr="006C23FC">
        <w:rPr>
          <w:sz w:val="20"/>
          <w:szCs w:val="20"/>
        </w:rPr>
        <w:t xml:space="preserve"> </w:t>
      </w:r>
      <w:r w:rsidRPr="006C23FC">
        <w:rPr>
          <w:sz w:val="20"/>
          <w:szCs w:val="20"/>
          <w:lang w:val="en-US"/>
        </w:rPr>
        <w:t>is</w:t>
      </w:r>
      <w:r w:rsidRPr="006C23FC">
        <w:rPr>
          <w:sz w:val="20"/>
          <w:szCs w:val="20"/>
        </w:rPr>
        <w:t xml:space="preserve"> inferred to possibly</w:t>
      </w:r>
      <w:r>
        <w:rPr>
          <w:sz w:val="20"/>
          <w:szCs w:val="20"/>
        </w:rPr>
        <w:t xml:space="preserve"> </w:t>
      </w:r>
      <w:r w:rsidRPr="00BD5733">
        <w:rPr>
          <w:sz w:val="20"/>
          <w:szCs w:val="20"/>
        </w:rPr>
        <w:t xml:space="preserve">represent the typical </w:t>
      </w:r>
      <w:r w:rsidRPr="00BD5733">
        <w:rPr>
          <w:sz w:val="20"/>
          <w:szCs w:val="20"/>
          <w:lang w:val="en-US"/>
        </w:rPr>
        <w:t xml:space="preserve">pelitic </w:t>
      </w:r>
      <w:r w:rsidRPr="00BD5733">
        <w:rPr>
          <w:sz w:val="20"/>
          <w:szCs w:val="20"/>
        </w:rPr>
        <w:t xml:space="preserve">source-rock for the surrounding granites and </w:t>
      </w:r>
      <w:r w:rsidRPr="00BD5733">
        <w:rPr>
          <w:sz w:val="20"/>
          <w:szCs w:val="20"/>
          <w:lang w:val="en-US"/>
        </w:rPr>
        <w:t>is</w:t>
      </w:r>
      <w:r w:rsidRPr="00BD5733">
        <w:rPr>
          <w:sz w:val="20"/>
          <w:szCs w:val="20"/>
        </w:rPr>
        <w:t xml:space="preserve"> considered a reasonable candidate to model</w:t>
      </w:r>
      <w:r w:rsidRPr="00BD5733">
        <w:rPr>
          <w:sz w:val="20"/>
          <w:szCs w:val="20"/>
          <w:lang w:val="en-US"/>
        </w:rPr>
        <w:t xml:space="preserve"> the composition and, especially the water content, of melts produced in the </w:t>
      </w:r>
      <w:r>
        <w:rPr>
          <w:sz w:val="20"/>
          <w:szCs w:val="20"/>
          <w:lang w:val="en-US"/>
        </w:rPr>
        <w:t xml:space="preserve">central domain of the </w:t>
      </w:r>
      <w:r w:rsidRPr="00BD5733">
        <w:rPr>
          <w:sz w:val="20"/>
          <w:szCs w:val="20"/>
          <w:lang w:val="en-US"/>
        </w:rPr>
        <w:t>GTI crust</w:t>
      </w:r>
      <w:r w:rsidRPr="00BD5733">
        <w:rPr>
          <w:color w:val="000000" w:themeColor="text1"/>
          <w:sz w:val="20"/>
          <w:szCs w:val="20"/>
        </w:rPr>
        <w:t xml:space="preserve">. </w:t>
      </w:r>
    </w:p>
    <w:p w14:paraId="4423F560" w14:textId="30EDD661" w:rsidR="00D3430D" w:rsidRPr="009F03FC" w:rsidRDefault="00D13EC2" w:rsidP="00D3430D">
      <w:pPr>
        <w:tabs>
          <w:tab w:val="left" w:pos="0"/>
        </w:tabs>
        <w:spacing w:line="480" w:lineRule="auto"/>
        <w:jc w:val="both"/>
        <w:rPr>
          <w:sz w:val="20"/>
          <w:szCs w:val="20"/>
        </w:rPr>
      </w:pPr>
      <w:r>
        <w:rPr>
          <w:color w:val="000000" w:themeColor="text1"/>
          <w:sz w:val="20"/>
          <w:szCs w:val="20"/>
        </w:rPr>
        <w:tab/>
      </w:r>
      <w:r w:rsidRPr="00327441">
        <w:rPr>
          <w:color w:val="000000" w:themeColor="text1"/>
          <w:sz w:val="20"/>
          <w:szCs w:val="20"/>
          <w:lang w:val="en-US"/>
        </w:rPr>
        <w:t>To evaluate whether the granitic melts were produced at lower crustal levels after partial melting of deeper crus</w:t>
      </w:r>
      <w:r>
        <w:rPr>
          <w:color w:val="000000" w:themeColor="text1"/>
          <w:sz w:val="20"/>
          <w:szCs w:val="20"/>
          <w:lang w:val="en-US"/>
        </w:rPr>
        <w:t>tal metasedimentary rocks</w:t>
      </w:r>
      <w:r w:rsidRPr="00BD5733">
        <w:rPr>
          <w:color w:val="000000" w:themeColor="text1"/>
          <w:sz w:val="20"/>
          <w:szCs w:val="20"/>
          <w:lang w:val="en-US"/>
        </w:rPr>
        <w:t xml:space="preserve"> we also considered a </w:t>
      </w:r>
      <w:r>
        <w:rPr>
          <w:color w:val="000000" w:themeColor="text1"/>
          <w:sz w:val="20"/>
          <w:szCs w:val="20"/>
          <w:lang w:val="en-US"/>
        </w:rPr>
        <w:t>metapelite</w:t>
      </w:r>
      <w:r w:rsidRPr="00BD5733">
        <w:rPr>
          <w:color w:val="000000" w:themeColor="text1"/>
          <w:sz w:val="20"/>
          <w:szCs w:val="20"/>
          <w:lang w:val="en-US"/>
        </w:rPr>
        <w:t xml:space="preserve"> (i.e. ES18) from the eastern domain</w:t>
      </w:r>
      <w:r>
        <w:rPr>
          <w:color w:val="000000" w:themeColor="text1"/>
          <w:sz w:val="20"/>
          <w:szCs w:val="20"/>
          <w:lang w:val="en-US"/>
        </w:rPr>
        <w:t xml:space="preserve"> </w:t>
      </w:r>
      <w:r w:rsidRPr="00EA6FBB">
        <w:rPr>
          <w:color w:val="2F5496" w:themeColor="accent1" w:themeShade="BF"/>
          <w:sz w:val="20"/>
          <w:szCs w:val="20"/>
        </w:rPr>
        <w:t xml:space="preserve">(Table </w:t>
      </w:r>
      <w:r>
        <w:rPr>
          <w:color w:val="2F5496" w:themeColor="accent1" w:themeShade="BF"/>
          <w:sz w:val="20"/>
          <w:szCs w:val="20"/>
        </w:rPr>
        <w:t>1</w:t>
      </w:r>
      <w:r w:rsidRPr="00EA6FBB">
        <w:rPr>
          <w:color w:val="2F5496" w:themeColor="accent1" w:themeShade="BF"/>
          <w:sz w:val="20"/>
          <w:szCs w:val="20"/>
        </w:rPr>
        <w:t>)</w:t>
      </w:r>
      <w:r w:rsidRPr="00BD5733">
        <w:rPr>
          <w:color w:val="000000" w:themeColor="text1"/>
          <w:sz w:val="20"/>
          <w:szCs w:val="20"/>
          <w:lang w:val="en-US"/>
        </w:rPr>
        <w:t xml:space="preserve">. </w:t>
      </w:r>
      <w:r w:rsidRPr="00BD5733">
        <w:rPr>
          <w:color w:val="000000" w:themeColor="text1"/>
          <w:sz w:val="20"/>
          <w:szCs w:val="20"/>
        </w:rPr>
        <w:t xml:space="preserve">Sample ES18 was chosen to observe the composition and water content of granitic melts generated </w:t>
      </w:r>
      <w:r>
        <w:rPr>
          <w:color w:val="000000" w:themeColor="text1"/>
          <w:sz w:val="20"/>
          <w:szCs w:val="20"/>
        </w:rPr>
        <w:t xml:space="preserve">in the lower crust </w:t>
      </w:r>
      <w:r w:rsidRPr="00BD5733">
        <w:rPr>
          <w:color w:val="000000" w:themeColor="text1"/>
          <w:sz w:val="20"/>
          <w:szCs w:val="20"/>
        </w:rPr>
        <w:t xml:space="preserve">at (i.e. </w:t>
      </w:r>
      <w:r w:rsidRPr="00BD5733">
        <w:rPr>
          <w:i/>
          <w:iCs/>
          <w:color w:val="000000" w:themeColor="text1"/>
          <w:sz w:val="20"/>
          <w:szCs w:val="20"/>
        </w:rPr>
        <w:t>c.</w:t>
      </w:r>
      <w:r w:rsidRPr="00BD5733">
        <w:rPr>
          <w:color w:val="000000" w:themeColor="text1"/>
          <w:sz w:val="20"/>
          <w:szCs w:val="20"/>
        </w:rPr>
        <w:t xml:space="preserve"> 8 kbar) in the eastern domain</w:t>
      </w:r>
      <w:r w:rsidRPr="00BD5733">
        <w:rPr>
          <w:color w:val="2F5496" w:themeColor="accent1" w:themeShade="BF"/>
          <w:sz w:val="20"/>
          <w:szCs w:val="20"/>
          <w:lang w:val="en-US"/>
        </w:rPr>
        <w:t xml:space="preserve"> </w:t>
      </w:r>
      <w:r w:rsidRPr="00BD5733">
        <w:rPr>
          <w:noProof/>
          <w:color w:val="2F5496" w:themeColor="accent1" w:themeShade="BF"/>
          <w:sz w:val="20"/>
          <w:szCs w:val="20"/>
          <w:lang w:val="en-US"/>
        </w:rPr>
        <w:t>(Volante et al. 2020)</w:t>
      </w:r>
      <w:r w:rsidRPr="00BD5733">
        <w:rPr>
          <w:color w:val="000000" w:themeColor="text1"/>
          <w:sz w:val="20"/>
          <w:szCs w:val="20"/>
        </w:rPr>
        <w:t>.</w:t>
      </w:r>
      <w:r>
        <w:rPr>
          <w:sz w:val="20"/>
          <w:szCs w:val="20"/>
        </w:rPr>
        <w:t xml:space="preserve"> </w:t>
      </w:r>
      <w:r w:rsidRPr="00BD5733">
        <w:rPr>
          <w:sz w:val="20"/>
          <w:szCs w:val="20"/>
        </w:rPr>
        <w:t xml:space="preserve">The composition </w:t>
      </w:r>
      <w:r w:rsidRPr="00BD5733">
        <w:rPr>
          <w:color w:val="000000" w:themeColor="text1"/>
          <w:sz w:val="20"/>
          <w:szCs w:val="20"/>
          <w:lang w:val="en-US"/>
        </w:rPr>
        <w:t xml:space="preserve">of </w:t>
      </w:r>
      <w:r>
        <w:rPr>
          <w:color w:val="000000" w:themeColor="text1"/>
          <w:sz w:val="20"/>
          <w:szCs w:val="20"/>
          <w:lang w:val="en-US"/>
        </w:rPr>
        <w:t>ES18</w:t>
      </w:r>
      <w:r w:rsidRPr="00BD5733">
        <w:rPr>
          <w:color w:val="000000" w:themeColor="text1"/>
          <w:sz w:val="20"/>
          <w:szCs w:val="20"/>
          <w:lang w:val="en-US"/>
        </w:rPr>
        <w:t xml:space="preserve"> </w:t>
      </w:r>
      <w:r>
        <w:rPr>
          <w:color w:val="000000" w:themeColor="text1"/>
          <w:sz w:val="20"/>
          <w:szCs w:val="20"/>
          <w:lang w:val="en-US"/>
        </w:rPr>
        <w:t>was</w:t>
      </w:r>
      <w:r w:rsidRPr="00BD5733">
        <w:rPr>
          <w:color w:val="000000" w:themeColor="text1"/>
          <w:sz w:val="20"/>
          <w:szCs w:val="20"/>
          <w:lang w:val="en-US"/>
        </w:rPr>
        <w:t xml:space="preserve"> derived from the whole-rock</w:t>
      </w:r>
      <w:r w:rsidRPr="00BD5733">
        <w:rPr>
          <w:color w:val="000000" w:themeColor="text1"/>
          <w:sz w:val="20"/>
          <w:szCs w:val="20"/>
        </w:rPr>
        <w:t xml:space="preserve"> </w:t>
      </w:r>
      <w:r w:rsidRPr="00BD5733">
        <w:rPr>
          <w:sz w:val="20"/>
          <w:szCs w:val="20"/>
        </w:rPr>
        <w:t>XRF analys</w:t>
      </w:r>
      <w:r w:rsidRPr="00BD5733">
        <w:rPr>
          <w:sz w:val="20"/>
          <w:szCs w:val="20"/>
          <w:lang w:val="en-US"/>
        </w:rPr>
        <w:t>e</w:t>
      </w:r>
      <w:r w:rsidRPr="00BD5733">
        <w:rPr>
          <w:sz w:val="20"/>
          <w:szCs w:val="20"/>
        </w:rPr>
        <w:t xml:space="preserve">s </w:t>
      </w:r>
      <w:r w:rsidRPr="00BD5733">
        <w:rPr>
          <w:sz w:val="20"/>
          <w:szCs w:val="20"/>
          <w:lang w:val="en-US"/>
        </w:rPr>
        <w:t xml:space="preserve">and </w:t>
      </w:r>
      <w:r>
        <w:rPr>
          <w:sz w:val="20"/>
          <w:szCs w:val="20"/>
          <w:lang w:val="en-US"/>
        </w:rPr>
        <w:t>is</w:t>
      </w:r>
      <w:r w:rsidRPr="00BD5733">
        <w:rPr>
          <w:sz w:val="20"/>
          <w:szCs w:val="20"/>
          <w:lang w:val="en-US"/>
        </w:rPr>
        <w:t xml:space="preserve"> given in </w:t>
      </w:r>
      <w:r w:rsidRPr="00BD5733">
        <w:rPr>
          <w:color w:val="2F5496" w:themeColor="accent1" w:themeShade="BF"/>
          <w:sz w:val="20"/>
          <w:szCs w:val="20"/>
          <w:lang w:val="en-US"/>
        </w:rPr>
        <w:t xml:space="preserve">Table </w:t>
      </w:r>
      <w:r>
        <w:rPr>
          <w:color w:val="2F5496" w:themeColor="accent1" w:themeShade="BF"/>
          <w:sz w:val="20"/>
          <w:szCs w:val="20"/>
          <w:lang w:val="en-US"/>
        </w:rPr>
        <w:t>1</w:t>
      </w:r>
      <w:r w:rsidRPr="00BD5733">
        <w:rPr>
          <w:sz w:val="20"/>
          <w:szCs w:val="20"/>
          <w:lang w:val="en-US"/>
        </w:rPr>
        <w:t xml:space="preserve">. </w:t>
      </w:r>
      <w:r w:rsidRPr="00BD5733">
        <w:rPr>
          <w:sz w:val="20"/>
          <w:szCs w:val="20"/>
        </w:rPr>
        <w:t>A calcium correction was applied to ES18 assuming all P</w:t>
      </w:r>
      <w:r w:rsidRPr="00BD5733">
        <w:rPr>
          <w:sz w:val="20"/>
          <w:szCs w:val="20"/>
          <w:vertAlign w:val="subscript"/>
        </w:rPr>
        <w:t>2</w:t>
      </w:r>
      <w:r w:rsidRPr="00BD5733">
        <w:rPr>
          <w:sz w:val="20"/>
          <w:szCs w:val="20"/>
        </w:rPr>
        <w:t>O</w:t>
      </w:r>
      <w:r w:rsidRPr="00BD5733">
        <w:rPr>
          <w:sz w:val="20"/>
          <w:szCs w:val="20"/>
          <w:vertAlign w:val="subscript"/>
        </w:rPr>
        <w:t>5</w:t>
      </w:r>
      <w:r w:rsidRPr="00BD5733">
        <w:rPr>
          <w:sz w:val="20"/>
          <w:szCs w:val="20"/>
        </w:rPr>
        <w:t xml:space="preserve"> was held in apatite. The amount of FeO in the measured composition equals the amount of FeO (in mol%) + two times the mol% of Fe</w:t>
      </w:r>
      <w:r w:rsidRPr="00BD5733">
        <w:rPr>
          <w:sz w:val="20"/>
          <w:szCs w:val="20"/>
          <w:vertAlign w:val="subscript"/>
        </w:rPr>
        <w:t>2</w:t>
      </w:r>
      <w:r w:rsidRPr="00BD5733">
        <w:rPr>
          <w:sz w:val="20"/>
          <w:szCs w:val="20"/>
        </w:rPr>
        <w:t>O</w:t>
      </w:r>
      <w:r w:rsidRPr="00BD5733">
        <w:rPr>
          <w:sz w:val="20"/>
          <w:szCs w:val="20"/>
          <w:vertAlign w:val="subscript"/>
        </w:rPr>
        <w:t>3</w:t>
      </w:r>
      <w:r w:rsidRPr="00BD5733">
        <w:rPr>
          <w:sz w:val="20"/>
          <w:szCs w:val="20"/>
        </w:rPr>
        <w:t>, with the amount of Fe</w:t>
      </w:r>
      <w:r w:rsidRPr="00BD5733">
        <w:rPr>
          <w:sz w:val="20"/>
          <w:szCs w:val="20"/>
          <w:vertAlign w:val="subscript"/>
        </w:rPr>
        <w:t>2</w:t>
      </w:r>
      <w:r w:rsidRPr="00BD5733">
        <w:rPr>
          <w:sz w:val="20"/>
          <w:szCs w:val="20"/>
        </w:rPr>
        <w:t>O</w:t>
      </w:r>
      <w:r w:rsidRPr="00BD5733">
        <w:rPr>
          <w:sz w:val="20"/>
          <w:szCs w:val="20"/>
          <w:vertAlign w:val="subscript"/>
        </w:rPr>
        <w:t>3</w:t>
      </w:r>
      <w:r w:rsidRPr="00BD5733">
        <w:rPr>
          <w:sz w:val="20"/>
          <w:szCs w:val="20"/>
        </w:rPr>
        <w:t xml:space="preserve"> = to O.</w:t>
      </w:r>
      <w:r w:rsidRPr="00BD5733">
        <w:rPr>
          <w:sz w:val="20"/>
          <w:szCs w:val="20"/>
          <w:lang w:val="en-US"/>
        </w:rPr>
        <w:t xml:space="preserve"> </w:t>
      </w:r>
      <w:r>
        <w:rPr>
          <w:sz w:val="20"/>
          <w:szCs w:val="20"/>
          <w:lang w:val="en-US"/>
        </w:rPr>
        <w:t>This</w:t>
      </w:r>
      <w:r w:rsidRPr="00BD5733">
        <w:rPr>
          <w:sz w:val="20"/>
          <w:szCs w:val="20"/>
        </w:rPr>
        <w:t xml:space="preserve"> partially melted paragneiss </w:t>
      </w:r>
      <w:r>
        <w:rPr>
          <w:sz w:val="20"/>
          <w:szCs w:val="20"/>
        </w:rPr>
        <w:t>(</w:t>
      </w:r>
      <w:r w:rsidRPr="00BD5733">
        <w:rPr>
          <w:sz w:val="20"/>
          <w:szCs w:val="20"/>
        </w:rPr>
        <w:t>ES18</w:t>
      </w:r>
      <w:r>
        <w:rPr>
          <w:sz w:val="20"/>
          <w:szCs w:val="20"/>
        </w:rPr>
        <w:t>)</w:t>
      </w:r>
      <w:r w:rsidRPr="00BD5733">
        <w:rPr>
          <w:sz w:val="20"/>
          <w:szCs w:val="20"/>
        </w:rPr>
        <w:t xml:space="preserve"> was modelled with all loss on ignition (LOI) assumed as H</w:t>
      </w:r>
      <w:r w:rsidRPr="00BD5733">
        <w:rPr>
          <w:sz w:val="20"/>
          <w:szCs w:val="20"/>
          <w:vertAlign w:val="subscript"/>
        </w:rPr>
        <w:t>2</w:t>
      </w:r>
      <w:r w:rsidRPr="00BD5733">
        <w:rPr>
          <w:sz w:val="20"/>
          <w:szCs w:val="20"/>
        </w:rPr>
        <w:t>O.</w:t>
      </w:r>
      <w:r w:rsidR="00D3430D" w:rsidRPr="00BD5733">
        <w:rPr>
          <w:color w:val="7030A0"/>
          <w:sz w:val="20"/>
          <w:szCs w:val="20"/>
        </w:rPr>
        <w:t xml:space="preserve"> </w:t>
      </w:r>
    </w:p>
    <w:p w14:paraId="5E545CEF" w14:textId="579BC951" w:rsidR="00D3430D" w:rsidRPr="00BD5733" w:rsidRDefault="00A3057F">
      <w:pPr>
        <w:tabs>
          <w:tab w:val="left" w:pos="0"/>
        </w:tabs>
        <w:spacing w:line="480" w:lineRule="auto"/>
        <w:jc w:val="both"/>
        <w:rPr>
          <w:sz w:val="20"/>
          <w:szCs w:val="20"/>
        </w:rPr>
      </w:pPr>
      <w:r w:rsidRPr="00BD5733">
        <w:rPr>
          <w:color w:val="000000" w:themeColor="text1"/>
          <w:sz w:val="20"/>
          <w:szCs w:val="20"/>
        </w:rPr>
        <w:tab/>
        <w:t xml:space="preserve">Two pressure values were chosen to evaluate the depths at which granites were generated: 5 and 8 kbar. In particular, 5 kbar is the </w:t>
      </w:r>
      <w:r w:rsidR="001C40EC">
        <w:rPr>
          <w:color w:val="000000" w:themeColor="text1"/>
          <w:sz w:val="20"/>
          <w:szCs w:val="20"/>
        </w:rPr>
        <w:t xml:space="preserve">average </w:t>
      </w:r>
      <w:r w:rsidRPr="00BD5733">
        <w:rPr>
          <w:color w:val="000000" w:themeColor="text1"/>
          <w:sz w:val="20"/>
          <w:szCs w:val="20"/>
        </w:rPr>
        <w:t xml:space="preserve">pressure of the metamorphic peak recorded by </w:t>
      </w:r>
      <w:r w:rsidR="00D3430D">
        <w:rPr>
          <w:color w:val="000000" w:themeColor="text1"/>
          <w:sz w:val="20"/>
          <w:szCs w:val="20"/>
        </w:rPr>
        <w:t>the</w:t>
      </w:r>
      <w:r w:rsidRPr="00BD5733">
        <w:rPr>
          <w:color w:val="000000" w:themeColor="text1"/>
          <w:sz w:val="20"/>
          <w:szCs w:val="20"/>
        </w:rPr>
        <w:t xml:space="preserve"> central domain </w:t>
      </w:r>
      <w:r w:rsidRPr="00BD5733">
        <w:rPr>
          <w:noProof/>
          <w:color w:val="2F5496" w:themeColor="accent1" w:themeShade="BF"/>
          <w:sz w:val="20"/>
          <w:szCs w:val="20"/>
        </w:rPr>
        <w:t>(600–670°C and 4–6 kbar, Volante et al. 2020)</w:t>
      </w:r>
      <w:r w:rsidR="00D3430D">
        <w:rPr>
          <w:noProof/>
          <w:color w:val="2F5496" w:themeColor="accent1" w:themeShade="BF"/>
          <w:sz w:val="20"/>
          <w:szCs w:val="20"/>
        </w:rPr>
        <w:t xml:space="preserve"> </w:t>
      </w:r>
      <w:r w:rsidR="00D3430D" w:rsidRPr="009F03FC">
        <w:rPr>
          <w:noProof/>
          <w:color w:val="000000" w:themeColor="text1"/>
          <w:sz w:val="20"/>
          <w:szCs w:val="20"/>
        </w:rPr>
        <w:t>where most of the S-type granites are hosted</w:t>
      </w:r>
      <w:r w:rsidRPr="00BD5733">
        <w:rPr>
          <w:color w:val="000000" w:themeColor="text1"/>
          <w:sz w:val="20"/>
          <w:szCs w:val="20"/>
        </w:rPr>
        <w:t>, whereas 8 kbar correspond</w:t>
      </w:r>
      <w:r w:rsidRPr="00BD5733">
        <w:rPr>
          <w:color w:val="000000" w:themeColor="text1"/>
          <w:sz w:val="20"/>
          <w:szCs w:val="20"/>
          <w:lang w:val="en-US"/>
        </w:rPr>
        <w:t>s</w:t>
      </w:r>
      <w:r w:rsidRPr="00BD5733">
        <w:rPr>
          <w:color w:val="000000" w:themeColor="text1"/>
          <w:sz w:val="20"/>
          <w:szCs w:val="20"/>
        </w:rPr>
        <w:t xml:space="preserve"> to the </w:t>
      </w:r>
      <w:r w:rsidRPr="00BD5733">
        <w:rPr>
          <w:iCs/>
          <w:color w:val="000000" w:themeColor="text1"/>
          <w:sz w:val="20"/>
          <w:szCs w:val="20"/>
        </w:rPr>
        <w:t xml:space="preserve">pressure at which partial melting occurred in the lower crust </w:t>
      </w:r>
      <w:r w:rsidRPr="00BD5733">
        <w:rPr>
          <w:color w:val="000000" w:themeColor="text1"/>
          <w:sz w:val="20"/>
          <w:szCs w:val="20"/>
        </w:rPr>
        <w:t>(e.g., ES18) of the eastern domain</w:t>
      </w:r>
      <w:r w:rsidRPr="00BD5733">
        <w:rPr>
          <w:color w:val="FF0000"/>
          <w:sz w:val="20"/>
          <w:szCs w:val="20"/>
        </w:rPr>
        <w:t xml:space="preserve"> </w:t>
      </w:r>
      <w:r w:rsidRPr="00BD5733">
        <w:rPr>
          <w:noProof/>
          <w:color w:val="2F5496" w:themeColor="accent1" w:themeShade="BF"/>
          <w:sz w:val="20"/>
          <w:szCs w:val="20"/>
        </w:rPr>
        <w:t>(730–770°C and ~8 kbar, Volante et al. 2020)</w:t>
      </w:r>
      <w:r w:rsidRPr="00BD5733">
        <w:rPr>
          <w:color w:val="000000" w:themeColor="text1"/>
          <w:sz w:val="20"/>
          <w:szCs w:val="20"/>
        </w:rPr>
        <w:t>. Those depths could potentially represent the conditions of melt generation. Temperature intervals of 20</w:t>
      </w:r>
      <w:r w:rsidRPr="00BD5733">
        <w:rPr>
          <w:color w:val="000000" w:themeColor="text1"/>
          <w:sz w:val="20"/>
          <w:szCs w:val="20"/>
          <w:shd w:val="clear" w:color="auto" w:fill="FFFFFF"/>
        </w:rPr>
        <w:t>°C were chosen between 690–850°C</w:t>
      </w:r>
      <w:r w:rsidRPr="00BD5733">
        <w:rPr>
          <w:color w:val="000000" w:themeColor="text1"/>
          <w:sz w:val="20"/>
          <w:szCs w:val="20"/>
        </w:rPr>
        <w:t xml:space="preserve">, reflecting progressive mineral stability changes associated with melting reactions from near-solidus to suprasolidus conditions. </w:t>
      </w:r>
      <w:r w:rsidR="00D3430D" w:rsidRPr="00BD5733">
        <w:rPr>
          <w:sz w:val="20"/>
          <w:szCs w:val="20"/>
        </w:rPr>
        <w:t xml:space="preserve">Modelled </w:t>
      </w:r>
      <w:r w:rsidR="00D3430D" w:rsidRPr="00BD5733">
        <w:rPr>
          <w:color w:val="000000" w:themeColor="text1"/>
          <w:sz w:val="20"/>
          <w:szCs w:val="20"/>
          <w:lang w:val="en-US"/>
        </w:rPr>
        <w:t>m</w:t>
      </w:r>
      <w:r w:rsidR="00D3430D" w:rsidRPr="00BD5733">
        <w:rPr>
          <w:color w:val="000000" w:themeColor="text1"/>
          <w:sz w:val="20"/>
          <w:szCs w:val="20"/>
        </w:rPr>
        <w:t xml:space="preserve">elt compositions were extracted </w:t>
      </w:r>
      <w:r w:rsidR="00D3430D" w:rsidRPr="00BD5733">
        <w:rPr>
          <w:color w:val="000000" w:themeColor="text1"/>
          <w:sz w:val="20"/>
          <w:szCs w:val="20"/>
          <w:lang w:val="en-US"/>
        </w:rPr>
        <w:t xml:space="preserve">with </w:t>
      </w:r>
      <w:r w:rsidR="00D3430D" w:rsidRPr="00BD5733">
        <w:rPr>
          <w:color w:val="000000" w:themeColor="text1"/>
          <w:sz w:val="20"/>
          <w:szCs w:val="20"/>
        </w:rPr>
        <w:t>20°C intervals from 690°C to 850°C</w:t>
      </w:r>
      <w:r w:rsidR="00D3430D">
        <w:rPr>
          <w:color w:val="000000" w:themeColor="text1"/>
          <w:sz w:val="20"/>
          <w:szCs w:val="20"/>
        </w:rPr>
        <w:t xml:space="preserve">, </w:t>
      </w:r>
      <w:r w:rsidR="00D3430D" w:rsidRPr="00BD5733">
        <w:rPr>
          <w:color w:val="000000" w:themeColor="text1"/>
          <w:sz w:val="20"/>
          <w:szCs w:val="20"/>
        </w:rPr>
        <w:t xml:space="preserve">at 5 kbar and 8 kbar for </w:t>
      </w:r>
      <w:r w:rsidR="00D3430D">
        <w:rPr>
          <w:color w:val="000000" w:themeColor="text1"/>
          <w:sz w:val="20"/>
          <w:szCs w:val="20"/>
        </w:rPr>
        <w:t>MAMC</w:t>
      </w:r>
      <w:r w:rsidR="00D3430D" w:rsidRPr="00BD5733">
        <w:rPr>
          <w:color w:val="000000" w:themeColor="text1"/>
          <w:sz w:val="20"/>
          <w:szCs w:val="20"/>
        </w:rPr>
        <w:t xml:space="preserve"> and</w:t>
      </w:r>
      <w:r w:rsidR="00D3430D" w:rsidRPr="00BD5733">
        <w:rPr>
          <w:color w:val="000000" w:themeColor="text1"/>
          <w:sz w:val="20"/>
          <w:szCs w:val="20"/>
          <w:lang w:val="en-US"/>
        </w:rPr>
        <w:t>,</w:t>
      </w:r>
      <w:r w:rsidR="00D3430D" w:rsidRPr="00BD5733">
        <w:rPr>
          <w:color w:val="000000" w:themeColor="text1"/>
          <w:sz w:val="20"/>
          <w:szCs w:val="20"/>
        </w:rPr>
        <w:t xml:space="preserve"> </w:t>
      </w:r>
      <w:r w:rsidR="00D3430D" w:rsidRPr="00BD5733">
        <w:rPr>
          <w:color w:val="000000" w:themeColor="text1"/>
          <w:sz w:val="20"/>
          <w:szCs w:val="20"/>
          <w:lang w:val="en-US"/>
        </w:rPr>
        <w:t xml:space="preserve">and </w:t>
      </w:r>
      <w:r w:rsidR="00D3430D" w:rsidRPr="00BD5733">
        <w:rPr>
          <w:color w:val="000000" w:themeColor="text1"/>
          <w:sz w:val="20"/>
          <w:szCs w:val="20"/>
        </w:rPr>
        <w:t>from 730°C to 850°C</w:t>
      </w:r>
      <w:r w:rsidR="00D3430D" w:rsidRPr="00BD5733">
        <w:rPr>
          <w:color w:val="000000" w:themeColor="text1"/>
          <w:sz w:val="20"/>
          <w:szCs w:val="20"/>
          <w:lang w:val="en-US"/>
        </w:rPr>
        <w:t xml:space="preserve"> </w:t>
      </w:r>
      <w:r w:rsidR="00D3430D" w:rsidRPr="00BD5733">
        <w:rPr>
          <w:color w:val="000000" w:themeColor="text1"/>
          <w:sz w:val="20"/>
          <w:szCs w:val="20"/>
        </w:rPr>
        <w:t xml:space="preserve">at 8 kbar for </w:t>
      </w:r>
      <w:r w:rsidR="00D3430D" w:rsidRPr="00D3430D">
        <w:rPr>
          <w:color w:val="000000" w:themeColor="text1"/>
          <w:sz w:val="20"/>
          <w:szCs w:val="20"/>
        </w:rPr>
        <w:t xml:space="preserve">ES18 </w:t>
      </w:r>
      <w:r w:rsidR="00D3430D" w:rsidRPr="009F03FC">
        <w:rPr>
          <w:color w:val="2F5496" w:themeColor="accent1" w:themeShade="BF"/>
          <w:sz w:val="20"/>
          <w:szCs w:val="20"/>
        </w:rPr>
        <w:t>(</w:t>
      </w:r>
      <w:r w:rsidR="00D3430D" w:rsidRPr="009F03FC">
        <w:rPr>
          <w:color w:val="2F5496" w:themeColor="accent1" w:themeShade="BF"/>
          <w:sz w:val="20"/>
          <w:szCs w:val="20"/>
          <w:lang w:val="en-AU"/>
        </w:rPr>
        <w:t>Electronic supplementary material Tables S4 and S5</w:t>
      </w:r>
      <w:r w:rsidR="00D3430D" w:rsidRPr="009F03FC">
        <w:rPr>
          <w:color w:val="2F5496" w:themeColor="accent1" w:themeShade="BF"/>
          <w:sz w:val="20"/>
          <w:szCs w:val="20"/>
        </w:rPr>
        <w:t>)</w:t>
      </w:r>
      <w:r w:rsidR="00D3430D" w:rsidRPr="00D3430D">
        <w:rPr>
          <w:sz w:val="20"/>
          <w:szCs w:val="20"/>
        </w:rPr>
        <w:t>.</w:t>
      </w:r>
    </w:p>
    <w:p w14:paraId="36D8E0AB" w14:textId="6E6D669B" w:rsidR="001C40EC" w:rsidRPr="00BD5733" w:rsidRDefault="00A3057F" w:rsidP="00BC68DD">
      <w:pPr>
        <w:tabs>
          <w:tab w:val="left" w:pos="0"/>
        </w:tabs>
        <w:spacing w:line="480" w:lineRule="auto"/>
        <w:jc w:val="both"/>
        <w:rPr>
          <w:color w:val="000000" w:themeColor="text1"/>
          <w:sz w:val="20"/>
          <w:szCs w:val="20"/>
          <w:lang w:val="en-AU"/>
        </w:rPr>
      </w:pPr>
      <w:r w:rsidRPr="00BD5733">
        <w:rPr>
          <w:sz w:val="20"/>
          <w:szCs w:val="20"/>
        </w:rPr>
        <w:lastRenderedPageBreak/>
        <w:tab/>
      </w:r>
      <w:r w:rsidR="001C40EC" w:rsidRPr="00BD5733">
        <w:rPr>
          <w:sz w:val="20"/>
          <w:szCs w:val="20"/>
          <w:lang w:val="en-US"/>
        </w:rPr>
        <w:t xml:space="preserve">A </w:t>
      </w:r>
      <w:r w:rsidR="001C40EC" w:rsidRPr="00BD5733">
        <w:rPr>
          <w:i/>
          <w:iCs/>
          <w:color w:val="000000" w:themeColor="text1"/>
          <w:sz w:val="20"/>
          <w:szCs w:val="20"/>
          <w:lang w:val="en-AU"/>
        </w:rPr>
        <w:t>T–X</w:t>
      </w:r>
      <w:r w:rsidR="001C40EC" w:rsidRPr="00BD5733">
        <w:rPr>
          <w:i/>
          <w:iCs/>
          <w:color w:val="000000" w:themeColor="text1"/>
          <w:sz w:val="20"/>
          <w:szCs w:val="20"/>
          <w:vertAlign w:val="subscript"/>
          <w:lang w:val="en-AU"/>
        </w:rPr>
        <w:t>H2O</w:t>
      </w:r>
      <w:r w:rsidR="001C40EC" w:rsidRPr="00BD5733">
        <w:rPr>
          <w:color w:val="000000" w:themeColor="text1"/>
          <w:sz w:val="20"/>
          <w:szCs w:val="20"/>
          <w:lang w:val="en-AU"/>
        </w:rPr>
        <w:t xml:space="preserve"> pseudosection (at 5 kbar and 650–850ºC) was constructed</w:t>
      </w:r>
      <w:r w:rsidR="001C40EC" w:rsidRPr="00BD5733" w:rsidDel="00DF30D6">
        <w:rPr>
          <w:sz w:val="20"/>
          <w:szCs w:val="20"/>
        </w:rPr>
        <w:t xml:space="preserve"> </w:t>
      </w:r>
      <w:r w:rsidR="001C40EC" w:rsidRPr="00BD5733">
        <w:rPr>
          <w:sz w:val="20"/>
          <w:szCs w:val="20"/>
        </w:rPr>
        <w:t xml:space="preserve">for </w:t>
      </w:r>
      <w:r w:rsidR="001C40EC">
        <w:rPr>
          <w:color w:val="000000" w:themeColor="text1"/>
          <w:sz w:val="20"/>
          <w:szCs w:val="20"/>
        </w:rPr>
        <w:t>MAMC</w:t>
      </w:r>
      <w:r w:rsidR="001C40EC" w:rsidRPr="00BD5733">
        <w:rPr>
          <w:color w:val="000000" w:themeColor="text1"/>
          <w:sz w:val="20"/>
          <w:szCs w:val="20"/>
        </w:rPr>
        <w:t xml:space="preserve"> </w:t>
      </w:r>
      <w:r w:rsidR="001C40EC" w:rsidRPr="00BD5733">
        <w:rPr>
          <w:sz w:val="20"/>
          <w:szCs w:val="20"/>
        </w:rPr>
        <w:t xml:space="preserve">to illustrate the role of </w:t>
      </w:r>
      <w:r w:rsidR="001C40EC" w:rsidRPr="00BE2690">
        <w:rPr>
          <w:sz w:val="20"/>
          <w:szCs w:val="20"/>
          <w:lang w:val="en-US"/>
        </w:rPr>
        <w:t>H</w:t>
      </w:r>
      <w:r w:rsidR="001C40EC" w:rsidRPr="00BD5733">
        <w:rPr>
          <w:sz w:val="20"/>
          <w:szCs w:val="20"/>
          <w:vertAlign w:val="subscript"/>
        </w:rPr>
        <w:t>2</w:t>
      </w:r>
      <w:r w:rsidR="001C40EC" w:rsidRPr="00BD5733">
        <w:rPr>
          <w:sz w:val="20"/>
          <w:szCs w:val="20"/>
        </w:rPr>
        <w:t>O</w:t>
      </w:r>
      <w:r w:rsidR="001C40EC" w:rsidRPr="00BD5733">
        <w:rPr>
          <w:color w:val="000000" w:themeColor="text1"/>
          <w:sz w:val="20"/>
          <w:szCs w:val="20"/>
          <w:lang w:val="en-US"/>
        </w:rPr>
        <w:t xml:space="preserve"> </w:t>
      </w:r>
      <w:r w:rsidR="001C40EC" w:rsidRPr="00BD5733">
        <w:rPr>
          <w:sz w:val="20"/>
          <w:szCs w:val="20"/>
        </w:rPr>
        <w:t xml:space="preserve">on the partial melting of metasedimentary rocks in the GTI. </w:t>
      </w:r>
      <w:r w:rsidR="001C40EC" w:rsidRPr="00BD5733">
        <w:rPr>
          <w:color w:val="000000" w:themeColor="text1"/>
          <w:sz w:val="20"/>
          <w:szCs w:val="20"/>
          <w:lang w:val="en-AU"/>
        </w:rPr>
        <w:t xml:space="preserve">The </w:t>
      </w:r>
      <w:r w:rsidR="001C40EC" w:rsidRPr="00BD5733">
        <w:rPr>
          <w:i/>
          <w:iCs/>
          <w:color w:val="000000" w:themeColor="text1"/>
          <w:sz w:val="20"/>
          <w:szCs w:val="20"/>
          <w:lang w:val="en-AU"/>
        </w:rPr>
        <w:t>T–X</w:t>
      </w:r>
      <w:r w:rsidR="001C40EC" w:rsidRPr="00BD5733">
        <w:rPr>
          <w:i/>
          <w:iCs/>
          <w:color w:val="000000" w:themeColor="text1"/>
          <w:sz w:val="20"/>
          <w:szCs w:val="20"/>
          <w:vertAlign w:val="subscript"/>
          <w:lang w:val="en-AU"/>
        </w:rPr>
        <w:t>H2O</w:t>
      </w:r>
      <w:r w:rsidR="001C40EC" w:rsidRPr="00BD5733">
        <w:rPr>
          <w:color w:val="000000" w:themeColor="text1"/>
          <w:sz w:val="20"/>
          <w:szCs w:val="20"/>
          <w:lang w:val="en-AU"/>
        </w:rPr>
        <w:t xml:space="preserve"> pseudosection used a composition that varied from </w:t>
      </w:r>
      <w:r w:rsidR="001C40EC">
        <w:rPr>
          <w:color w:val="000000" w:themeColor="text1"/>
          <w:sz w:val="20"/>
          <w:szCs w:val="20"/>
          <w:lang w:val="en-AU"/>
        </w:rPr>
        <w:t>a more dehydrated composition</w:t>
      </w:r>
      <w:r w:rsidR="001C40EC" w:rsidRPr="00BD5733">
        <w:rPr>
          <w:color w:val="000000" w:themeColor="text1"/>
          <w:sz w:val="20"/>
          <w:szCs w:val="20"/>
          <w:lang w:val="en-AU"/>
        </w:rPr>
        <w:t xml:space="preserve"> </w:t>
      </w:r>
      <w:r w:rsidR="001C40EC">
        <w:rPr>
          <w:color w:val="000000" w:themeColor="text1"/>
          <w:sz w:val="20"/>
          <w:szCs w:val="20"/>
          <w:lang w:val="en-AU"/>
        </w:rPr>
        <w:t xml:space="preserve">at </w:t>
      </w:r>
      <w:r w:rsidR="001C40EC" w:rsidRPr="00BD5733">
        <w:rPr>
          <w:i/>
          <w:iCs/>
          <w:color w:val="000000" w:themeColor="text1"/>
          <w:sz w:val="20"/>
          <w:szCs w:val="20"/>
          <w:lang w:val="en-AU"/>
        </w:rPr>
        <w:t>X</w:t>
      </w:r>
      <w:r w:rsidR="001C40EC" w:rsidRPr="00BD5733">
        <w:rPr>
          <w:color w:val="000000" w:themeColor="text1"/>
          <w:sz w:val="20"/>
          <w:szCs w:val="20"/>
          <w:lang w:val="en-AU"/>
        </w:rPr>
        <w:t xml:space="preserve">=0 </w:t>
      </w:r>
      <w:r w:rsidR="001C40EC">
        <w:rPr>
          <w:color w:val="000000" w:themeColor="text1"/>
          <w:sz w:val="20"/>
          <w:szCs w:val="20"/>
          <w:lang w:val="en-AU"/>
        </w:rPr>
        <w:t>with</w:t>
      </w:r>
      <w:r w:rsidR="001C40EC" w:rsidRPr="00BD5733">
        <w:rPr>
          <w:color w:val="000000" w:themeColor="text1"/>
          <w:sz w:val="20"/>
          <w:szCs w:val="20"/>
          <w:lang w:val="en-AU"/>
        </w:rPr>
        <w:t xml:space="preserve"> </w:t>
      </w:r>
      <w:r w:rsidR="001C40EC">
        <w:rPr>
          <w:color w:val="000000" w:themeColor="text1"/>
          <w:sz w:val="20"/>
          <w:szCs w:val="20"/>
          <w:lang w:val="en-AU"/>
        </w:rPr>
        <w:t>0.51</w:t>
      </w:r>
      <w:r w:rsidR="001C40EC" w:rsidRPr="00BD5733">
        <w:rPr>
          <w:color w:val="000000" w:themeColor="text1"/>
          <w:sz w:val="20"/>
          <w:szCs w:val="20"/>
          <w:lang w:val="en-AU"/>
        </w:rPr>
        <w:t xml:space="preserve"> wt% H</w:t>
      </w:r>
      <w:r w:rsidR="001C40EC" w:rsidRPr="00BD5733">
        <w:rPr>
          <w:color w:val="000000" w:themeColor="text1"/>
          <w:sz w:val="20"/>
          <w:szCs w:val="20"/>
          <w:vertAlign w:val="subscript"/>
          <w:lang w:val="en-AU"/>
        </w:rPr>
        <w:t>2</w:t>
      </w:r>
      <w:r w:rsidR="001C40EC" w:rsidRPr="00BD5733">
        <w:rPr>
          <w:color w:val="000000" w:themeColor="text1"/>
          <w:sz w:val="20"/>
          <w:szCs w:val="20"/>
          <w:lang w:val="en-AU"/>
        </w:rPr>
        <w:t>O (</w:t>
      </w:r>
      <w:r w:rsidR="001C40EC">
        <w:rPr>
          <w:color w:val="000000" w:themeColor="text1"/>
          <w:sz w:val="20"/>
          <w:szCs w:val="20"/>
          <w:lang w:val="en-AU"/>
        </w:rPr>
        <w:t xml:space="preserve">1.89 </w:t>
      </w:r>
      <w:r w:rsidR="001C40EC" w:rsidRPr="00BD5733">
        <w:rPr>
          <w:color w:val="000000" w:themeColor="text1"/>
          <w:sz w:val="20"/>
          <w:szCs w:val="20"/>
          <w:lang w:val="en-AU"/>
        </w:rPr>
        <w:t xml:space="preserve">mol%) to </w:t>
      </w:r>
      <w:r w:rsidR="001C40EC" w:rsidRPr="00BD5733">
        <w:rPr>
          <w:i/>
          <w:iCs/>
          <w:color w:val="000000" w:themeColor="text1"/>
          <w:sz w:val="20"/>
          <w:szCs w:val="20"/>
          <w:lang w:val="en-AU"/>
        </w:rPr>
        <w:t>X</w:t>
      </w:r>
      <w:r w:rsidR="001C40EC" w:rsidRPr="00BD5733">
        <w:rPr>
          <w:color w:val="000000" w:themeColor="text1"/>
          <w:sz w:val="20"/>
          <w:szCs w:val="20"/>
          <w:lang w:val="en-AU"/>
        </w:rPr>
        <w:t xml:space="preserve">=1 </w:t>
      </w:r>
      <w:r w:rsidR="001C40EC">
        <w:rPr>
          <w:color w:val="000000" w:themeColor="text1"/>
          <w:sz w:val="20"/>
          <w:szCs w:val="20"/>
          <w:lang w:val="en-AU"/>
        </w:rPr>
        <w:t>with</w:t>
      </w:r>
      <w:r w:rsidR="001C40EC" w:rsidRPr="00BD5733">
        <w:rPr>
          <w:color w:val="000000" w:themeColor="text1"/>
          <w:sz w:val="20"/>
          <w:szCs w:val="20"/>
          <w:lang w:val="en-AU"/>
        </w:rPr>
        <w:t xml:space="preserve"> 2.</w:t>
      </w:r>
      <w:r w:rsidR="001C40EC">
        <w:rPr>
          <w:color w:val="000000" w:themeColor="text1"/>
          <w:sz w:val="20"/>
          <w:szCs w:val="20"/>
          <w:lang w:val="en-AU"/>
        </w:rPr>
        <w:t>11</w:t>
      </w:r>
      <w:r w:rsidR="001C40EC" w:rsidRPr="00BD5733">
        <w:rPr>
          <w:color w:val="000000" w:themeColor="text1"/>
          <w:sz w:val="20"/>
          <w:szCs w:val="20"/>
          <w:lang w:val="en-AU"/>
        </w:rPr>
        <w:t xml:space="preserve"> wt% (</w:t>
      </w:r>
      <w:r w:rsidR="001C40EC" w:rsidRPr="00BD5733">
        <w:rPr>
          <w:color w:val="000000" w:themeColor="text1"/>
          <w:sz w:val="20"/>
          <w:szCs w:val="20"/>
        </w:rPr>
        <w:t>7.</w:t>
      </w:r>
      <w:r w:rsidR="001C40EC">
        <w:rPr>
          <w:color w:val="000000" w:themeColor="text1"/>
          <w:sz w:val="20"/>
          <w:szCs w:val="20"/>
        </w:rPr>
        <w:t>45</w:t>
      </w:r>
      <w:r w:rsidR="001C40EC" w:rsidRPr="00BD5733">
        <w:rPr>
          <w:color w:val="000000" w:themeColor="text1"/>
          <w:sz w:val="20"/>
          <w:szCs w:val="20"/>
          <w:lang w:val="en-AU"/>
        </w:rPr>
        <w:t xml:space="preserve"> mol%) </w:t>
      </w:r>
      <w:r w:rsidR="001C40EC">
        <w:rPr>
          <w:color w:val="000000" w:themeColor="text1"/>
          <w:sz w:val="20"/>
          <w:szCs w:val="20"/>
          <w:lang w:val="en-AU"/>
        </w:rPr>
        <w:t>that</w:t>
      </w:r>
      <w:r w:rsidR="001C40EC" w:rsidRPr="00BD5733">
        <w:rPr>
          <w:color w:val="000000" w:themeColor="text1"/>
          <w:sz w:val="20"/>
          <w:szCs w:val="20"/>
          <w:lang w:val="en-AU"/>
        </w:rPr>
        <w:t xml:space="preserve"> corresponds to </w:t>
      </w:r>
      <w:r w:rsidR="001C40EC">
        <w:rPr>
          <w:color w:val="000000" w:themeColor="text1"/>
          <w:sz w:val="20"/>
          <w:szCs w:val="20"/>
          <w:lang w:val="en-AU"/>
        </w:rPr>
        <w:t>the</w:t>
      </w:r>
      <w:r w:rsidR="001C40EC" w:rsidRPr="00BD5733">
        <w:rPr>
          <w:color w:val="000000" w:themeColor="text1"/>
          <w:sz w:val="20"/>
          <w:szCs w:val="20"/>
          <w:lang w:val="en-AU"/>
        </w:rPr>
        <w:t xml:space="preserve"> </w:t>
      </w:r>
      <w:r w:rsidR="001C40EC">
        <w:rPr>
          <w:color w:val="000000" w:themeColor="text1"/>
          <w:sz w:val="20"/>
          <w:szCs w:val="20"/>
          <w:lang w:val="en-AU"/>
        </w:rPr>
        <w:t>MAMC</w:t>
      </w:r>
      <w:r w:rsidR="001C40EC" w:rsidRPr="00BD5733">
        <w:rPr>
          <w:color w:val="000000" w:themeColor="text1"/>
          <w:sz w:val="20"/>
          <w:szCs w:val="20"/>
          <w:lang w:val="en-AU"/>
        </w:rPr>
        <w:t xml:space="preserve"> </w:t>
      </w:r>
      <w:r w:rsidR="001C40EC" w:rsidRPr="00BD5733">
        <w:rPr>
          <w:color w:val="2F5496" w:themeColor="accent1" w:themeShade="BF"/>
          <w:sz w:val="20"/>
          <w:szCs w:val="20"/>
          <w:lang w:val="en-AU"/>
        </w:rPr>
        <w:t xml:space="preserve">(see Table </w:t>
      </w:r>
      <w:r w:rsidR="001C40EC">
        <w:rPr>
          <w:color w:val="2F5496" w:themeColor="accent1" w:themeShade="BF"/>
          <w:sz w:val="20"/>
          <w:szCs w:val="20"/>
          <w:lang w:val="en-AU"/>
        </w:rPr>
        <w:t>1</w:t>
      </w:r>
      <w:r w:rsidR="001C40EC" w:rsidRPr="00BD5733">
        <w:rPr>
          <w:color w:val="2F5496" w:themeColor="accent1" w:themeShade="BF"/>
          <w:sz w:val="20"/>
          <w:szCs w:val="20"/>
          <w:lang w:val="en-AU"/>
        </w:rPr>
        <w:t>)</w:t>
      </w:r>
      <w:r w:rsidR="001C40EC" w:rsidRPr="00BD5733">
        <w:rPr>
          <w:color w:val="000000" w:themeColor="text1"/>
          <w:sz w:val="20"/>
          <w:szCs w:val="20"/>
          <w:lang w:val="en-AU"/>
        </w:rPr>
        <w:t xml:space="preserve">. The composition of the </w:t>
      </w:r>
      <w:r w:rsidR="001C40EC">
        <w:rPr>
          <w:color w:val="000000" w:themeColor="text1"/>
          <w:sz w:val="20"/>
          <w:szCs w:val="20"/>
          <w:lang w:val="en-AU"/>
        </w:rPr>
        <w:t>MAMC</w:t>
      </w:r>
      <w:r w:rsidR="001C40EC" w:rsidRPr="00BD5733">
        <w:rPr>
          <w:color w:val="000000" w:themeColor="text1"/>
          <w:sz w:val="20"/>
          <w:szCs w:val="20"/>
          <w:lang w:val="en-AU"/>
        </w:rPr>
        <w:t xml:space="preserve"> </w:t>
      </w:r>
      <w:r w:rsidR="001C40EC" w:rsidRPr="00BD5733">
        <w:rPr>
          <w:i/>
          <w:iCs/>
          <w:color w:val="000000" w:themeColor="text1"/>
          <w:sz w:val="20"/>
          <w:szCs w:val="20"/>
          <w:lang w:val="en-AU"/>
        </w:rPr>
        <w:t>P–T</w:t>
      </w:r>
      <w:r w:rsidR="001C40EC" w:rsidRPr="00BD5733">
        <w:rPr>
          <w:color w:val="000000" w:themeColor="text1"/>
          <w:sz w:val="20"/>
          <w:szCs w:val="20"/>
          <w:lang w:val="en-AU"/>
        </w:rPr>
        <w:t xml:space="preserve"> pseudosection corresponds to </w:t>
      </w:r>
      <w:r w:rsidR="001C40EC" w:rsidRPr="00BD5733">
        <w:rPr>
          <w:i/>
          <w:iCs/>
          <w:color w:val="000000" w:themeColor="text1"/>
          <w:sz w:val="20"/>
          <w:szCs w:val="20"/>
          <w:lang w:val="en-AU"/>
        </w:rPr>
        <w:t>X</w:t>
      </w:r>
      <w:r w:rsidR="001C40EC" w:rsidRPr="00BD5733">
        <w:rPr>
          <w:color w:val="000000" w:themeColor="text1"/>
          <w:sz w:val="20"/>
          <w:szCs w:val="20"/>
          <w:lang w:val="en-AU"/>
        </w:rPr>
        <w:t>=</w:t>
      </w:r>
      <w:r w:rsidR="001C40EC">
        <w:rPr>
          <w:color w:val="000000" w:themeColor="text1"/>
          <w:sz w:val="20"/>
          <w:szCs w:val="20"/>
          <w:lang w:val="en-AU"/>
        </w:rPr>
        <w:t>1</w:t>
      </w:r>
      <w:r w:rsidR="001C40EC" w:rsidRPr="00BD5733">
        <w:rPr>
          <w:color w:val="000000" w:themeColor="text1"/>
          <w:sz w:val="20"/>
          <w:szCs w:val="20"/>
          <w:lang w:val="en-AU"/>
        </w:rPr>
        <w:t xml:space="preserve"> (2.1</w:t>
      </w:r>
      <w:r w:rsidR="001C40EC">
        <w:rPr>
          <w:color w:val="000000" w:themeColor="text1"/>
          <w:sz w:val="20"/>
          <w:szCs w:val="20"/>
          <w:lang w:val="en-AU"/>
        </w:rPr>
        <w:t>1</w:t>
      </w:r>
      <w:r w:rsidR="001C40EC" w:rsidRPr="00BD5733">
        <w:rPr>
          <w:color w:val="000000" w:themeColor="text1"/>
          <w:sz w:val="20"/>
          <w:szCs w:val="20"/>
          <w:lang w:val="en-AU"/>
        </w:rPr>
        <w:t xml:space="preserve"> wt%) within the </w:t>
      </w:r>
      <w:r w:rsidR="001C40EC" w:rsidRPr="00BD5733">
        <w:rPr>
          <w:i/>
          <w:iCs/>
          <w:color w:val="000000" w:themeColor="text1"/>
          <w:sz w:val="20"/>
          <w:szCs w:val="20"/>
          <w:lang w:val="en-AU"/>
        </w:rPr>
        <w:t>T–X</w:t>
      </w:r>
      <w:r w:rsidR="001C40EC" w:rsidRPr="00BD5733">
        <w:rPr>
          <w:i/>
          <w:iCs/>
          <w:color w:val="000000" w:themeColor="text1"/>
          <w:sz w:val="20"/>
          <w:szCs w:val="20"/>
          <w:vertAlign w:val="subscript"/>
          <w:lang w:val="en-AU"/>
        </w:rPr>
        <w:t>H2O</w:t>
      </w:r>
      <w:r w:rsidR="001C40EC" w:rsidRPr="00BD5733">
        <w:rPr>
          <w:i/>
          <w:iCs/>
          <w:color w:val="000000" w:themeColor="text1"/>
          <w:sz w:val="20"/>
          <w:szCs w:val="20"/>
          <w:lang w:val="en-AU"/>
        </w:rPr>
        <w:t xml:space="preserve"> </w:t>
      </w:r>
      <w:r w:rsidR="001C40EC" w:rsidRPr="00BD5733">
        <w:rPr>
          <w:color w:val="000000" w:themeColor="text1"/>
          <w:sz w:val="20"/>
          <w:szCs w:val="20"/>
          <w:lang w:val="en-AU"/>
        </w:rPr>
        <w:t>pseudosection.</w:t>
      </w:r>
    </w:p>
    <w:p w14:paraId="441A0A27" w14:textId="77777777" w:rsidR="00A3057F" w:rsidRPr="00BD5733" w:rsidRDefault="00A3057F" w:rsidP="00BC68DD">
      <w:pPr>
        <w:tabs>
          <w:tab w:val="left" w:pos="0"/>
        </w:tabs>
        <w:spacing w:line="480" w:lineRule="auto"/>
        <w:jc w:val="both"/>
        <w:rPr>
          <w:sz w:val="20"/>
          <w:szCs w:val="20"/>
        </w:rPr>
      </w:pPr>
      <w:r w:rsidRPr="00BD5733">
        <w:rPr>
          <w:sz w:val="20"/>
          <w:szCs w:val="20"/>
        </w:rPr>
        <w:tab/>
        <w:t xml:space="preserve">Compositional </w:t>
      </w:r>
      <w:r w:rsidRPr="00BD5733">
        <w:rPr>
          <w:sz w:val="20"/>
          <w:szCs w:val="20"/>
          <w:lang w:val="en-US"/>
        </w:rPr>
        <w:t xml:space="preserve">and modal </w:t>
      </w:r>
      <w:r w:rsidRPr="00BD5733">
        <w:rPr>
          <w:sz w:val="20"/>
          <w:szCs w:val="20"/>
        </w:rPr>
        <w:t xml:space="preserve">isopleths were calculated using TCInvestigator </w:t>
      </w:r>
      <w:r w:rsidRPr="00BD5733">
        <w:rPr>
          <w:noProof/>
          <w:color w:val="2F5496" w:themeColor="accent1" w:themeShade="BF"/>
          <w:sz w:val="20"/>
          <w:szCs w:val="20"/>
        </w:rPr>
        <w:t>(Pearce et al. 2015)</w:t>
      </w:r>
      <w:r w:rsidRPr="00BD5733">
        <w:rPr>
          <w:sz w:val="20"/>
          <w:szCs w:val="20"/>
        </w:rPr>
        <w:t xml:space="preserve"> to estimate the percentage of melt fraction and water content at the chosen </w:t>
      </w:r>
      <w:r w:rsidRPr="00BD5733">
        <w:rPr>
          <w:i/>
          <w:iCs/>
          <w:sz w:val="20"/>
          <w:szCs w:val="20"/>
        </w:rPr>
        <w:t>P–T–</w:t>
      </w:r>
      <w:r w:rsidRPr="00BD5733">
        <w:rPr>
          <w:i/>
          <w:iCs/>
          <w:sz w:val="20"/>
          <w:szCs w:val="20"/>
          <w:lang w:val="en-US"/>
        </w:rPr>
        <w:t>X</w:t>
      </w:r>
      <w:r w:rsidRPr="00BD5733">
        <w:rPr>
          <w:sz w:val="20"/>
          <w:szCs w:val="20"/>
        </w:rPr>
        <w:t xml:space="preserve"> conditions. </w:t>
      </w:r>
    </w:p>
    <w:p w14:paraId="36044D7D" w14:textId="1FB63AF3" w:rsidR="00A3057F" w:rsidRPr="00BD5733" w:rsidRDefault="00A3057F" w:rsidP="00BC68DD">
      <w:pPr>
        <w:tabs>
          <w:tab w:val="left" w:pos="0"/>
        </w:tabs>
        <w:spacing w:line="480" w:lineRule="auto"/>
        <w:jc w:val="both"/>
        <w:rPr>
          <w:sz w:val="20"/>
          <w:szCs w:val="20"/>
        </w:rPr>
      </w:pPr>
      <w:r w:rsidRPr="00BD5733">
        <w:rPr>
          <w:sz w:val="20"/>
          <w:szCs w:val="20"/>
        </w:rPr>
        <w:tab/>
        <w:t xml:space="preserve">Using </w:t>
      </w:r>
      <w:r w:rsidR="00D3430D">
        <w:rPr>
          <w:sz w:val="20"/>
          <w:szCs w:val="20"/>
        </w:rPr>
        <w:t xml:space="preserve">the temperature intervals established in the </w:t>
      </w:r>
      <w:r w:rsidR="00D3430D" w:rsidRPr="00BD5733">
        <w:rPr>
          <w:i/>
          <w:iCs/>
          <w:sz w:val="20"/>
          <w:szCs w:val="20"/>
        </w:rPr>
        <w:t>P–T</w:t>
      </w:r>
      <w:r w:rsidR="00D3430D" w:rsidRPr="00BD5733">
        <w:rPr>
          <w:sz w:val="20"/>
          <w:szCs w:val="20"/>
        </w:rPr>
        <w:t xml:space="preserve"> </w:t>
      </w:r>
      <w:r w:rsidR="00D3430D">
        <w:rPr>
          <w:sz w:val="20"/>
          <w:szCs w:val="20"/>
        </w:rPr>
        <w:t>pseudosections</w:t>
      </w:r>
      <w:r w:rsidRPr="00BD5733">
        <w:rPr>
          <w:sz w:val="20"/>
          <w:szCs w:val="20"/>
        </w:rPr>
        <w:t xml:space="preserve">, zirconium contents of the modelled melts were calculated using the calibration of </w:t>
      </w:r>
      <w:r w:rsidRPr="00BD5733">
        <w:rPr>
          <w:noProof/>
          <w:color w:val="2F5496" w:themeColor="accent1" w:themeShade="BF"/>
          <w:sz w:val="20"/>
          <w:szCs w:val="20"/>
        </w:rPr>
        <w:t>Boehnke et al. (2013)</w:t>
      </w:r>
      <w:r w:rsidRPr="00BD5733">
        <w:rPr>
          <w:sz w:val="20"/>
          <w:szCs w:val="20"/>
        </w:rPr>
        <w:t xml:space="preserve">. Major element compositions of modelled </w:t>
      </w:r>
      <w:r w:rsidRPr="00BD5733">
        <w:rPr>
          <w:color w:val="000000" w:themeColor="text1"/>
          <w:sz w:val="20"/>
          <w:szCs w:val="20"/>
        </w:rPr>
        <w:t xml:space="preserve">primary melts </w:t>
      </w:r>
      <w:r w:rsidRPr="00BD5733">
        <w:rPr>
          <w:sz w:val="20"/>
          <w:szCs w:val="20"/>
        </w:rPr>
        <w:t xml:space="preserve">are compared with those of the Georgetown Inlier S-type granites in </w:t>
      </w:r>
      <w:r w:rsidRPr="00BD5733">
        <w:rPr>
          <w:bCs/>
          <w:color w:val="2F5496" w:themeColor="accent1" w:themeShade="BF"/>
          <w:sz w:val="20"/>
          <w:szCs w:val="20"/>
          <w:lang w:val="en-US"/>
        </w:rPr>
        <w:t xml:space="preserve">Fig. </w:t>
      </w:r>
      <w:r>
        <w:rPr>
          <w:bCs/>
          <w:color w:val="2F5496" w:themeColor="accent1" w:themeShade="BF"/>
          <w:sz w:val="20"/>
          <w:szCs w:val="20"/>
          <w:lang w:val="en-US"/>
        </w:rPr>
        <w:t>4</w:t>
      </w:r>
      <w:r w:rsidRPr="00BD5733">
        <w:rPr>
          <w:sz w:val="20"/>
          <w:szCs w:val="20"/>
        </w:rPr>
        <w:t>.</w:t>
      </w:r>
    </w:p>
    <w:p w14:paraId="5E1D8DA6" w14:textId="77777777" w:rsidR="00A3057F" w:rsidRDefault="00A3057F"/>
    <w:p w14:paraId="7C9B2DFF" w14:textId="7B76EDCF" w:rsidR="00A3057F" w:rsidRPr="007C1BB9" w:rsidRDefault="00AC361B" w:rsidP="007C1BB9">
      <w:pPr>
        <w:tabs>
          <w:tab w:val="left" w:pos="0"/>
        </w:tabs>
        <w:spacing w:line="480" w:lineRule="auto"/>
        <w:ind w:left="360"/>
        <w:jc w:val="center"/>
        <w:rPr>
          <w:b/>
          <w:sz w:val="22"/>
          <w:szCs w:val="22"/>
        </w:rPr>
      </w:pPr>
      <w:r>
        <w:rPr>
          <w:b/>
          <w:noProof/>
          <w:sz w:val="22"/>
          <w:szCs w:val="22"/>
        </w:rPr>
        <w:drawing>
          <wp:inline distT="0" distB="0" distL="0" distR="0" wp14:anchorId="02EBC92E" wp14:editId="7373AA63">
            <wp:extent cx="4474210" cy="38125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cstate="print">
                      <a:extLst>
                        <a:ext uri="{28A0092B-C50C-407E-A947-70E740481C1C}">
                          <a14:useLocalDpi xmlns:a14="http://schemas.microsoft.com/office/drawing/2010/main" val="0"/>
                        </a:ext>
                      </a:extLst>
                    </a:blip>
                    <a:srcRect l="2945" t="1571" r="6726" b="10393"/>
                    <a:stretch/>
                  </pic:blipFill>
                  <pic:spPr bwMode="auto">
                    <a:xfrm>
                      <a:off x="0" y="0"/>
                      <a:ext cx="4475738" cy="3813884"/>
                    </a:xfrm>
                    <a:prstGeom prst="rect">
                      <a:avLst/>
                    </a:prstGeom>
                    <a:ln>
                      <a:noFill/>
                    </a:ln>
                    <a:extLst>
                      <a:ext uri="{53640926-AAD7-44D8-BBD7-CCE9431645EC}">
                        <a14:shadowObscured xmlns:a14="http://schemas.microsoft.com/office/drawing/2010/main"/>
                      </a:ext>
                    </a:extLst>
                  </pic:spPr>
                </pic:pic>
              </a:graphicData>
            </a:graphic>
          </wp:inline>
        </w:drawing>
      </w:r>
    </w:p>
    <w:p w14:paraId="6840813A" w14:textId="50E9AE3D" w:rsidR="00A3057F" w:rsidRPr="00BE027C" w:rsidRDefault="00A3057F" w:rsidP="00BE027C">
      <w:pPr>
        <w:tabs>
          <w:tab w:val="left" w:pos="0"/>
        </w:tabs>
        <w:spacing w:line="480" w:lineRule="auto"/>
        <w:ind w:left="360"/>
        <w:jc w:val="both"/>
        <w:rPr>
          <w:b/>
          <w:sz w:val="22"/>
          <w:szCs w:val="22"/>
        </w:rPr>
      </w:pPr>
      <w:r w:rsidRPr="007C1BB9">
        <w:rPr>
          <w:b/>
          <w:bCs/>
          <w:sz w:val="20"/>
          <w:szCs w:val="20"/>
        </w:rPr>
        <w:t>Fig. S1</w:t>
      </w:r>
      <w:r>
        <w:rPr>
          <w:sz w:val="20"/>
          <w:szCs w:val="20"/>
        </w:rPr>
        <w:t xml:space="preserve"> </w:t>
      </w:r>
      <w:r w:rsidRPr="00BE027C">
        <w:rPr>
          <w:sz w:val="20"/>
          <w:szCs w:val="20"/>
        </w:rPr>
        <w:t xml:space="preserve">Cathodoluminescence electron microprobe images of zircon grains separated from the studied samples and analysed with SHRIMP. The location of the analytical spots is indicated within each grain as well as the name (and </w:t>
      </w:r>
      <w:r w:rsidRPr="00BE027C">
        <w:rPr>
          <w:sz w:val="20"/>
          <w:szCs w:val="20"/>
          <w:vertAlign w:val="superscript"/>
        </w:rPr>
        <w:t>207</w:t>
      </w:r>
      <w:r w:rsidRPr="00BE027C">
        <w:rPr>
          <w:sz w:val="20"/>
          <w:szCs w:val="20"/>
        </w:rPr>
        <w:t>Pb/</w:t>
      </w:r>
      <w:r w:rsidRPr="00BE027C">
        <w:rPr>
          <w:sz w:val="20"/>
          <w:szCs w:val="20"/>
          <w:vertAlign w:val="superscript"/>
        </w:rPr>
        <w:t>206</w:t>
      </w:r>
      <w:r w:rsidRPr="00BE027C">
        <w:rPr>
          <w:sz w:val="20"/>
          <w:szCs w:val="20"/>
        </w:rPr>
        <w:t>Pb age for each SHRIMP spot)</w:t>
      </w:r>
    </w:p>
    <w:p w14:paraId="5F7D8F00" w14:textId="15ECC752" w:rsidR="00A3057F" w:rsidRPr="002B421B" w:rsidRDefault="00AC361B" w:rsidP="00D031B9">
      <w:pPr>
        <w:pStyle w:val="ListParagraph"/>
        <w:tabs>
          <w:tab w:val="left" w:pos="0"/>
        </w:tabs>
        <w:spacing w:line="480" w:lineRule="auto"/>
        <w:jc w:val="both"/>
        <w:rPr>
          <w:b/>
          <w:sz w:val="22"/>
          <w:szCs w:val="22"/>
          <w:highlight w:val="yellow"/>
        </w:rPr>
      </w:pPr>
      <w:r>
        <w:rPr>
          <w:b/>
          <w:noProof/>
          <w:sz w:val="22"/>
          <w:szCs w:val="22"/>
        </w:rPr>
        <w:lastRenderedPageBreak/>
        <w:drawing>
          <wp:inline distT="0" distB="0" distL="0" distR="0" wp14:anchorId="638DA726" wp14:editId="770CD25E">
            <wp:extent cx="5067824" cy="51577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7824" cy="5157786"/>
                    </a:xfrm>
                    <a:prstGeom prst="rect">
                      <a:avLst/>
                    </a:prstGeom>
                  </pic:spPr>
                </pic:pic>
              </a:graphicData>
            </a:graphic>
          </wp:inline>
        </w:drawing>
      </w:r>
    </w:p>
    <w:p w14:paraId="6EE3EB42" w14:textId="0D2785E1" w:rsidR="00A3057F" w:rsidRDefault="00A3057F" w:rsidP="00BE027C">
      <w:pPr>
        <w:tabs>
          <w:tab w:val="left" w:pos="0"/>
        </w:tabs>
        <w:spacing w:line="480" w:lineRule="auto"/>
        <w:ind w:left="360"/>
        <w:jc w:val="both"/>
        <w:rPr>
          <w:sz w:val="20"/>
          <w:szCs w:val="20"/>
        </w:rPr>
      </w:pPr>
      <w:r w:rsidRPr="00D62E64">
        <w:rPr>
          <w:b/>
          <w:bCs/>
          <w:sz w:val="20"/>
          <w:szCs w:val="20"/>
        </w:rPr>
        <w:t>Fig. S2</w:t>
      </w:r>
      <w:r w:rsidRPr="00D62E64">
        <w:rPr>
          <w:sz w:val="20"/>
          <w:szCs w:val="20"/>
        </w:rPr>
        <w:t xml:space="preserve"> </w:t>
      </w:r>
      <w:r w:rsidR="00B33CCF" w:rsidRPr="00D62E64">
        <w:rPr>
          <w:sz w:val="20"/>
          <w:szCs w:val="20"/>
        </w:rPr>
        <w:t xml:space="preserve">Backscattered electron images of eight monazite grains that were separated and analysed with SHRIMP. </w:t>
      </w:r>
      <w:r w:rsidR="00B33CCF" w:rsidRPr="00D62E64">
        <w:rPr>
          <w:sz w:val="20"/>
          <w:szCs w:val="20"/>
        </w:rPr>
        <w:t xml:space="preserve">The location of the analytical spots is indicated within each grain as well as the name (and </w:t>
      </w:r>
      <w:r w:rsidR="00B33CCF" w:rsidRPr="00D62E64">
        <w:rPr>
          <w:sz w:val="20"/>
          <w:szCs w:val="20"/>
          <w:vertAlign w:val="superscript"/>
        </w:rPr>
        <w:t>207</w:t>
      </w:r>
      <w:r w:rsidR="00B33CCF" w:rsidRPr="00D62E64">
        <w:rPr>
          <w:sz w:val="20"/>
          <w:szCs w:val="20"/>
        </w:rPr>
        <w:t>Pb/</w:t>
      </w:r>
      <w:r w:rsidR="00B33CCF" w:rsidRPr="00D62E64">
        <w:rPr>
          <w:sz w:val="20"/>
          <w:szCs w:val="20"/>
          <w:vertAlign w:val="superscript"/>
        </w:rPr>
        <w:t>206</w:t>
      </w:r>
      <w:r w:rsidR="00B33CCF" w:rsidRPr="00D62E64">
        <w:rPr>
          <w:sz w:val="20"/>
          <w:szCs w:val="20"/>
        </w:rPr>
        <w:t>Pb age for each SHRIMP spot)</w:t>
      </w:r>
    </w:p>
    <w:p w14:paraId="3C1B5570" w14:textId="77777777" w:rsidR="00AC361B" w:rsidRPr="00BE027C" w:rsidRDefault="00AC361B" w:rsidP="00BE027C">
      <w:pPr>
        <w:tabs>
          <w:tab w:val="left" w:pos="0"/>
        </w:tabs>
        <w:spacing w:line="480" w:lineRule="auto"/>
        <w:ind w:left="360"/>
        <w:jc w:val="both"/>
        <w:rPr>
          <w:b/>
          <w:sz w:val="22"/>
          <w:szCs w:val="22"/>
        </w:rPr>
      </w:pPr>
    </w:p>
    <w:p w14:paraId="33CA7E95" w14:textId="64CA5FD9" w:rsidR="00AC361B" w:rsidRDefault="00AC361B" w:rsidP="00B33CCF">
      <w:pPr>
        <w:tabs>
          <w:tab w:val="left" w:pos="0"/>
        </w:tabs>
        <w:spacing w:line="480" w:lineRule="auto"/>
        <w:ind w:left="360"/>
        <w:jc w:val="both"/>
        <w:rPr>
          <w:b/>
          <w:bCs/>
          <w:sz w:val="20"/>
          <w:szCs w:val="20"/>
          <w:highlight w:val="yellow"/>
        </w:rPr>
      </w:pPr>
      <w:r>
        <w:rPr>
          <w:b/>
          <w:bCs/>
          <w:noProof/>
          <w:sz w:val="20"/>
          <w:szCs w:val="20"/>
        </w:rPr>
        <w:drawing>
          <wp:inline distT="0" distB="0" distL="0" distR="0" wp14:anchorId="42CBF2E8" wp14:editId="0065A302">
            <wp:extent cx="5726906" cy="1762125"/>
            <wp:effectExtent l="0" t="0" r="127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6906" cy="1762125"/>
                    </a:xfrm>
                    <a:prstGeom prst="rect">
                      <a:avLst/>
                    </a:prstGeom>
                  </pic:spPr>
                </pic:pic>
              </a:graphicData>
            </a:graphic>
          </wp:inline>
        </w:drawing>
      </w:r>
    </w:p>
    <w:p w14:paraId="0CDA10A2" w14:textId="08E42776" w:rsidR="00B33CCF" w:rsidRDefault="00B33CCF" w:rsidP="00B33CCF">
      <w:pPr>
        <w:tabs>
          <w:tab w:val="left" w:pos="0"/>
        </w:tabs>
        <w:spacing w:line="480" w:lineRule="auto"/>
        <w:ind w:left="360"/>
        <w:jc w:val="both"/>
        <w:rPr>
          <w:sz w:val="20"/>
          <w:szCs w:val="20"/>
        </w:rPr>
      </w:pPr>
      <w:r w:rsidRPr="009F03FC">
        <w:rPr>
          <w:b/>
          <w:bCs/>
          <w:sz w:val="20"/>
          <w:szCs w:val="20"/>
        </w:rPr>
        <w:t>Fig. S3</w:t>
      </w:r>
      <w:r w:rsidRPr="009F03FC">
        <w:rPr>
          <w:sz w:val="20"/>
          <w:szCs w:val="20"/>
        </w:rPr>
        <w:t xml:space="preserve"> Chondrite-normalised REE patterns for all the analysed samples: (a) zircon, (b) monazite</w:t>
      </w:r>
    </w:p>
    <w:p w14:paraId="3C271872" w14:textId="3B9BFEE9" w:rsidR="00AC361B" w:rsidRDefault="00AC361B">
      <w:pPr>
        <w:tabs>
          <w:tab w:val="left" w:pos="0"/>
        </w:tabs>
        <w:spacing w:line="480" w:lineRule="auto"/>
        <w:ind w:left="360"/>
        <w:jc w:val="both"/>
        <w:rPr>
          <w:b/>
          <w:bCs/>
          <w:sz w:val="20"/>
          <w:szCs w:val="20"/>
          <w:highlight w:val="yellow"/>
        </w:rPr>
      </w:pPr>
      <w:r>
        <w:rPr>
          <w:b/>
          <w:bCs/>
          <w:noProof/>
          <w:sz w:val="20"/>
          <w:szCs w:val="20"/>
        </w:rPr>
        <w:lastRenderedPageBreak/>
        <w:drawing>
          <wp:inline distT="0" distB="0" distL="0" distR="0" wp14:anchorId="6A8F1160" wp14:editId="387946C1">
            <wp:extent cx="3294277" cy="322171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4277" cy="3221716"/>
                    </a:xfrm>
                    <a:prstGeom prst="rect">
                      <a:avLst/>
                    </a:prstGeom>
                  </pic:spPr>
                </pic:pic>
              </a:graphicData>
            </a:graphic>
          </wp:inline>
        </w:drawing>
      </w:r>
    </w:p>
    <w:p w14:paraId="6B215E45" w14:textId="2747DF52" w:rsidR="00B33CCF" w:rsidRPr="00BD5733" w:rsidRDefault="00B33CCF" w:rsidP="009F03FC">
      <w:pPr>
        <w:tabs>
          <w:tab w:val="left" w:pos="0"/>
        </w:tabs>
        <w:spacing w:line="480" w:lineRule="auto"/>
        <w:ind w:left="360"/>
        <w:jc w:val="both"/>
        <w:rPr>
          <w:sz w:val="20"/>
          <w:szCs w:val="20"/>
        </w:rPr>
      </w:pPr>
      <w:r w:rsidRPr="009F03FC">
        <w:rPr>
          <w:b/>
          <w:bCs/>
          <w:sz w:val="20"/>
          <w:szCs w:val="20"/>
        </w:rPr>
        <w:t>Fig. S</w:t>
      </w:r>
      <w:r w:rsidRPr="00D62E64">
        <w:rPr>
          <w:b/>
          <w:bCs/>
          <w:sz w:val="20"/>
          <w:szCs w:val="20"/>
        </w:rPr>
        <w:t>4</w:t>
      </w:r>
      <w:r w:rsidRPr="00EA6FBB">
        <w:rPr>
          <w:sz w:val="20"/>
          <w:szCs w:val="20"/>
        </w:rPr>
        <w:t xml:space="preserve"> </w:t>
      </w:r>
      <w:r w:rsidRPr="00EA6FBB">
        <w:rPr>
          <w:i/>
          <w:sz w:val="20"/>
          <w:szCs w:val="20"/>
        </w:rPr>
        <w:t>P–T</w:t>
      </w:r>
      <w:r w:rsidRPr="00EA6FBB">
        <w:rPr>
          <w:iCs/>
          <w:sz w:val="20"/>
          <w:szCs w:val="20"/>
        </w:rPr>
        <w:t xml:space="preserve"> pseudosections</w:t>
      </w:r>
      <w:r>
        <w:rPr>
          <w:i/>
          <w:sz w:val="20"/>
          <w:szCs w:val="20"/>
        </w:rPr>
        <w:t xml:space="preserve"> </w:t>
      </w:r>
      <w:r>
        <w:rPr>
          <w:sz w:val="20"/>
          <w:szCs w:val="20"/>
        </w:rPr>
        <w:t xml:space="preserve">for the </w:t>
      </w:r>
      <w:r w:rsidRPr="00BD5733">
        <w:rPr>
          <w:sz w:val="20"/>
          <w:szCs w:val="20"/>
        </w:rPr>
        <w:t xml:space="preserve">Migmatitic </w:t>
      </w:r>
      <w:r>
        <w:rPr>
          <w:sz w:val="20"/>
          <w:szCs w:val="20"/>
        </w:rPr>
        <w:t>Sil</w:t>
      </w:r>
      <w:r w:rsidRPr="00BD5733">
        <w:rPr>
          <w:sz w:val="20"/>
          <w:szCs w:val="20"/>
        </w:rPr>
        <w:t>–</w:t>
      </w:r>
      <w:r>
        <w:rPr>
          <w:sz w:val="20"/>
          <w:szCs w:val="20"/>
        </w:rPr>
        <w:t>Bt</w:t>
      </w:r>
      <w:r w:rsidRPr="00BD5733">
        <w:rPr>
          <w:sz w:val="20"/>
          <w:szCs w:val="20"/>
        </w:rPr>
        <w:t>–</w:t>
      </w:r>
      <w:r>
        <w:rPr>
          <w:sz w:val="20"/>
          <w:szCs w:val="20"/>
        </w:rPr>
        <w:t>Grt</w:t>
      </w:r>
      <w:r w:rsidRPr="00BD5733">
        <w:rPr>
          <w:sz w:val="20"/>
          <w:szCs w:val="20"/>
        </w:rPr>
        <w:t xml:space="preserve"> </w:t>
      </w:r>
      <w:r>
        <w:rPr>
          <w:sz w:val="20"/>
          <w:szCs w:val="20"/>
        </w:rPr>
        <w:t>paragneiss in</w:t>
      </w:r>
      <w:r w:rsidRPr="00BD5733">
        <w:rPr>
          <w:sz w:val="20"/>
          <w:szCs w:val="20"/>
        </w:rPr>
        <w:t xml:space="preserve"> the eastern domain</w:t>
      </w:r>
      <w:r>
        <w:rPr>
          <w:sz w:val="20"/>
          <w:szCs w:val="20"/>
        </w:rPr>
        <w:t xml:space="preserve"> (ES18)</w:t>
      </w:r>
    </w:p>
    <w:p w14:paraId="00000C4C" w14:textId="77777777" w:rsidR="00A3057F" w:rsidRDefault="00A3057F" w:rsidP="00E66CF6">
      <w:pPr>
        <w:pStyle w:val="ListParagraph"/>
      </w:pPr>
    </w:p>
    <w:p w14:paraId="1CE46620" w14:textId="77777777" w:rsidR="00A3057F" w:rsidRPr="009F03FC" w:rsidRDefault="00A3057F" w:rsidP="009F03FC">
      <w:pPr>
        <w:rPr>
          <w:b/>
          <w:bCs/>
          <w:sz w:val="22"/>
          <w:szCs w:val="22"/>
        </w:rPr>
      </w:pPr>
      <w:r w:rsidRPr="009F03FC">
        <w:rPr>
          <w:b/>
          <w:bCs/>
          <w:sz w:val="22"/>
          <w:szCs w:val="22"/>
        </w:rPr>
        <w:t>References</w:t>
      </w:r>
    </w:p>
    <w:p w14:paraId="012E9B0B" w14:textId="77777777" w:rsidR="00A3057F" w:rsidRPr="00D031B9" w:rsidRDefault="00A3057F" w:rsidP="00D031B9">
      <w:pPr>
        <w:ind w:left="360"/>
        <w:rPr>
          <w:b/>
          <w:bCs/>
          <w:sz w:val="22"/>
          <w:szCs w:val="22"/>
        </w:rPr>
      </w:pPr>
    </w:p>
    <w:p w14:paraId="73FEA5D9"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Anders E, Grevesse N (1989) Abundances of the elements: Meteoritic and solar Geochimica et Cosmochimica Acta 53:197–214 doi:10.1016/0016-7037(89)90286-X</w:t>
      </w:r>
    </w:p>
    <w:p w14:paraId="0B2D6029"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Barrote VR, McNaughton NJ, Tessalina SG, Evans NJ, Talavera C, Zi J-W, McDonald BJ (2020) The 4D evolution of the Teutonic Bore Camp VHMS deposits, Yilgarn Craton, Western Australia Ore Geology Reviews:103448</w:t>
      </w:r>
    </w:p>
    <w:p w14:paraId="66CEBA51"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Boehnke P, Watson EB, Trail D, Harrison TM, Schmitt AK (2013) Zircon saturation re-revisited Chemical Geology 351:324-334</w:t>
      </w:r>
    </w:p>
    <w:p w14:paraId="23CEA2D3"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Boger SD, Hansen D (2004) Metamorphic evolution of the Georgetown Inlier, northeast Queensland, Australia; evidence for an accreted Palaeoproterozoic terrane? Journal of Metamorphic Geology 22:511–527</w:t>
      </w:r>
    </w:p>
    <w:p w14:paraId="4949339F"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Compston W, Williams IS, Meyer C (1984) U‐Pb geochronology of zircons from lunar breccia 73217 using a sensitive high mass‐resolution ion microprobe Journal of Geophysical Research: Solid Earth 89:B525-B534</w:t>
      </w:r>
    </w:p>
    <w:p w14:paraId="184E32BB"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De Laeter JR, Kennedy AK (1998) A double focusing mass spectrometer for geochronology International Journal of Mass Spectrometry 178:43-50</w:t>
      </w:r>
    </w:p>
    <w:p w14:paraId="0AFCECDB"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Fletcher IR, McNaughton NJ, Davis WJ, Rasmussen B (2010) Matrix effects and calibration limitations in ion probe U–Pb and Th–Pb dating of monazite Chemical Geology 270:31-44</w:t>
      </w:r>
    </w:p>
    <w:p w14:paraId="24173486"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lastRenderedPageBreak/>
        <w:t>Holder RM, Hacker BR, Kylander-Clark ARC, Cottle JM (2015) Monazite trace-element and isotopic signatures of (ultra) high-pressure metamorphism: Examples from the Western Gneiss Region, Norway Chemical Geology 409:99-111</w:t>
      </w:r>
    </w:p>
    <w:p w14:paraId="2946BD8A"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Holland TJB, Powell R (2011) An improved and extended internally consistent thermodynamic dataset for phases of petrological interest, involving a new equation of state for solids Journal of Metamorphic Geology 29:333–383</w:t>
      </w:r>
    </w:p>
    <w:p w14:paraId="19E22E34"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Kennedy A, De Laeter J (1994) Abstracts of the Eighth International Conference on Geochronology, Cosmochronology, and Isotope Geology by MA Lanphere, GB Dalrymple, and BD Turrin, US Geological Survey Circular:171</w:t>
      </w:r>
    </w:p>
    <w:p w14:paraId="151336EB"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Li XH et al. (2010) Penglai zircon megacrysts: a potential new working reference material for microbeam determination of Hf–O isotopes and U–Pb age Geostandards and Geoanalytical Research 34:117-134</w:t>
      </w:r>
    </w:p>
    <w:p w14:paraId="1D2E876D"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Liu Y, Hu Z, Zong K, Gao C, Gao S, Xu J, Chen H (2010) Reappraisement and refinement of zircon U-Pb isotope and trace element analyses by LA-ICP-MS Chinese Science Bulletin 55:1535-1546</w:t>
      </w:r>
    </w:p>
    <w:p w14:paraId="1D0E20F7"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Ludwig KR (2003) Isoplot 3.00: A geochronological toolkit for Microsoft Excel Berkeley Geochronology Center Special Publication 4:70</w:t>
      </w:r>
    </w:p>
    <w:p w14:paraId="42135855"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Ludwig KR (2009) Squid 2.50 A User’s Manual: Berkeley, California, Berkeley Geochronology Centre Special Publication:95</w:t>
      </w:r>
    </w:p>
    <w:p w14:paraId="7B307BFC"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McFarlane CRM, McCulloch MT (2007) Coupling of in-situ Sm–Nd systematics and U–Pb dating of monazite and allanite with applications to crustal evolution studies Chemical geology 245:45-60</w:t>
      </w:r>
    </w:p>
    <w:p w14:paraId="0E115ADA"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Paton C, Hellstrom J, Paul B, Woodhead J, Hergt J (2011) Iolite: Freeware for the visualisation and processing of mass spectrometric data Journal of Analytical Atomic Spectrometry 26:2508–2518 doi:10.1039/c1ja10172b</w:t>
      </w:r>
    </w:p>
    <w:p w14:paraId="4AD70AAD"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Paton C, Woodhead JD, Hellstrom JC, Hergt JM, Greig A, Maas R (2010) Improved laser ablation U–Pb zircon geochronology through robust downhole fractionation correction Geochemistry, Geophysics, Geosystems 11:1525–2027</w:t>
      </w:r>
    </w:p>
    <w:p w14:paraId="36C17281"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Pearce MA, White AJR, Gazley MF (2015) TCInvestigator: automated calculation of mineral mode and composition contours for thermocalc pseudosections Journal of Metamorphic Geology 33:413–425</w:t>
      </w:r>
    </w:p>
    <w:p w14:paraId="365288AB"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Sláma J et al. (2008) Plešovice zircon—a new natural reference material for U–Pb and Hf isotopic microanalysis Chemical Geology 249:1-35</w:t>
      </w:r>
    </w:p>
    <w:p w14:paraId="1751DEBE"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lastRenderedPageBreak/>
        <w:t>Spencer CJ, Kirkland CL, Taylor RJM (2016) Strategies towards statistically robust interpretations of in situ U–Pb zircon geochronology Geoscience Frontiers 7:581–589</w:t>
      </w:r>
    </w:p>
    <w:p w14:paraId="3ADAD19A"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Stern RA, Bodorkos S, Kamo SL, Hickman AH, Corfu F (2009) Measurement of SIMS instrumental mass fractionation of Pb isotopes during zircon dating Geostandards and Geoanalytical Research 33:145-168</w:t>
      </w:r>
    </w:p>
    <w:p w14:paraId="77A7CBB8"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Volante S et al. (2020) Multiple P–T–d–t paths reveal the evolution of the final Nuna assembly in northeast Australia Journal of Metamorphic Geology n/a doi:10.1111/jmg.12532</w:t>
      </w:r>
    </w:p>
    <w:p w14:paraId="7B3F5CAF" w14:textId="77777777" w:rsidR="00A3057F" w:rsidRPr="001E1CE6" w:rsidRDefault="00A3057F" w:rsidP="001E1CE6">
      <w:pPr>
        <w:pStyle w:val="EndNoteBibliography"/>
        <w:spacing w:line="480" w:lineRule="auto"/>
        <w:ind w:left="720" w:hanging="720"/>
        <w:jc w:val="both"/>
        <w:rPr>
          <w:noProof/>
          <w:sz w:val="20"/>
          <w:szCs w:val="20"/>
        </w:rPr>
      </w:pPr>
      <w:r w:rsidRPr="001E1CE6">
        <w:rPr>
          <w:noProof/>
          <w:sz w:val="20"/>
          <w:szCs w:val="20"/>
        </w:rPr>
        <w:t>White RW, Powell R, Johnson TE (2014) The effect of Mn on mineral stability in metapelites revisited: new a–x relations for manganese‐bearing minerals Journal of Metamorphic Geology 32:809–828</w:t>
      </w:r>
    </w:p>
    <w:p w14:paraId="2904FC64" w14:textId="734B0588" w:rsidR="00E36D09" w:rsidRPr="001E1CE6" w:rsidRDefault="00A3057F" w:rsidP="009F03FC">
      <w:pPr>
        <w:pStyle w:val="EndNoteBibliography"/>
        <w:spacing w:line="480" w:lineRule="auto"/>
        <w:ind w:left="720" w:hanging="720"/>
        <w:jc w:val="both"/>
      </w:pPr>
      <w:r w:rsidRPr="001E1CE6">
        <w:rPr>
          <w:noProof/>
          <w:sz w:val="20"/>
          <w:szCs w:val="20"/>
        </w:rPr>
        <w:t>Wiedenbeck M et al. (1995) Three natural zircon standards for U‐Th‐Pb, Lu‐Hf, trace element and REE analyses Geostandards newsletter 19:1-23</w:t>
      </w:r>
    </w:p>
    <w:sectPr w:rsidR="00E36D09" w:rsidRPr="001E1CE6" w:rsidSect="009E76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D1B0D"/>
    <w:multiLevelType w:val="hybridMultilevel"/>
    <w:tmpl w:val="C5B42CD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6940"/>
    <w:multiLevelType w:val="hybridMultilevel"/>
    <w:tmpl w:val="8FC4B9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0451E"/>
    <w:multiLevelType w:val="hybridMultilevel"/>
    <w:tmpl w:val="8FC4B9D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35805"/>
    <w:multiLevelType w:val="hybridMultilevel"/>
    <w:tmpl w:val="C5B42CD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E5B1E"/>
    <w:multiLevelType w:val="hybridMultilevel"/>
    <w:tmpl w:val="C5B42CD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2D5AA8"/>
    <w:multiLevelType w:val="hybridMultilevel"/>
    <w:tmpl w:val="C5B42CD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F56D58"/>
    <w:multiLevelType w:val="hybridMultilevel"/>
    <w:tmpl w:val="3B50B64C"/>
    <w:lvl w:ilvl="0" w:tplc="04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3057F"/>
    <w:rsid w:val="0002165F"/>
    <w:rsid w:val="00060EF4"/>
    <w:rsid w:val="0008553B"/>
    <w:rsid w:val="000B12B6"/>
    <w:rsid w:val="00122A75"/>
    <w:rsid w:val="0015702E"/>
    <w:rsid w:val="00181302"/>
    <w:rsid w:val="001962BE"/>
    <w:rsid w:val="001A4B3A"/>
    <w:rsid w:val="001C40EC"/>
    <w:rsid w:val="001E1CE6"/>
    <w:rsid w:val="001E3F73"/>
    <w:rsid w:val="002164CB"/>
    <w:rsid w:val="002A0EAE"/>
    <w:rsid w:val="002E0161"/>
    <w:rsid w:val="002E3BC2"/>
    <w:rsid w:val="003005EF"/>
    <w:rsid w:val="00304DC4"/>
    <w:rsid w:val="00305962"/>
    <w:rsid w:val="003221C9"/>
    <w:rsid w:val="003A2932"/>
    <w:rsid w:val="003C37CC"/>
    <w:rsid w:val="003D5766"/>
    <w:rsid w:val="003E7732"/>
    <w:rsid w:val="00403ADF"/>
    <w:rsid w:val="0046758A"/>
    <w:rsid w:val="00482654"/>
    <w:rsid w:val="004A21BC"/>
    <w:rsid w:val="004A56D3"/>
    <w:rsid w:val="004E58E9"/>
    <w:rsid w:val="004F3F5B"/>
    <w:rsid w:val="00551805"/>
    <w:rsid w:val="00571CE9"/>
    <w:rsid w:val="005C28A4"/>
    <w:rsid w:val="005D15A5"/>
    <w:rsid w:val="006058AC"/>
    <w:rsid w:val="00614E49"/>
    <w:rsid w:val="0062540D"/>
    <w:rsid w:val="00644267"/>
    <w:rsid w:val="006560FB"/>
    <w:rsid w:val="0066000B"/>
    <w:rsid w:val="00705754"/>
    <w:rsid w:val="00791693"/>
    <w:rsid w:val="0079707F"/>
    <w:rsid w:val="007A51B2"/>
    <w:rsid w:val="007D4F4C"/>
    <w:rsid w:val="008137FD"/>
    <w:rsid w:val="00905D84"/>
    <w:rsid w:val="009345F4"/>
    <w:rsid w:val="00934F95"/>
    <w:rsid w:val="00997EBA"/>
    <w:rsid w:val="009A22CF"/>
    <w:rsid w:val="009D3057"/>
    <w:rsid w:val="009E7650"/>
    <w:rsid w:val="009F03FC"/>
    <w:rsid w:val="009F0C85"/>
    <w:rsid w:val="00A23E9F"/>
    <w:rsid w:val="00A23FF9"/>
    <w:rsid w:val="00A3057F"/>
    <w:rsid w:val="00A912D1"/>
    <w:rsid w:val="00AA7D04"/>
    <w:rsid w:val="00AC361B"/>
    <w:rsid w:val="00AE335E"/>
    <w:rsid w:val="00B253FE"/>
    <w:rsid w:val="00B33CCF"/>
    <w:rsid w:val="00B724D5"/>
    <w:rsid w:val="00B96DA8"/>
    <w:rsid w:val="00BA0AB7"/>
    <w:rsid w:val="00C21816"/>
    <w:rsid w:val="00CB0F65"/>
    <w:rsid w:val="00CC1C88"/>
    <w:rsid w:val="00CD61B9"/>
    <w:rsid w:val="00D13EC2"/>
    <w:rsid w:val="00D3430D"/>
    <w:rsid w:val="00D62E64"/>
    <w:rsid w:val="00DB20E7"/>
    <w:rsid w:val="00E14306"/>
    <w:rsid w:val="00E36D09"/>
    <w:rsid w:val="00E71F66"/>
    <w:rsid w:val="00EC63B2"/>
    <w:rsid w:val="00ED2BBA"/>
    <w:rsid w:val="00EF766A"/>
    <w:rsid w:val="00F0424B"/>
    <w:rsid w:val="00F07CEC"/>
    <w:rsid w:val="00F80AE5"/>
    <w:rsid w:val="00FA2AEE"/>
    <w:rsid w:val="00FB299E"/>
    <w:rsid w:val="00FB7047"/>
  </w:rsids>
  <m:mathPr>
    <m:mathFont m:val="Cambria Math"/>
    <m:brkBin m:val="before"/>
    <m:brkBinSub m:val="--"/>
    <m:smallFrac m:val="0"/>
    <m:dispDef/>
    <m:lMargin m:val="0"/>
    <m:rMargin m:val="0"/>
    <m:defJc m:val="centerGroup"/>
    <m:wrapIndent m:val="1440"/>
    <m:intLim m:val="subSup"/>
    <m:naryLim m:val="undOvr"/>
  </m:mathPr>
  <w:themeFontLang w:val="en-G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CC86"/>
  <w15:chartTrackingRefBased/>
  <w15:docId w15:val="{EFE32D9E-EA42-244C-8408-66ECD64A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57F"/>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A3057F"/>
    <w:pPr>
      <w:jc w:val="both"/>
    </w:pPr>
    <w:rPr>
      <w:b/>
      <w:lang w:val="en-US" w:eastAsia="en-US"/>
    </w:rPr>
  </w:style>
  <w:style w:type="paragraph" w:customStyle="1" w:styleId="AuthorAffiliation">
    <w:name w:val="Author Affiliation"/>
    <w:basedOn w:val="Normal"/>
    <w:link w:val="AuthorAffiliationChar"/>
    <w:rsid w:val="00A3057F"/>
    <w:pPr>
      <w:jc w:val="both"/>
    </w:pPr>
    <w:rPr>
      <w:i/>
      <w:lang w:val="en-US" w:eastAsia="en-US"/>
    </w:rPr>
  </w:style>
  <w:style w:type="character" w:customStyle="1" w:styleId="AuthorAffiliationChar">
    <w:name w:val="Author Affiliation Char"/>
    <w:basedOn w:val="DefaultParagraphFont"/>
    <w:link w:val="AuthorAffiliation"/>
    <w:locked/>
    <w:rsid w:val="00A3057F"/>
    <w:rPr>
      <w:rFonts w:ascii="Times New Roman" w:eastAsia="Times New Roman" w:hAnsi="Times New Roman" w:cs="Times New Roman"/>
      <w:i/>
      <w:lang w:val="en-US"/>
    </w:rPr>
  </w:style>
  <w:style w:type="character" w:styleId="Hyperlink">
    <w:name w:val="Hyperlink"/>
    <w:basedOn w:val="DefaultParagraphFont"/>
    <w:uiPriority w:val="99"/>
    <w:unhideWhenUsed/>
    <w:rsid w:val="00A3057F"/>
    <w:rPr>
      <w:color w:val="0563C1" w:themeColor="hyperlink"/>
      <w:u w:val="single"/>
    </w:rPr>
  </w:style>
  <w:style w:type="paragraph" w:styleId="ListParagraph">
    <w:name w:val="List Paragraph"/>
    <w:basedOn w:val="Normal"/>
    <w:uiPriority w:val="34"/>
    <w:qFormat/>
    <w:rsid w:val="00A3057F"/>
    <w:pPr>
      <w:ind w:left="720"/>
      <w:contextualSpacing/>
    </w:pPr>
  </w:style>
  <w:style w:type="paragraph" w:styleId="BalloonText">
    <w:name w:val="Balloon Text"/>
    <w:basedOn w:val="Normal"/>
    <w:link w:val="BalloonTextChar"/>
    <w:uiPriority w:val="99"/>
    <w:semiHidden/>
    <w:unhideWhenUsed/>
    <w:rsid w:val="00A3057F"/>
    <w:rPr>
      <w:sz w:val="18"/>
      <w:szCs w:val="18"/>
    </w:rPr>
  </w:style>
  <w:style w:type="character" w:customStyle="1" w:styleId="BalloonTextChar">
    <w:name w:val="Balloon Text Char"/>
    <w:basedOn w:val="DefaultParagraphFont"/>
    <w:link w:val="BalloonText"/>
    <w:uiPriority w:val="99"/>
    <w:semiHidden/>
    <w:rsid w:val="00A3057F"/>
    <w:rPr>
      <w:rFonts w:ascii="Times New Roman" w:eastAsia="Times New Roman" w:hAnsi="Times New Roman" w:cs="Times New Roman"/>
      <w:sz w:val="18"/>
      <w:szCs w:val="18"/>
      <w:lang w:val="en-GB" w:eastAsia="en-GB"/>
    </w:rPr>
  </w:style>
  <w:style w:type="paragraph" w:customStyle="1" w:styleId="EndNoteBibliographyTitle">
    <w:name w:val="EndNote Bibliography Title"/>
    <w:basedOn w:val="Normal"/>
    <w:link w:val="EndNoteBibliographyTitleChar"/>
    <w:rsid w:val="00A3057F"/>
    <w:pPr>
      <w:jc w:val="center"/>
    </w:pPr>
  </w:style>
  <w:style w:type="character" w:customStyle="1" w:styleId="EndNoteBibliographyTitleChar">
    <w:name w:val="EndNote Bibliography Title Char"/>
    <w:basedOn w:val="DefaultParagraphFont"/>
    <w:link w:val="EndNoteBibliographyTitle"/>
    <w:rsid w:val="00A3057F"/>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rsid w:val="00A3057F"/>
  </w:style>
  <w:style w:type="character" w:customStyle="1" w:styleId="EndNoteBibliographyChar">
    <w:name w:val="EndNote Bibliography Char"/>
    <w:basedOn w:val="DefaultParagraphFont"/>
    <w:link w:val="EndNoteBibliography"/>
    <w:rsid w:val="00A3057F"/>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mailto:silvia.volante@rub.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3520</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Volante</dc:creator>
  <cp:keywords/>
  <dc:description/>
  <cp:lastModifiedBy>Silvia Volante</cp:lastModifiedBy>
  <cp:revision>17</cp:revision>
  <dcterms:created xsi:type="dcterms:W3CDTF">2020-08-24T07:23:00Z</dcterms:created>
  <dcterms:modified xsi:type="dcterms:W3CDTF">2020-10-05T09:20:00Z</dcterms:modified>
</cp:coreProperties>
</file>