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42F9" w14:textId="6AFC08DC" w:rsidR="00E6741E" w:rsidRPr="00372BE7" w:rsidRDefault="00E6741E" w:rsidP="00E6741E">
      <w:pPr>
        <w:spacing w:line="312" w:lineRule="auto"/>
        <w:jc w:val="center"/>
        <w:outlineLvl w:val="0"/>
        <w:rPr>
          <w:rFonts w:asciiTheme="majorHAnsi" w:hAnsiTheme="majorHAnsi"/>
          <w:b/>
          <w:sz w:val="28"/>
        </w:rPr>
      </w:pPr>
      <w:bookmarkStart w:id="0" w:name="_Hlk57634635"/>
      <w:r w:rsidRPr="00372BE7">
        <w:rPr>
          <w:rFonts w:asciiTheme="majorHAnsi" w:hAnsiTheme="majorHAnsi"/>
          <w:b/>
          <w:sz w:val="28"/>
        </w:rPr>
        <w:t>Isotopic evolution of prehistoric magma sources of</w:t>
      </w:r>
      <w:r>
        <w:rPr>
          <w:rFonts w:asciiTheme="majorHAnsi" w:hAnsiTheme="majorHAnsi"/>
          <w:b/>
          <w:sz w:val="28"/>
        </w:rPr>
        <w:t xml:space="preserve"> </w:t>
      </w:r>
      <w:r w:rsidRPr="00372BE7">
        <w:rPr>
          <w:rFonts w:asciiTheme="majorHAnsi" w:hAnsiTheme="majorHAnsi"/>
          <w:b/>
          <w:sz w:val="28"/>
        </w:rPr>
        <w:t>Mt. Etna, Sicily:  Insights from the Valle Del Bove</w:t>
      </w:r>
    </w:p>
    <w:p w14:paraId="080C3B4B" w14:textId="70FDD400" w:rsidR="005F6315" w:rsidRPr="00F91C08" w:rsidRDefault="005F6315" w:rsidP="005F6315">
      <w:pPr>
        <w:spacing w:line="312" w:lineRule="auto"/>
        <w:jc w:val="center"/>
        <w:outlineLvl w:val="0"/>
        <w:rPr>
          <w:rFonts w:asciiTheme="majorHAnsi" w:hAnsiTheme="majorHAnsi"/>
          <w:sz w:val="23"/>
          <w:szCs w:val="23"/>
        </w:rPr>
      </w:pPr>
      <w:r w:rsidRPr="0066623A">
        <w:rPr>
          <w:rFonts w:asciiTheme="majorHAnsi" w:hAnsiTheme="majorHAnsi"/>
          <w:sz w:val="23"/>
          <w:szCs w:val="23"/>
        </w:rPr>
        <w:t>Kempton, P.D.</w:t>
      </w:r>
      <w:r w:rsidRPr="005F6315">
        <w:rPr>
          <w:rFonts w:asciiTheme="majorHAnsi" w:hAnsiTheme="majorHAnsi"/>
          <w:sz w:val="23"/>
          <w:szCs w:val="23"/>
          <w:vertAlign w:val="superscript"/>
        </w:rPr>
        <w:t>*</w:t>
      </w:r>
      <w:r w:rsidRPr="0066623A">
        <w:rPr>
          <w:rFonts w:asciiTheme="majorHAnsi" w:hAnsiTheme="majorHAnsi"/>
          <w:sz w:val="23"/>
          <w:szCs w:val="23"/>
        </w:rPr>
        <w:t>, Spence, A.,</w:t>
      </w:r>
      <w:r w:rsidRPr="00F91C08">
        <w:rPr>
          <w:rFonts w:asciiTheme="majorHAnsi" w:hAnsiTheme="majorHAnsi"/>
          <w:sz w:val="23"/>
          <w:szCs w:val="23"/>
        </w:rPr>
        <w:t xml:space="preserve"> Downes, H., Blichert-Toft, J., Bryce, J</w:t>
      </w:r>
      <w:r>
        <w:rPr>
          <w:rFonts w:asciiTheme="majorHAnsi" w:hAnsiTheme="majorHAnsi"/>
          <w:sz w:val="23"/>
          <w:szCs w:val="23"/>
        </w:rPr>
        <w:t>.G.</w:t>
      </w:r>
      <w:r w:rsidRPr="00F91C08">
        <w:rPr>
          <w:rFonts w:asciiTheme="majorHAnsi" w:hAnsiTheme="majorHAnsi"/>
          <w:sz w:val="23"/>
          <w:szCs w:val="23"/>
        </w:rPr>
        <w:t>., Hegner, E., Vroon, P.Z.</w:t>
      </w:r>
    </w:p>
    <w:p w14:paraId="1F4E3871" w14:textId="6F9242E8" w:rsidR="00E6741E" w:rsidRDefault="00E6741E" w:rsidP="00E6741E">
      <w:pPr>
        <w:spacing w:line="312" w:lineRule="auto"/>
        <w:jc w:val="center"/>
        <w:rPr>
          <w:rFonts w:ascii="Calibri" w:hAnsi="Calibri" w:cs="Calibri"/>
          <w:sz w:val="20"/>
          <w:szCs w:val="20"/>
        </w:rPr>
      </w:pPr>
      <w:r w:rsidRPr="003A1DEB">
        <w:rPr>
          <w:rFonts w:asciiTheme="majorHAnsi" w:hAnsiTheme="majorHAnsi"/>
          <w:sz w:val="20"/>
          <w:szCs w:val="20"/>
        </w:rPr>
        <w:t xml:space="preserve">* </w:t>
      </w:r>
      <w:r w:rsidRPr="00396446">
        <w:rPr>
          <w:rFonts w:asciiTheme="majorHAnsi" w:hAnsiTheme="majorHAnsi"/>
          <w:sz w:val="20"/>
          <w:szCs w:val="20"/>
        </w:rPr>
        <w:t>Corresponding author</w:t>
      </w:r>
      <w:r w:rsidRPr="00396446">
        <w:rPr>
          <w:rFonts w:asciiTheme="majorHAnsi" w:hAnsiTheme="majorHAnsi"/>
          <w:i/>
          <w:sz w:val="20"/>
          <w:szCs w:val="20"/>
        </w:rPr>
        <w:t>.</w:t>
      </w:r>
      <w:r w:rsidRPr="00396446">
        <w:rPr>
          <w:rFonts w:asciiTheme="majorHAnsi" w:hAnsiTheme="majorHAnsi"/>
          <w:sz w:val="20"/>
          <w:szCs w:val="20"/>
        </w:rPr>
        <w:t xml:space="preserve"> </w:t>
      </w:r>
      <w:hyperlink r:id="rId7" w:history="1">
        <w:r w:rsidR="005F6315" w:rsidRPr="00CD499B">
          <w:rPr>
            <w:rStyle w:val="Hyperlink"/>
            <w:rFonts w:ascii="Calibri" w:hAnsi="Calibri" w:cs="Calibri"/>
          </w:rPr>
          <w:t>pkempton@ksu.edu</w:t>
        </w:r>
      </w:hyperlink>
      <w:r w:rsidR="005F6315" w:rsidRPr="00CD499B">
        <w:rPr>
          <w:rFonts w:ascii="Calibri" w:hAnsi="Calibri" w:cs="Calibri"/>
        </w:rPr>
        <w:t xml:space="preserve"> (P. Kempton)</w:t>
      </w:r>
      <w:r w:rsidR="005F6315" w:rsidRPr="00396446">
        <w:rPr>
          <w:rFonts w:ascii="Calibri" w:hAnsi="Calibri" w:cs="Calibri"/>
          <w:sz w:val="20"/>
          <w:szCs w:val="20"/>
        </w:rPr>
        <w:t>.</w:t>
      </w:r>
    </w:p>
    <w:p w14:paraId="064B8EC3" w14:textId="36A1335A" w:rsidR="00E6741E" w:rsidRPr="00396446" w:rsidRDefault="00E6741E" w:rsidP="00E6741E">
      <w:pPr>
        <w:spacing w:line="312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Contributions to Mineralogy and Petrology</w:t>
      </w:r>
    </w:p>
    <w:bookmarkEnd w:id="0"/>
    <w:p w14:paraId="437E505A" w14:textId="54DAB7D1" w:rsidR="00FE1D0C" w:rsidRPr="005424F9" w:rsidRDefault="00A12C48">
      <w:pPr>
        <w:rPr>
          <w:b/>
          <w:sz w:val="28"/>
          <w:szCs w:val="28"/>
        </w:rPr>
      </w:pPr>
      <w:r>
        <w:rPr>
          <w:b/>
          <w:sz w:val="28"/>
          <w:szCs w:val="28"/>
        </w:rPr>
        <w:t>Online Resources</w:t>
      </w:r>
    </w:p>
    <w:p w14:paraId="5AC8178D" w14:textId="1F112640" w:rsidR="004F4CB4" w:rsidRDefault="004F4CB4" w:rsidP="005424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12C48">
        <w:rPr>
          <w:rFonts w:ascii="Calibri" w:hAnsi="Calibri" w:cs="Calibri"/>
          <w:b/>
          <w:bCs/>
          <w:sz w:val="24"/>
          <w:szCs w:val="24"/>
        </w:rPr>
        <w:t>Figure S1</w:t>
      </w:r>
      <w:r>
        <w:rPr>
          <w:rFonts w:ascii="Calibri" w:hAnsi="Calibri" w:cs="Calibri"/>
        </w:rPr>
        <w:t xml:space="preserve"> </w:t>
      </w:r>
      <w:r w:rsidR="001F073D">
        <w:rPr>
          <w:rFonts w:ascii="Calibri" w:hAnsi="Calibri" w:cs="Calibri"/>
        </w:rPr>
        <w:t xml:space="preserve">(a) </w:t>
      </w:r>
      <w:r w:rsidR="00EB0AF6">
        <w:rPr>
          <w:rFonts w:ascii="Calibri" w:hAnsi="Calibri" w:cs="Calibri"/>
        </w:rPr>
        <w:t xml:space="preserve">Plot of </w:t>
      </w:r>
      <w:proofErr w:type="spellStart"/>
      <w:r w:rsidR="00EB0AF6">
        <w:rPr>
          <w:rFonts w:ascii="Calibri" w:hAnsi="Calibri" w:cs="Calibri"/>
        </w:rPr>
        <w:t>CaO</w:t>
      </w:r>
      <w:proofErr w:type="spellEnd"/>
      <w:r w:rsidR="00EB0AF6">
        <w:rPr>
          <w:rFonts w:ascii="Calibri" w:hAnsi="Calibri" w:cs="Calibri"/>
        </w:rPr>
        <w:t>/Al</w:t>
      </w:r>
      <w:r w:rsidR="00EB0AF6" w:rsidRPr="00EB0AF6">
        <w:rPr>
          <w:rFonts w:ascii="Calibri" w:hAnsi="Calibri" w:cs="Calibri"/>
          <w:vertAlign w:val="subscript"/>
        </w:rPr>
        <w:t>2</w:t>
      </w:r>
      <w:r w:rsidR="00EB0AF6">
        <w:rPr>
          <w:rFonts w:ascii="Calibri" w:hAnsi="Calibri" w:cs="Calibri"/>
        </w:rPr>
        <w:t>O</w:t>
      </w:r>
      <w:r w:rsidR="00EB0AF6" w:rsidRPr="00EB0AF6">
        <w:rPr>
          <w:rFonts w:ascii="Calibri" w:hAnsi="Calibri" w:cs="Calibri"/>
          <w:vertAlign w:val="subscript"/>
        </w:rPr>
        <w:t>3</w:t>
      </w:r>
      <w:r w:rsidR="00EB0AF6">
        <w:rPr>
          <w:rFonts w:ascii="Calibri" w:hAnsi="Calibri" w:cs="Calibri"/>
        </w:rPr>
        <w:t xml:space="preserve"> v Mg #</w:t>
      </w:r>
      <w:r w:rsidR="00EB0AF6" w:rsidRPr="00EB0AF6">
        <w:rPr>
          <w:rFonts w:ascii="Calibri" w:hAnsi="Calibri" w:cs="Calibri"/>
        </w:rPr>
        <w:t xml:space="preserve">; </w:t>
      </w:r>
      <w:r w:rsidR="00EB0AF6">
        <w:rPr>
          <w:rFonts w:ascii="Calibri" w:hAnsi="Calibri" w:cs="Calibri"/>
        </w:rPr>
        <w:t>(b) p</w:t>
      </w:r>
      <w:r>
        <w:rPr>
          <w:rFonts w:ascii="Calibri" w:hAnsi="Calibri" w:cs="Calibri"/>
        </w:rPr>
        <w:t>lot of K</w:t>
      </w:r>
      <w:r w:rsidRPr="004F4CB4">
        <w:rPr>
          <w:rFonts w:ascii="Calibri" w:hAnsi="Calibri" w:cs="Calibri"/>
          <w:vertAlign w:val="subscript"/>
        </w:rPr>
        <w:t>2</w:t>
      </w:r>
      <w:r>
        <w:rPr>
          <w:rFonts w:ascii="Calibri" w:hAnsi="Calibri" w:cs="Calibri"/>
        </w:rPr>
        <w:t>O v SiO</w:t>
      </w:r>
      <w:r w:rsidRPr="004F4CB4">
        <w:rPr>
          <w:rFonts w:ascii="Calibri" w:hAnsi="Calibri" w:cs="Calibri"/>
          <w:vertAlign w:val="subscript"/>
        </w:rPr>
        <w:t>2</w:t>
      </w:r>
      <w:r>
        <w:rPr>
          <w:rFonts w:ascii="Calibri" w:hAnsi="Calibri" w:cs="Calibri"/>
        </w:rPr>
        <w:t xml:space="preserve">.  Data sources </w:t>
      </w:r>
      <w:r w:rsidR="00EB041A">
        <w:rPr>
          <w:rFonts w:ascii="Calibri" w:hAnsi="Calibri" w:cs="Calibri"/>
        </w:rPr>
        <w:t xml:space="preserve">and symbols </w:t>
      </w:r>
      <w:r>
        <w:rPr>
          <w:rFonts w:ascii="Calibri" w:hAnsi="Calibri" w:cs="Calibri"/>
        </w:rPr>
        <w:t>as in Figure 3</w:t>
      </w:r>
      <w:r w:rsidR="001F073D">
        <w:rPr>
          <w:rFonts w:ascii="Calibri" w:hAnsi="Calibri" w:cs="Calibri"/>
        </w:rPr>
        <w:t>, main text</w:t>
      </w:r>
      <w:r>
        <w:rPr>
          <w:rFonts w:ascii="Calibri" w:hAnsi="Calibri" w:cs="Calibri"/>
        </w:rPr>
        <w:t>.</w:t>
      </w:r>
    </w:p>
    <w:p w14:paraId="656CCB04" w14:textId="548275E3" w:rsidR="004F4CB4" w:rsidRDefault="004217B7" w:rsidP="005424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D3481F" wp14:editId="170842BB">
                <wp:simplePos x="0" y="0"/>
                <wp:positionH relativeFrom="column">
                  <wp:posOffset>883920</wp:posOffset>
                </wp:positionH>
                <wp:positionV relativeFrom="paragraph">
                  <wp:posOffset>168275</wp:posOffset>
                </wp:positionV>
                <wp:extent cx="386715" cy="3238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D2BC4C" w14:textId="69FA4E13" w:rsidR="001F073D" w:rsidRPr="001F073D" w:rsidRDefault="001F073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F073D">
                              <w:rPr>
                                <w:sz w:val="20"/>
                                <w:szCs w:val="20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3481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69.6pt;margin-top:13.25pt;width:30.4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mlPQQIAAHgEAAAOAAAAZHJzL2Uyb0RvYy54bWysVE1v2zAMvQ/YfxB0X5yPJs2MOkWWosOA&#10;oi3QDj0rstwYkEVNUmJnv35PstN23U7DLjJFUvx4j/TFZddodlDO12QKPhmNOVNGUlmb54J/f7z+&#10;tOTMB2FKocmogh+V55erjx8uWpurKe1Il8oxBDE+b23BdyHYPMu83KlG+BFZZWCsyDUi4Oqes9KJ&#10;FtEbnU3H40XWkiutI6m8h/aqN/JVil9VSoa7qvIqMF1w1BbS6dK5jWe2uhD5sxN2V8uhDPEPVTSi&#10;Nkj6EupKBMH2rv4jVFNLR56qMJLUZFRVtVSpB3QzGb/r5mEnrEq9ABxvX2Dy/y+svD3cO1aXBZ9z&#10;ZkQDih5VF9gX6tg8otNan8PpwcItdFCD5ZPeQxmb7irXxC/aYbAD5+MLtjGYhHK2XJxPkEPCNJvO&#10;lvOEffb62DofvipqWBQK7kBdQlQcbnxAIXA9ucRcnnRdXtdap0scF7XRjh0EiNYhlYgXv3lpw9qC&#10;L2ZIHR8Zis/7yNogQWy1bylKodt2Q/9bKo9o31E/Pt7K6xpF3ggf7oXDvKBj7EC4w1FpQhIaJM52&#10;5H7+TR/9QSOsnLWYv4L7H3vhFGf6mwHBnydnZ3Fg0+Vsfj7Fxb21bN9azL7ZEDqfYNusTGL0D/ok&#10;Vo6aJ6zKOmaFSRiJ3AUPJ3ET+q3Aqkm1XicnjKgV4cY8WBlDR9AiBY/dk3B24CmA4Fs6TarI39HV&#10;+/Zwr/eBqjpxGQHuUR1wx3gniodVjPvz9p68Xn8Yq18AAAD//wMAUEsDBBQABgAIAAAAIQBoVRC6&#10;3wAAAAkBAAAPAAAAZHJzL2Rvd25yZXYueG1sTI/LToRAEEX3Jv5Dp0zcGKcZCIMizcQYH8nsHHzE&#10;XQ9dApGuJnQP4N9brnR5Uyf3niq2i+3FhKPvHClYryIQSLUzHTUKXqqHyysQPmgyuneECr7Rw7Y8&#10;PSl0btxMzzjtQyO4hHyuFbQhDLmUvm7Rar9yAxLfPt1odeA4NtKMeuZy28s4ijbS6o54odUD3rVY&#10;f+2PVsHHRfO+88vj65ykyXD/NFXZm6mUOj9bbm9ABFzCHwy/+qwOJTsd3JGMFz3n5DpmVEG8SUEw&#10;wHNrEAcFWZaCLAv5/4PyBwAA//8DAFBLAQItABQABgAIAAAAIQC2gziS/gAAAOEBAAATAAAAAAAA&#10;AAAAAAAAAAAAAABbQ29udGVudF9UeXBlc10ueG1sUEsBAi0AFAAGAAgAAAAhADj9If/WAAAAlAEA&#10;AAsAAAAAAAAAAAAAAAAALwEAAF9yZWxzLy5yZWxzUEsBAi0AFAAGAAgAAAAhAJ62aU9BAgAAeAQA&#10;AA4AAAAAAAAAAAAAAAAALgIAAGRycy9lMm9Eb2MueG1sUEsBAi0AFAAGAAgAAAAhAGhVELrfAAAA&#10;CQEAAA8AAAAAAAAAAAAAAAAAmwQAAGRycy9kb3ducmV2LnhtbFBLBQYAAAAABAAEAPMAAACnBQAA&#10;AAA=&#10;" fillcolor="white [3201]" stroked="f" strokeweight=".5pt">
                <v:textbox>
                  <w:txbxContent>
                    <w:p w14:paraId="32D2BC4C" w14:textId="69FA4E13" w:rsidR="001F073D" w:rsidRPr="001F073D" w:rsidRDefault="001F073D">
                      <w:pPr>
                        <w:rPr>
                          <w:sz w:val="20"/>
                          <w:szCs w:val="20"/>
                        </w:rPr>
                      </w:pPr>
                      <w:r w:rsidRPr="001F073D">
                        <w:rPr>
                          <w:sz w:val="20"/>
                          <w:szCs w:val="20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</w:rPr>
        <w:drawing>
          <wp:anchor distT="0" distB="0" distL="114300" distR="114300" simplePos="0" relativeHeight="251659263" behindDoc="0" locked="0" layoutInCell="1" allowOverlap="1" wp14:anchorId="4C4A8522" wp14:editId="2BF1666C">
            <wp:simplePos x="0" y="0"/>
            <wp:positionH relativeFrom="margin">
              <wp:posOffset>444500</wp:posOffset>
            </wp:positionH>
            <wp:positionV relativeFrom="paragraph">
              <wp:posOffset>200660</wp:posOffset>
            </wp:positionV>
            <wp:extent cx="3486785" cy="2565400"/>
            <wp:effectExtent l="0" t="0" r="0" b="6350"/>
            <wp:wrapTopAndBottom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785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2A7D9" w14:textId="704572CC" w:rsidR="004F4CB4" w:rsidRDefault="001F073D" w:rsidP="005424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4D5056" wp14:editId="5DE3B553">
                <wp:simplePos x="0" y="0"/>
                <wp:positionH relativeFrom="column">
                  <wp:posOffset>853928</wp:posOffset>
                </wp:positionH>
                <wp:positionV relativeFrom="paragraph">
                  <wp:posOffset>2729230</wp:posOffset>
                </wp:positionV>
                <wp:extent cx="334108" cy="293077"/>
                <wp:effectExtent l="0" t="0" r="889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108" cy="293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0863E4" w14:textId="54F594E3" w:rsidR="001F073D" w:rsidRPr="001F073D" w:rsidRDefault="001F073D" w:rsidP="001F073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F073D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  <w:r w:rsidRPr="001F073D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D5056" id="Text Box 6" o:spid="_x0000_s1027" type="#_x0000_t202" style="position:absolute;margin-left:67.25pt;margin-top:214.9pt;width:26.3pt;height:2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S0+QgIAAH8EAAAOAAAAZHJzL2Uyb0RvYy54bWysVE2P2jAQvVfqf7B8LwkfC92IsKKsqCqh&#10;3ZWg2rNxHLBke1zbkNBf37EDLN32VPVixjOT53lvZpg+tFqRo3Begilpv5dTIgyHSppdSb9vlp8+&#10;U+IDMxVTYERJT8LTh9nHD9PGFmIAe1CVcARBjC8aW9J9CLbIMs/3QjPfAysMBmtwmgW8ul1WOdYg&#10;ulbZIM/HWQOusg648B69j12QzhJ+XQsenuvai0BUSbG2kE6Xzm08s9mUFTvH7F7ycxnsH6rQTBp8&#10;9Ar1yAIjByf/gNKSO/BQhx4HnUFdSy4SB2TTz9+xWe+ZFYkLiuPtVSb//2D50/HFEVmVdEyJYRpb&#10;tBFtIF+gJeOoTmN9gUlri2mhRTd2+eL36Iyk29rp+It0CMZR59NV2wjG0Tkcjvo5DgPH0OB+mE8m&#10;ESV7+9g6H74K0CQaJXXYuqQoO6586FIvKfEtD0pWS6lUusRxEQvlyJFho1VIJSL4b1nKkAZ5Du/y&#10;BGwgft4hK4O1RKodpWiFdtsmYa50t1CdUAUH3RR5y5cSa10xH16Yw7FB4rgK4RmPWgG+BWeLkj24&#10;n3/zx3zsJkYpaXAMS+p/HJgTlKhvBvt83x+N4tymy+huMsCLu41sbyPmoBeAAvRx6SxPZswP6mLW&#10;DvQrbsw8voohZji+XdJwMRehWw7cOC7m85SEk2pZWJm15RE6Ch47sWlfmbPndgXs8xNcBpYV77rW&#10;5cYvDcwPAWqZWhp17lQ9y49TnobivJFxjW7vKevtf2P2CwAA//8DAFBLAwQUAAYACAAAACEAWbHs&#10;k+IAAAALAQAADwAAAGRycy9kb3ducmV2LnhtbEyPzU7DMBCE70i8g7VIXBB12rRNCXEqhIBK3Gj4&#10;ETc3XpKIeB3FbhLenu0JjjP7aXYm2062FQP2vnGkYD6LQCCVzjRUKXgtHq83IHzQZHTrCBX8oIdt&#10;fn6W6dS4kV5w2IdKcAj5VCuoQ+hSKX1Zo9V+5jokvn253urAsq+k6fXI4baViyhaS6sb4g+17vC+&#10;xvJ7f7QKPq+qj2c/Pb2N8SruHnZDkbybQqnLi+nuFkTAKfzBcKrP1SHnTgd3JONFyzperhhVsFzc&#10;8IYTsUnmIA7sJOsIZJ7J/xvyXwAAAP//AwBQSwECLQAUAAYACAAAACEAtoM4kv4AAADhAQAAEwAA&#10;AAAAAAAAAAAAAAAAAAAAW0NvbnRlbnRfVHlwZXNdLnhtbFBLAQItABQABgAIAAAAIQA4/SH/1gAA&#10;AJQBAAALAAAAAAAAAAAAAAAAAC8BAABfcmVscy8ucmVsc1BLAQItABQABgAIAAAAIQCUGS0+QgIA&#10;AH8EAAAOAAAAAAAAAAAAAAAAAC4CAABkcnMvZTJvRG9jLnhtbFBLAQItABQABgAIAAAAIQBZseyT&#10;4gAAAAsBAAAPAAAAAAAAAAAAAAAAAJwEAABkcnMvZG93bnJldi54bWxQSwUGAAAAAAQABADzAAAA&#10;qwUAAAAA&#10;" fillcolor="white [3201]" stroked="f" strokeweight=".5pt">
                <v:textbox>
                  <w:txbxContent>
                    <w:p w14:paraId="060863E4" w14:textId="54F594E3" w:rsidR="001F073D" w:rsidRPr="001F073D" w:rsidRDefault="001F073D" w:rsidP="001F073D">
                      <w:pPr>
                        <w:rPr>
                          <w:sz w:val="20"/>
                          <w:szCs w:val="20"/>
                        </w:rPr>
                      </w:pPr>
                      <w:r w:rsidRPr="001F073D">
                        <w:rPr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sz w:val="20"/>
                          <w:szCs w:val="20"/>
                        </w:rPr>
                        <w:t>b</w:t>
                      </w:r>
                      <w:r w:rsidRPr="001F073D"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3A849551" wp14:editId="5835AD7F">
            <wp:simplePos x="0" y="0"/>
            <wp:positionH relativeFrom="margin">
              <wp:posOffset>438007</wp:posOffset>
            </wp:positionH>
            <wp:positionV relativeFrom="paragraph">
              <wp:posOffset>2740660</wp:posOffset>
            </wp:positionV>
            <wp:extent cx="3486785" cy="2469515"/>
            <wp:effectExtent l="0" t="0" r="0" b="6985"/>
            <wp:wrapTopAndBottom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785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78B53" w14:textId="1BD4F669" w:rsidR="004F4CB4" w:rsidRDefault="004F4CB4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FDD5560" w14:textId="0F301769" w:rsidR="005F40AD" w:rsidRDefault="005F40AD" w:rsidP="005424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12C48">
        <w:rPr>
          <w:rFonts w:ascii="Calibri" w:hAnsi="Calibri" w:cs="Calibri"/>
          <w:b/>
          <w:bCs/>
          <w:sz w:val="24"/>
          <w:szCs w:val="24"/>
        </w:rPr>
        <w:lastRenderedPageBreak/>
        <w:t>Figure S</w:t>
      </w:r>
      <w:r w:rsidR="006D6D29">
        <w:rPr>
          <w:rFonts w:ascii="Calibri" w:hAnsi="Calibri" w:cs="Calibri"/>
          <w:b/>
          <w:bCs/>
          <w:sz w:val="24"/>
          <w:szCs w:val="24"/>
        </w:rPr>
        <w:t>2</w:t>
      </w:r>
      <w:r>
        <w:rPr>
          <w:rFonts w:ascii="Calibri" w:hAnsi="Calibri" w:cs="Calibri"/>
        </w:rPr>
        <w:t xml:space="preserve"> (a) Samples from the six Valle del Bove units plotted as Differentiation Index </w:t>
      </w:r>
      <w:r w:rsidR="00186439">
        <w:rPr>
          <w:rFonts w:ascii="Calibri" w:hAnsi="Calibri" w:cs="Calibri"/>
        </w:rPr>
        <w:t>(</w:t>
      </w:r>
      <w:r w:rsidR="00186439" w:rsidRPr="00186439">
        <w:rPr>
          <w:rFonts w:ascii="Calibri" w:hAnsi="Calibri" w:cs="Calibri"/>
        </w:rPr>
        <w:t>DI</w:t>
      </w:r>
      <w:r w:rsidR="00186439">
        <w:rPr>
          <w:rFonts w:ascii="Calibri" w:hAnsi="Calibri" w:cs="Calibri"/>
        </w:rPr>
        <w:t>, where DI</w:t>
      </w:r>
      <w:r w:rsidR="00186439" w:rsidRPr="00186439">
        <w:rPr>
          <w:rFonts w:ascii="Calibri" w:hAnsi="Calibri" w:cs="Calibri"/>
        </w:rPr>
        <w:t xml:space="preserve"> = normative q + or + ab + ne + lc</w:t>
      </w:r>
      <w:r w:rsidR="00186439">
        <w:rPr>
          <w:rFonts w:ascii="Calibri" w:hAnsi="Calibri" w:cs="Calibri"/>
        </w:rPr>
        <w:t>)</w:t>
      </w:r>
      <w:r w:rsidR="00186439" w:rsidRPr="00186439">
        <w:rPr>
          <w:rFonts w:ascii="Calibri" w:hAnsi="Calibri" w:cs="Calibri"/>
        </w:rPr>
        <w:t xml:space="preserve"> </w:t>
      </w:r>
      <w:r w:rsidRPr="00186439">
        <w:rPr>
          <w:rFonts w:ascii="Calibri" w:hAnsi="Calibri" w:cs="Calibri"/>
        </w:rPr>
        <w:t>vs degree</w:t>
      </w:r>
      <w:r>
        <w:rPr>
          <w:rFonts w:ascii="Calibri" w:hAnsi="Calibri" w:cs="Calibri"/>
        </w:rPr>
        <w:t xml:space="preserve"> of silica saturation / undersaturation, represented here as normative quartz and normative nepheline, respectively.  Salifizio-1 samples with no normative quartz or nepheline are transitional, containing normative olivine and hypersthene.  (b) Plot of Differentiation Index vs SiO</w:t>
      </w:r>
      <w:r w:rsidRPr="005F40AD">
        <w:rPr>
          <w:rFonts w:ascii="Calibri" w:hAnsi="Calibri" w:cs="Calibri"/>
          <w:vertAlign w:val="subscript"/>
        </w:rPr>
        <w:t>2</w:t>
      </w:r>
      <w:r w:rsidR="000758F4">
        <w:rPr>
          <w:rFonts w:ascii="Calibri" w:hAnsi="Calibri" w:cs="Calibri"/>
          <w:vertAlign w:val="subscript"/>
        </w:rPr>
        <w:t xml:space="preserve"> </w:t>
      </w:r>
      <w:r w:rsidR="000758F4">
        <w:rPr>
          <w:rFonts w:ascii="Calibri" w:hAnsi="Calibri" w:cs="Calibri"/>
        </w:rPr>
        <w:t>wt. %</w:t>
      </w:r>
      <w:r>
        <w:rPr>
          <w:rFonts w:ascii="Calibri" w:hAnsi="Calibri" w:cs="Calibri"/>
        </w:rPr>
        <w:t xml:space="preserve">.  Note the two distinct differentiation trends in both diagrams.  Lavas from Salifizio-1 and Piano </w:t>
      </w:r>
      <w:proofErr w:type="spellStart"/>
      <w:r>
        <w:rPr>
          <w:rFonts w:ascii="Calibri" w:hAnsi="Calibri" w:cs="Calibri"/>
        </w:rPr>
        <w:t>Provenzana</w:t>
      </w:r>
      <w:proofErr w:type="spellEnd"/>
      <w:r>
        <w:rPr>
          <w:rFonts w:ascii="Calibri" w:hAnsi="Calibri" w:cs="Calibri"/>
        </w:rPr>
        <w:t xml:space="preserve"> become more silica saturated as they become more evolved.  Those from Salifizio-2, </w:t>
      </w:r>
      <w:proofErr w:type="spellStart"/>
      <w:r>
        <w:rPr>
          <w:rFonts w:ascii="Calibri" w:hAnsi="Calibri" w:cs="Calibri"/>
        </w:rPr>
        <w:t>Cuvigghiuni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T</w:t>
      </w:r>
      <w:r w:rsidR="000758F4">
        <w:rPr>
          <w:rFonts w:ascii="Calibri" w:hAnsi="Calibri" w:cs="Calibri"/>
        </w:rPr>
        <w:t>r</w:t>
      </w:r>
      <w:r>
        <w:rPr>
          <w:rFonts w:ascii="Calibri" w:hAnsi="Calibri" w:cs="Calibri"/>
        </w:rPr>
        <w:t>ipodo</w:t>
      </w:r>
      <w:proofErr w:type="spellEnd"/>
      <w:r>
        <w:rPr>
          <w:rFonts w:ascii="Calibri" w:hAnsi="Calibri" w:cs="Calibri"/>
        </w:rPr>
        <w:t xml:space="preserve"> </w:t>
      </w:r>
      <w:r w:rsidR="000758F4">
        <w:rPr>
          <w:rFonts w:ascii="Calibri" w:hAnsi="Calibri" w:cs="Calibri"/>
        </w:rPr>
        <w:t xml:space="preserve">Member </w:t>
      </w:r>
      <w:r>
        <w:rPr>
          <w:rFonts w:ascii="Calibri" w:hAnsi="Calibri" w:cs="Calibri"/>
        </w:rPr>
        <w:t xml:space="preserve">and </w:t>
      </w:r>
      <w:proofErr w:type="spellStart"/>
      <w:r>
        <w:rPr>
          <w:rFonts w:ascii="Calibri" w:hAnsi="Calibri" w:cs="Calibri"/>
        </w:rPr>
        <w:t>Mongibello</w:t>
      </w:r>
      <w:proofErr w:type="spellEnd"/>
      <w:r>
        <w:rPr>
          <w:rFonts w:ascii="Calibri" w:hAnsi="Calibri" w:cs="Calibri"/>
        </w:rPr>
        <w:t xml:space="preserve"> become more silica undersaturated with increasing differentiation.</w:t>
      </w:r>
    </w:p>
    <w:p w14:paraId="480C053A" w14:textId="10316CEC" w:rsidR="008D5C93" w:rsidRDefault="008D5C93" w:rsidP="005424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32C4DF5" w14:textId="1160BE05" w:rsidR="008D5C93" w:rsidRDefault="008D5C93" w:rsidP="005424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7756D17" wp14:editId="47668A3A">
            <wp:simplePos x="0" y="0"/>
            <wp:positionH relativeFrom="margin">
              <wp:align>center</wp:align>
            </wp:positionH>
            <wp:positionV relativeFrom="paragraph">
              <wp:posOffset>210185</wp:posOffset>
            </wp:positionV>
            <wp:extent cx="4149725" cy="5987415"/>
            <wp:effectExtent l="0" t="0" r="3175" b="0"/>
            <wp:wrapTopAndBottom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9725" cy="5987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1E9F9" w14:textId="50B380CB" w:rsidR="00586597" w:rsidRDefault="00586597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14:paraId="17977A7B" w14:textId="19D906AD" w:rsidR="005F40AD" w:rsidRDefault="009D746E" w:rsidP="005424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12C48">
        <w:rPr>
          <w:rFonts w:ascii="Calibri" w:hAnsi="Calibri" w:cs="Calibri"/>
          <w:b/>
          <w:bCs/>
          <w:sz w:val="24"/>
          <w:szCs w:val="24"/>
        </w:rPr>
        <w:lastRenderedPageBreak/>
        <w:t>Figure S</w:t>
      </w:r>
      <w:r w:rsidR="006D6D29">
        <w:rPr>
          <w:rFonts w:ascii="Calibri" w:hAnsi="Calibri" w:cs="Calibri"/>
          <w:b/>
          <w:bCs/>
          <w:sz w:val="24"/>
          <w:szCs w:val="24"/>
        </w:rPr>
        <w:t>3</w:t>
      </w:r>
      <w:r>
        <w:rPr>
          <w:rFonts w:ascii="Calibri" w:hAnsi="Calibri" w:cs="Calibri"/>
        </w:rPr>
        <w:t xml:space="preserve"> Plot of Differentiation Index versus Th (ppm) for samples from the six Valle del Bove units.  </w:t>
      </w:r>
    </w:p>
    <w:p w14:paraId="78157C0B" w14:textId="6761788D" w:rsidR="005F40AD" w:rsidRDefault="00A12C48" w:rsidP="005424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1B959DB" wp14:editId="74C2F10B">
            <wp:simplePos x="0" y="0"/>
            <wp:positionH relativeFrom="margin">
              <wp:posOffset>573796</wp:posOffset>
            </wp:positionH>
            <wp:positionV relativeFrom="paragraph">
              <wp:posOffset>293370</wp:posOffset>
            </wp:positionV>
            <wp:extent cx="4303395" cy="3214370"/>
            <wp:effectExtent l="0" t="0" r="1905" b="508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S2_Di_v_Th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5"/>
                    <a:stretch/>
                  </pic:blipFill>
                  <pic:spPr bwMode="auto">
                    <a:xfrm>
                      <a:off x="0" y="0"/>
                      <a:ext cx="4303395" cy="3214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0AD94C" w14:textId="77EE1078" w:rsidR="004A0701" w:rsidRDefault="004A0701" w:rsidP="005424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44A442" w14:textId="37210521" w:rsidR="005F40AD" w:rsidRPr="004A0701" w:rsidRDefault="004A0701" w:rsidP="005424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A0701">
        <w:rPr>
          <w:rFonts w:ascii="Calibri" w:hAnsi="Calibri" w:cs="Calibri"/>
          <w:b/>
          <w:bCs/>
          <w:sz w:val="24"/>
          <w:szCs w:val="24"/>
        </w:rPr>
        <w:t xml:space="preserve">Figure S4.  </w:t>
      </w:r>
      <w:r>
        <w:rPr>
          <w:rFonts w:ascii="Calibri" w:hAnsi="Calibri" w:cs="Calibri"/>
          <w:sz w:val="24"/>
          <w:szCs w:val="24"/>
        </w:rPr>
        <w:t>Plot of Na</w:t>
      </w:r>
      <w:r w:rsidRPr="004A0701">
        <w:rPr>
          <w:rFonts w:ascii="Calibri" w:hAnsi="Calibri" w:cs="Calibri"/>
          <w:sz w:val="24"/>
          <w:szCs w:val="24"/>
          <w:vertAlign w:val="subscript"/>
        </w:rPr>
        <w:t>2</w:t>
      </w:r>
      <w:r>
        <w:rPr>
          <w:rFonts w:ascii="Calibri" w:hAnsi="Calibri" w:cs="Calibri"/>
          <w:sz w:val="24"/>
          <w:szCs w:val="24"/>
        </w:rPr>
        <w:t xml:space="preserve">O concentrations versus Zr/Nb ratio.  Data sources </w:t>
      </w:r>
      <w:r w:rsidR="00EB041A">
        <w:rPr>
          <w:rFonts w:ascii="Calibri" w:hAnsi="Calibri" w:cs="Calibri"/>
          <w:sz w:val="24"/>
          <w:szCs w:val="24"/>
        </w:rPr>
        <w:t xml:space="preserve">and symbols </w:t>
      </w:r>
      <w:r>
        <w:rPr>
          <w:rFonts w:ascii="Calibri" w:hAnsi="Calibri" w:cs="Calibri"/>
          <w:sz w:val="24"/>
          <w:szCs w:val="24"/>
        </w:rPr>
        <w:t xml:space="preserve">as in Figure 3 main text. </w:t>
      </w:r>
    </w:p>
    <w:p w14:paraId="555A333F" w14:textId="215A9F5A" w:rsidR="00A12C48" w:rsidRDefault="00CD291B" w:rsidP="005424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9504" behindDoc="0" locked="0" layoutInCell="1" allowOverlap="1" wp14:anchorId="21873256" wp14:editId="23852033">
            <wp:simplePos x="0" y="0"/>
            <wp:positionH relativeFrom="margin">
              <wp:align>center</wp:align>
            </wp:positionH>
            <wp:positionV relativeFrom="paragraph">
              <wp:posOffset>441114</wp:posOffset>
            </wp:positionV>
            <wp:extent cx="4741333" cy="3529152"/>
            <wp:effectExtent l="0" t="0" r="2540" b="0"/>
            <wp:wrapTopAndBottom/>
            <wp:docPr id="7" name="Picture 7" descr="Chart, scatter 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scatter chart, bubble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333" cy="3529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2C48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C348F" w14:textId="77777777" w:rsidR="00D541AF" w:rsidRDefault="00D541AF" w:rsidP="00E6741E">
      <w:pPr>
        <w:spacing w:after="0" w:line="240" w:lineRule="auto"/>
      </w:pPr>
      <w:r>
        <w:separator/>
      </w:r>
    </w:p>
  </w:endnote>
  <w:endnote w:type="continuationSeparator" w:id="0">
    <w:p w14:paraId="66F2496F" w14:textId="77777777" w:rsidR="00D541AF" w:rsidRDefault="00D541AF" w:rsidP="00E6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D7C63" w14:textId="77777777" w:rsidR="00D541AF" w:rsidRDefault="00D541AF" w:rsidP="00E6741E">
      <w:pPr>
        <w:spacing w:after="0" w:line="240" w:lineRule="auto"/>
      </w:pPr>
      <w:r>
        <w:separator/>
      </w:r>
    </w:p>
  </w:footnote>
  <w:footnote w:type="continuationSeparator" w:id="0">
    <w:p w14:paraId="0C53B53D" w14:textId="77777777" w:rsidR="00D541AF" w:rsidRDefault="00D541AF" w:rsidP="00E6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F807A" w14:textId="12FA1182" w:rsidR="006D6D29" w:rsidRDefault="006D6D29">
    <w:pPr>
      <w:pStyle w:val="Header"/>
    </w:pPr>
    <w:r>
      <w:t>ESM 1</w:t>
    </w:r>
  </w:p>
  <w:p w14:paraId="1E7E6512" w14:textId="77777777" w:rsidR="006D6D29" w:rsidRDefault="006D6D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954F4"/>
    <w:multiLevelType w:val="hybridMultilevel"/>
    <w:tmpl w:val="7E36608C"/>
    <w:lvl w:ilvl="0" w:tplc="A1BAE0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373C1"/>
    <w:multiLevelType w:val="hybridMultilevel"/>
    <w:tmpl w:val="378AF616"/>
    <w:lvl w:ilvl="0" w:tplc="CC28C5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4F9"/>
    <w:rsid w:val="00026359"/>
    <w:rsid w:val="000758F4"/>
    <w:rsid w:val="00090623"/>
    <w:rsid w:val="000E1770"/>
    <w:rsid w:val="00163F43"/>
    <w:rsid w:val="00186439"/>
    <w:rsid w:val="001F073D"/>
    <w:rsid w:val="00223C7C"/>
    <w:rsid w:val="003759FE"/>
    <w:rsid w:val="0039430D"/>
    <w:rsid w:val="003E66B9"/>
    <w:rsid w:val="004217B7"/>
    <w:rsid w:val="004A0701"/>
    <w:rsid w:val="004F4CB4"/>
    <w:rsid w:val="005424F9"/>
    <w:rsid w:val="00586597"/>
    <w:rsid w:val="005F40AD"/>
    <w:rsid w:val="005F6315"/>
    <w:rsid w:val="00626B54"/>
    <w:rsid w:val="006D6D29"/>
    <w:rsid w:val="007C699C"/>
    <w:rsid w:val="008D5C93"/>
    <w:rsid w:val="008E57A9"/>
    <w:rsid w:val="00912EB4"/>
    <w:rsid w:val="009D746E"/>
    <w:rsid w:val="00A12C48"/>
    <w:rsid w:val="00C830E3"/>
    <w:rsid w:val="00C86222"/>
    <w:rsid w:val="00CD291B"/>
    <w:rsid w:val="00D02119"/>
    <w:rsid w:val="00D541AF"/>
    <w:rsid w:val="00DE0D4C"/>
    <w:rsid w:val="00E47742"/>
    <w:rsid w:val="00E6741E"/>
    <w:rsid w:val="00EB041A"/>
    <w:rsid w:val="00EB0AF6"/>
    <w:rsid w:val="00EC44D0"/>
    <w:rsid w:val="00EE5A20"/>
    <w:rsid w:val="00F9461E"/>
    <w:rsid w:val="00FB1760"/>
    <w:rsid w:val="00FE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AA90D"/>
  <w15:chartTrackingRefBased/>
  <w15:docId w15:val="{BEAC02D2-FCC8-4F42-B06B-0AA138ACA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7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74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74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41E"/>
  </w:style>
  <w:style w:type="paragraph" w:styleId="Footer">
    <w:name w:val="footer"/>
    <w:basedOn w:val="Normal"/>
    <w:link w:val="FooterChar"/>
    <w:uiPriority w:val="99"/>
    <w:unhideWhenUsed/>
    <w:rsid w:val="00E674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41E"/>
  </w:style>
  <w:style w:type="character" w:styleId="Hyperlink">
    <w:name w:val="Hyperlink"/>
    <w:basedOn w:val="DefaultParagraphFont"/>
    <w:rsid w:val="00E674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kempton@ksu.ed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Kansas State University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Kempton</dc:creator>
  <cp:keywords/>
  <dc:description/>
  <cp:lastModifiedBy>Pamela Kempton</cp:lastModifiedBy>
  <cp:revision>22</cp:revision>
  <dcterms:created xsi:type="dcterms:W3CDTF">2019-08-03T13:19:00Z</dcterms:created>
  <dcterms:modified xsi:type="dcterms:W3CDTF">2021-05-10T16:42:00Z</dcterms:modified>
</cp:coreProperties>
</file>