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A6783" w14:textId="77777777" w:rsidR="0046582E" w:rsidRPr="001A00E9" w:rsidRDefault="0046582E" w:rsidP="0046582E">
      <w:pPr>
        <w:pStyle w:val="Heading2"/>
        <w:rPr>
          <w:rFonts w:ascii="Times New Roman" w:hAnsi="Times New Roman" w:cs="Times New Roman"/>
          <w:i/>
        </w:rPr>
      </w:pPr>
      <w:r w:rsidRPr="001A00E9">
        <w:rPr>
          <w:rFonts w:ascii="Times New Roman" w:hAnsi="Times New Roman" w:cs="Times New Roman"/>
        </w:rPr>
        <w:t xml:space="preserve">Online Resource 1: </w:t>
      </w:r>
      <w:r w:rsidRPr="001A00E9">
        <w:rPr>
          <w:rFonts w:ascii="Times New Roman" w:hAnsi="Times New Roman" w:cs="Times New Roman"/>
          <w:i/>
        </w:rPr>
        <w:t>ShapeCalc</w:t>
      </w:r>
    </w:p>
    <w:p w14:paraId="4FB1F9FC" w14:textId="77777777" w:rsidR="0046582E" w:rsidRPr="001A00E9" w:rsidRDefault="0046582E" w:rsidP="0046582E">
      <w:pPr>
        <w:rPr>
          <w:rFonts w:ascii="Times New Roman" w:hAnsi="Times New Roman" w:cs="Times New Roman"/>
        </w:rPr>
      </w:pPr>
      <w:r w:rsidRPr="001A00E9">
        <w:rPr>
          <w:rFonts w:ascii="Times New Roman" w:hAnsi="Times New Roman" w:cs="Times New Roman"/>
        </w:rPr>
        <w:t>See separate Excel Sheet.</w:t>
      </w:r>
    </w:p>
    <w:p w14:paraId="79D019E0" w14:textId="77777777" w:rsidR="0046582E" w:rsidRPr="001A00E9" w:rsidRDefault="0046582E" w:rsidP="0046582E">
      <w:pPr>
        <w:rPr>
          <w:rFonts w:ascii="Times New Roman" w:hAnsi="Times New Roman" w:cs="Times New Roman"/>
        </w:rPr>
      </w:pPr>
    </w:p>
    <w:p w14:paraId="3F7DA4B4" w14:textId="77777777" w:rsidR="0046582E" w:rsidRPr="001A00E9" w:rsidRDefault="0046582E" w:rsidP="0046582E">
      <w:pPr>
        <w:pStyle w:val="Heading2"/>
        <w:rPr>
          <w:rFonts w:ascii="Times New Roman" w:hAnsi="Times New Roman" w:cs="Times New Roman"/>
        </w:rPr>
      </w:pPr>
      <w:r w:rsidRPr="001A00E9">
        <w:rPr>
          <w:rFonts w:ascii="Times New Roman" w:hAnsi="Times New Roman" w:cs="Times New Roman"/>
        </w:rPr>
        <w:t xml:space="preserve">Online Resource 2: </w:t>
      </w:r>
      <w:r w:rsidRPr="001A00E9">
        <w:rPr>
          <w:rFonts w:ascii="Times New Roman" w:hAnsi="Times New Roman" w:cs="Times New Roman"/>
          <w:i/>
        </w:rPr>
        <w:t xml:space="preserve">ShapeCalc </w:t>
      </w:r>
      <w:r w:rsidRPr="001A00E9">
        <w:rPr>
          <w:rFonts w:ascii="Times New Roman" w:hAnsi="Times New Roman" w:cs="Times New Roman"/>
        </w:rPr>
        <w:t>Documentation</w:t>
      </w:r>
    </w:p>
    <w:p w14:paraId="522470D2" w14:textId="77777777" w:rsidR="0046582E" w:rsidRPr="001A00E9" w:rsidRDefault="0046582E" w:rsidP="0046582E">
      <w:pPr>
        <w:spacing w:line="360" w:lineRule="auto"/>
        <w:rPr>
          <w:rFonts w:ascii="Times New Roman" w:hAnsi="Times New Roman" w:cs="Times New Roman"/>
        </w:rPr>
      </w:pPr>
      <w:r w:rsidRPr="001A00E9">
        <w:rPr>
          <w:rFonts w:ascii="Times New Roman" w:hAnsi="Times New Roman" w:cs="Times New Roman"/>
          <w:i/>
        </w:rPr>
        <w:t xml:space="preserve">ShapeCalc </w:t>
      </w:r>
      <w:r w:rsidRPr="001A00E9">
        <w:rPr>
          <w:rFonts w:ascii="Times New Roman" w:hAnsi="Times New Roman" w:cs="Times New Roman"/>
        </w:rPr>
        <w:t>provides 3D (</w:t>
      </w:r>
      <w:r w:rsidRPr="001A00E9">
        <w:rPr>
          <w:rFonts w:ascii="Times New Roman" w:hAnsi="Times New Roman" w:cs="Times New Roman"/>
          <w:i/>
        </w:rPr>
        <w:t>S:I:L</w:t>
      </w:r>
      <w:r w:rsidRPr="001A00E9">
        <w:rPr>
          <w:rFonts w:ascii="Times New Roman" w:hAnsi="Times New Roman" w:cs="Times New Roman"/>
        </w:rPr>
        <w:t>) shape estimates for 2D (</w:t>
      </w:r>
      <w:r w:rsidRPr="001A00E9">
        <w:rPr>
          <w:rFonts w:ascii="Times New Roman" w:hAnsi="Times New Roman" w:cs="Times New Roman"/>
          <w:i/>
        </w:rPr>
        <w:t>w-l</w:t>
      </w:r>
      <w:r w:rsidRPr="001A00E9">
        <w:rPr>
          <w:rFonts w:ascii="Times New Roman" w:hAnsi="Times New Roman" w:cs="Times New Roman"/>
        </w:rPr>
        <w:t>)</w:t>
      </w:r>
      <w:r w:rsidRPr="001A00E9">
        <w:rPr>
          <w:rFonts w:ascii="Times New Roman" w:hAnsi="Times New Roman" w:cs="Times New Roman"/>
          <w:i/>
        </w:rPr>
        <w:softHyphen/>
        <w:t xml:space="preserve"> </w:t>
      </w:r>
      <w:r w:rsidRPr="001A00E9">
        <w:rPr>
          <w:rFonts w:ascii="Times New Roman" w:hAnsi="Times New Roman" w:cs="Times New Roman"/>
        </w:rPr>
        <w:t xml:space="preserve">sample data. Best estimates are found by comparing the sample </w:t>
      </w:r>
      <w:r w:rsidRPr="001A00E9">
        <w:rPr>
          <w:rFonts w:ascii="Times New Roman" w:hAnsi="Times New Roman" w:cs="Times New Roman"/>
          <w:i/>
        </w:rPr>
        <w:t xml:space="preserve">w/l </w:t>
      </w:r>
      <w:r w:rsidRPr="001A00E9">
        <w:rPr>
          <w:rFonts w:ascii="Times New Roman" w:hAnsi="Times New Roman" w:cs="Times New Roman"/>
        </w:rPr>
        <w:t xml:space="preserve">distribution with 2618 model </w:t>
      </w:r>
      <w:r w:rsidRPr="001A00E9">
        <w:rPr>
          <w:rFonts w:ascii="Times New Roman" w:hAnsi="Times New Roman" w:cs="Times New Roman"/>
          <w:i/>
        </w:rPr>
        <w:t xml:space="preserve">w/l </w:t>
      </w:r>
      <w:r w:rsidRPr="001A00E9">
        <w:rPr>
          <w:rFonts w:ascii="Times New Roman" w:hAnsi="Times New Roman" w:cs="Times New Roman"/>
        </w:rPr>
        <w:t xml:space="preserve">distributions covering shapes from 1:1:1 to 1:20:20. The approach taken is analogous to </w:t>
      </w:r>
      <w:r w:rsidRPr="001A00E9">
        <w:rPr>
          <w:rFonts w:ascii="Times New Roman" w:hAnsi="Times New Roman" w:cs="Times New Roman"/>
          <w:i/>
        </w:rPr>
        <w:t>CSDslice</w:t>
      </w:r>
      <w:r w:rsidRPr="001A00E9">
        <w:rPr>
          <w:rFonts w:ascii="Times New Roman" w:hAnsi="Times New Roman" w:cs="Times New Roman"/>
        </w:rPr>
        <w:t xml:space="preserve">, including the binning of the </w:t>
      </w:r>
      <w:r w:rsidRPr="001A00E9">
        <w:rPr>
          <w:rFonts w:ascii="Times New Roman" w:hAnsi="Times New Roman" w:cs="Times New Roman"/>
          <w:i/>
        </w:rPr>
        <w:t xml:space="preserve">w/l </w:t>
      </w:r>
      <w:r w:rsidRPr="001A00E9">
        <w:rPr>
          <w:rFonts w:ascii="Times New Roman" w:hAnsi="Times New Roman" w:cs="Times New Roman"/>
        </w:rPr>
        <w:t xml:space="preserve">distribution into 25 bins with a width of </w:t>
      </w:r>
      <w:r w:rsidRPr="001A00E9">
        <w:rPr>
          <w:rFonts w:ascii="Times New Roman" w:hAnsi="Times New Roman" w:cs="Times New Roman"/>
          <w:i/>
        </w:rPr>
        <w:t xml:space="preserve">Δw/l </w:t>
      </w:r>
      <w:r w:rsidRPr="001A00E9">
        <w:rPr>
          <w:rFonts w:ascii="Times New Roman" w:hAnsi="Times New Roman" w:cs="Times New Roman"/>
        </w:rPr>
        <w:t>= 0.04.</w:t>
      </w:r>
      <w:r w:rsidRPr="001A00E9">
        <w:rPr>
          <w:rFonts w:ascii="Times New Roman" w:hAnsi="Times New Roman" w:cs="Times New Roman"/>
          <w:i/>
        </w:rPr>
        <w:t xml:space="preserve"> </w:t>
      </w:r>
      <w:r w:rsidRPr="001A00E9">
        <w:rPr>
          <w:rFonts w:ascii="Times New Roman" w:hAnsi="Times New Roman" w:cs="Times New Roman"/>
        </w:rPr>
        <w:t xml:space="preserve">However, </w:t>
      </w:r>
      <w:r w:rsidRPr="001A00E9">
        <w:rPr>
          <w:rFonts w:ascii="Times New Roman" w:hAnsi="Times New Roman" w:cs="Times New Roman"/>
          <w:i/>
        </w:rPr>
        <w:t xml:space="preserve">ShapeCalc </w:t>
      </w:r>
      <w:r w:rsidRPr="001A00E9">
        <w:rPr>
          <w:rFonts w:ascii="Times New Roman" w:hAnsi="Times New Roman" w:cs="Times New Roman"/>
        </w:rPr>
        <w:t>is distinguished by a seven key differences:</w:t>
      </w:r>
    </w:p>
    <w:p w14:paraId="5B09038D" w14:textId="77777777" w:rsidR="0046582E" w:rsidRPr="001A00E9" w:rsidRDefault="0046582E" w:rsidP="0046582E">
      <w:pPr>
        <w:pStyle w:val="ListParagraph"/>
        <w:numPr>
          <w:ilvl w:val="0"/>
          <w:numId w:val="1"/>
        </w:numPr>
        <w:spacing w:line="360" w:lineRule="auto"/>
        <w:ind w:left="714" w:hanging="357"/>
        <w:contextualSpacing w:val="0"/>
        <w:rPr>
          <w:rFonts w:ascii="Times New Roman" w:hAnsi="Times New Roman" w:cs="Times New Roman"/>
        </w:rPr>
      </w:pPr>
      <w:r w:rsidRPr="001A00E9">
        <w:rPr>
          <w:rFonts w:ascii="Times New Roman" w:hAnsi="Times New Roman" w:cs="Times New Roman"/>
        </w:rPr>
        <w:t xml:space="preserve">The model </w:t>
      </w:r>
      <w:r w:rsidRPr="001A00E9">
        <w:rPr>
          <w:rFonts w:ascii="Times New Roman" w:hAnsi="Times New Roman" w:cs="Times New Roman"/>
          <w:i/>
        </w:rPr>
        <w:t>w/l</w:t>
      </w:r>
      <w:r w:rsidRPr="001A00E9">
        <w:rPr>
          <w:rFonts w:ascii="Times New Roman" w:hAnsi="Times New Roman" w:cs="Times New Roman"/>
        </w:rPr>
        <w:t xml:space="preserve"> distributions for </w:t>
      </w:r>
      <w:r w:rsidRPr="001A00E9">
        <w:rPr>
          <w:rFonts w:ascii="Times New Roman" w:hAnsi="Times New Roman" w:cs="Times New Roman"/>
          <w:i/>
        </w:rPr>
        <w:t xml:space="preserve">ShapeCalc </w:t>
      </w:r>
      <w:r w:rsidRPr="001A00E9">
        <w:rPr>
          <w:rFonts w:ascii="Times New Roman" w:hAnsi="Times New Roman" w:cs="Times New Roman"/>
        </w:rPr>
        <w:t xml:space="preserve">are derived from </w:t>
      </w:r>
      <w:r w:rsidRPr="001A00E9">
        <w:rPr>
          <w:rFonts w:ascii="Times New Roman" w:hAnsi="Times New Roman" w:cs="Times New Roman"/>
          <w:i/>
        </w:rPr>
        <w:t xml:space="preserve">CSDCorrections </w:t>
      </w:r>
      <w:r w:rsidRPr="001A00E9">
        <w:rPr>
          <w:rFonts w:ascii="Times New Roman" w:hAnsi="Times New Roman" w:cs="Times New Roman"/>
        </w:rPr>
        <w:t xml:space="preserve">(v 1.61; M. Higgins, personal communication), as they allow a more robust shape differentiation for </w:t>
      </w:r>
      <w:r w:rsidRPr="001A00E9">
        <w:rPr>
          <w:rFonts w:ascii="Times New Roman" w:hAnsi="Times New Roman" w:cs="Times New Roman"/>
          <w:i/>
        </w:rPr>
        <w:t>S</w:t>
      </w:r>
      <w:r w:rsidRPr="001A00E9">
        <w:rPr>
          <w:rFonts w:ascii="Times New Roman" w:hAnsi="Times New Roman" w:cs="Times New Roman"/>
        </w:rPr>
        <w:t>≈</w:t>
      </w:r>
      <w:r w:rsidRPr="001A00E9">
        <w:rPr>
          <w:rFonts w:ascii="Times New Roman" w:hAnsi="Times New Roman" w:cs="Times New Roman"/>
          <w:i/>
        </w:rPr>
        <w:t xml:space="preserve">I </w:t>
      </w:r>
      <w:r w:rsidRPr="001A00E9">
        <w:rPr>
          <w:rFonts w:ascii="Times New Roman" w:hAnsi="Times New Roman" w:cs="Times New Roman"/>
        </w:rPr>
        <w:t xml:space="preserve">(cf. Methods). Furthermore, using the same models for shape estimates and crystal size distribution analysis via </w:t>
      </w:r>
      <w:r w:rsidRPr="001A00E9">
        <w:rPr>
          <w:rFonts w:ascii="Times New Roman" w:hAnsi="Times New Roman" w:cs="Times New Roman"/>
          <w:i/>
        </w:rPr>
        <w:t xml:space="preserve">CSDCorrections </w:t>
      </w:r>
      <w:r w:rsidRPr="001A00E9">
        <w:rPr>
          <w:rFonts w:ascii="Times New Roman" w:hAnsi="Times New Roman" w:cs="Times New Roman"/>
        </w:rPr>
        <w:t>offers superior internal consistency for any CSD work.</w:t>
      </w:r>
    </w:p>
    <w:p w14:paraId="03DA1B35" w14:textId="77777777" w:rsidR="0046582E" w:rsidRPr="001A00E9" w:rsidRDefault="0046582E" w:rsidP="0046582E">
      <w:pPr>
        <w:pStyle w:val="ListParagraph"/>
        <w:numPr>
          <w:ilvl w:val="0"/>
          <w:numId w:val="1"/>
        </w:numPr>
        <w:spacing w:line="360" w:lineRule="auto"/>
        <w:ind w:left="714" w:hanging="357"/>
        <w:contextualSpacing w:val="0"/>
        <w:rPr>
          <w:rFonts w:ascii="Times New Roman" w:hAnsi="Times New Roman" w:cs="Times New Roman"/>
        </w:rPr>
      </w:pPr>
      <w:r w:rsidRPr="001A00E9">
        <w:rPr>
          <w:rFonts w:ascii="Times New Roman" w:hAnsi="Times New Roman" w:cs="Times New Roman"/>
        </w:rPr>
        <w:t>Each model distribution is based on 20000 random sections of a given model shape (</w:t>
      </w:r>
      <w:r w:rsidRPr="001A00E9">
        <w:rPr>
          <w:rFonts w:ascii="Times New Roman" w:hAnsi="Times New Roman" w:cs="Times New Roman"/>
          <w:i/>
        </w:rPr>
        <w:t>CSDslice</w:t>
      </w:r>
      <w:r w:rsidRPr="001A00E9">
        <w:rPr>
          <w:rFonts w:ascii="Times New Roman" w:hAnsi="Times New Roman" w:cs="Times New Roman"/>
        </w:rPr>
        <w:t>: 10000 datapoints).</w:t>
      </w:r>
    </w:p>
    <w:p w14:paraId="615271B4" w14:textId="77777777" w:rsidR="0046582E" w:rsidRPr="001A00E9" w:rsidRDefault="0046582E" w:rsidP="0046582E">
      <w:pPr>
        <w:pStyle w:val="ListParagraph"/>
        <w:numPr>
          <w:ilvl w:val="0"/>
          <w:numId w:val="1"/>
        </w:numPr>
        <w:spacing w:line="360" w:lineRule="auto"/>
        <w:ind w:left="714" w:hanging="357"/>
        <w:contextualSpacing w:val="0"/>
        <w:rPr>
          <w:rFonts w:ascii="Times New Roman" w:hAnsi="Times New Roman" w:cs="Times New Roman"/>
        </w:rPr>
      </w:pPr>
      <w:r w:rsidRPr="001A00E9">
        <w:rPr>
          <w:rFonts w:ascii="Times New Roman" w:hAnsi="Times New Roman" w:cs="Times New Roman"/>
        </w:rPr>
        <w:t xml:space="preserve">The database for </w:t>
      </w:r>
      <w:r w:rsidRPr="001A00E9">
        <w:rPr>
          <w:rFonts w:ascii="Times New Roman" w:hAnsi="Times New Roman" w:cs="Times New Roman"/>
          <w:i/>
        </w:rPr>
        <w:t xml:space="preserve">ShapeCalc </w:t>
      </w:r>
      <w:r w:rsidRPr="001A00E9">
        <w:rPr>
          <w:rFonts w:ascii="Times New Roman" w:hAnsi="Times New Roman" w:cs="Times New Roman"/>
        </w:rPr>
        <w:t>includes shapes up to 1:20:20, allowing adequate representation of crystals with extreme aspect ratios, which may be expected in rapidly cooled samples (</w:t>
      </w:r>
      <w:r w:rsidRPr="001A00E9">
        <w:rPr>
          <w:rFonts w:ascii="Times New Roman" w:hAnsi="Times New Roman" w:cs="Times New Roman"/>
          <w:i/>
        </w:rPr>
        <w:t>CSDslice</w:t>
      </w:r>
      <w:r w:rsidRPr="001A00E9">
        <w:rPr>
          <w:rFonts w:ascii="Times New Roman" w:hAnsi="Times New Roman" w:cs="Times New Roman"/>
        </w:rPr>
        <w:t>: 1:1:1 - 1:10:10).</w:t>
      </w:r>
    </w:p>
    <w:p w14:paraId="32E10219" w14:textId="77777777" w:rsidR="0046582E" w:rsidRPr="001A00E9" w:rsidRDefault="0046582E" w:rsidP="0046582E">
      <w:pPr>
        <w:pStyle w:val="ListParagraph"/>
        <w:numPr>
          <w:ilvl w:val="0"/>
          <w:numId w:val="1"/>
        </w:numPr>
        <w:spacing w:line="360" w:lineRule="auto"/>
        <w:ind w:left="714" w:hanging="357"/>
        <w:contextualSpacing w:val="0"/>
        <w:rPr>
          <w:rFonts w:ascii="Times New Roman" w:hAnsi="Times New Roman" w:cs="Times New Roman"/>
        </w:rPr>
      </w:pPr>
      <w:r w:rsidRPr="001A00E9">
        <w:rPr>
          <w:rFonts w:ascii="Times New Roman" w:hAnsi="Times New Roman" w:cs="Times New Roman"/>
        </w:rPr>
        <w:t xml:space="preserve">The </w:t>
      </w:r>
      <w:r w:rsidRPr="001A00E9">
        <w:rPr>
          <w:rFonts w:ascii="Times New Roman" w:hAnsi="Times New Roman" w:cs="Times New Roman"/>
          <w:i/>
        </w:rPr>
        <w:t xml:space="preserve">ShapeCalc </w:t>
      </w:r>
      <w:r w:rsidRPr="001A00E9">
        <w:rPr>
          <w:rFonts w:ascii="Times New Roman" w:hAnsi="Times New Roman" w:cs="Times New Roman"/>
        </w:rPr>
        <w:t xml:space="preserve">data grid offers a higher resolution for 3D intermediate and long dimensions </w:t>
      </w:r>
      <w:r w:rsidRPr="001A00E9">
        <w:rPr>
          <w:rFonts w:ascii="Times New Roman" w:hAnsi="Times New Roman" w:cs="Times New Roman"/>
          <w:i/>
        </w:rPr>
        <w:t xml:space="preserve">I </w:t>
      </w:r>
      <w:r w:rsidRPr="001A00E9">
        <w:rPr>
          <w:rFonts w:ascii="Times New Roman" w:hAnsi="Times New Roman" w:cs="Times New Roman"/>
        </w:rPr>
        <w:t xml:space="preserve">and </w:t>
      </w:r>
      <w:r w:rsidRPr="001A00E9">
        <w:rPr>
          <w:rFonts w:ascii="Times New Roman" w:hAnsi="Times New Roman" w:cs="Times New Roman"/>
          <w:i/>
        </w:rPr>
        <w:t>L,</w:t>
      </w:r>
      <w:r w:rsidRPr="001A00E9">
        <w:rPr>
          <w:rFonts w:ascii="Times New Roman" w:hAnsi="Times New Roman" w:cs="Times New Roman"/>
        </w:rPr>
        <w:t xml:space="preserve"> and it reflects the greater uncertainty on </w:t>
      </w:r>
      <w:r w:rsidRPr="001A00E9">
        <w:rPr>
          <w:rFonts w:ascii="Times New Roman" w:hAnsi="Times New Roman" w:cs="Times New Roman"/>
          <w:i/>
        </w:rPr>
        <w:t>L</w:t>
      </w:r>
      <w:r w:rsidRPr="001A00E9">
        <w:rPr>
          <w:rFonts w:ascii="Times New Roman" w:hAnsi="Times New Roman" w:cs="Times New Roman"/>
        </w:rPr>
        <w:t xml:space="preserve"> with a wider spacing (Table S1; Figure S1). The total number of model shapes included in the </w:t>
      </w:r>
      <w:r w:rsidRPr="001A00E9">
        <w:rPr>
          <w:rFonts w:ascii="Times New Roman" w:hAnsi="Times New Roman" w:cs="Times New Roman"/>
          <w:i/>
        </w:rPr>
        <w:t>ShapeCalc</w:t>
      </w:r>
      <w:r w:rsidRPr="001A00E9">
        <w:rPr>
          <w:rFonts w:ascii="Times New Roman" w:hAnsi="Times New Roman" w:cs="Times New Roman"/>
        </w:rPr>
        <w:t xml:space="preserve"> database is 2618 (</w:t>
      </w:r>
      <w:r w:rsidRPr="001A00E9">
        <w:rPr>
          <w:rFonts w:ascii="Times New Roman" w:hAnsi="Times New Roman" w:cs="Times New Roman"/>
          <w:i/>
        </w:rPr>
        <w:t>CSDslice</w:t>
      </w:r>
      <w:r w:rsidRPr="001A00E9">
        <w:rPr>
          <w:rFonts w:ascii="Times New Roman" w:hAnsi="Times New Roman" w:cs="Times New Roman"/>
        </w:rPr>
        <w:t>: 703).</w:t>
      </w:r>
    </w:p>
    <w:p w14:paraId="7D1A4EA6" w14:textId="77777777" w:rsidR="0046582E" w:rsidRPr="001A00E9" w:rsidRDefault="0046582E" w:rsidP="0046582E">
      <w:pPr>
        <w:pStyle w:val="ListParagraph"/>
        <w:numPr>
          <w:ilvl w:val="0"/>
          <w:numId w:val="1"/>
        </w:numPr>
        <w:spacing w:line="360" w:lineRule="auto"/>
        <w:rPr>
          <w:rFonts w:ascii="Times New Roman" w:hAnsi="Times New Roman" w:cs="Times New Roman"/>
        </w:rPr>
      </w:pPr>
      <w:r w:rsidRPr="001A00E9">
        <w:rPr>
          <w:rFonts w:ascii="Times New Roman" w:hAnsi="Times New Roman" w:cs="Times New Roman"/>
        </w:rPr>
        <w:t xml:space="preserve">The best </w:t>
      </w:r>
      <w:r w:rsidRPr="001A00E9">
        <w:rPr>
          <w:rFonts w:ascii="Times New Roman" w:hAnsi="Times New Roman" w:cs="Times New Roman"/>
          <w:i/>
        </w:rPr>
        <w:t xml:space="preserve">S:I:L </w:t>
      </w:r>
      <w:r w:rsidRPr="001A00E9">
        <w:rPr>
          <w:rFonts w:ascii="Times New Roman" w:hAnsi="Times New Roman" w:cs="Times New Roman"/>
        </w:rPr>
        <w:t>estimate is found by maximising the cumulative</w:t>
      </w:r>
      <w:r w:rsidRPr="001A00E9">
        <w:rPr>
          <w:rFonts w:ascii="Times New Roman" w:hAnsi="Times New Roman" w:cs="Times New Roman"/>
          <w:i/>
        </w:rPr>
        <w:t xml:space="preserve"> </w:t>
      </w:r>
      <w:r w:rsidRPr="001A00E9">
        <w:rPr>
          <w:rFonts w:ascii="Times New Roman" w:hAnsi="Times New Roman" w:cs="Times New Roman"/>
        </w:rPr>
        <w:t xml:space="preserve">goodness of fit (GOF) between sample and model </w:t>
      </w:r>
      <w:r w:rsidRPr="001A00E9">
        <w:rPr>
          <w:rFonts w:ascii="Times New Roman" w:hAnsi="Times New Roman" w:cs="Times New Roman"/>
          <w:i/>
        </w:rPr>
        <w:t>w/l</w:t>
      </w:r>
      <w:r w:rsidRPr="001A00E9">
        <w:rPr>
          <w:rFonts w:ascii="Times New Roman" w:hAnsi="Times New Roman" w:cs="Times New Roman"/>
        </w:rPr>
        <w:t xml:space="preserve"> distributions (Fig. S2), calculated as </w:t>
      </w:r>
    </w:p>
    <w:p w14:paraId="754820C6" w14:textId="77777777" w:rsidR="0046582E" w:rsidRPr="001A00E9" w:rsidRDefault="0046582E" w:rsidP="0046582E">
      <w:pPr>
        <w:pStyle w:val="ListParagraph"/>
        <w:spacing w:line="360" w:lineRule="auto"/>
        <w:rPr>
          <w:rFonts w:ascii="Times New Roman" w:hAnsi="Times New Roman" w:cs="Times New Roman"/>
        </w:rPr>
      </w:pPr>
      <w:r w:rsidRPr="001A00E9">
        <w:rPr>
          <w:rFonts w:ascii="Times New Roman" w:hAnsi="Times New Roman" w:cs="Times New Roman"/>
          <w:noProof/>
          <w:lang w:eastAsia="zh-TW"/>
        </w:rPr>
        <mc:AlternateContent>
          <mc:Choice Requires="wps">
            <w:drawing>
              <wp:anchor distT="45720" distB="45720" distL="114300" distR="114300" simplePos="0" relativeHeight="251659264" behindDoc="1" locked="0" layoutInCell="1" allowOverlap="1" wp14:anchorId="3DA5B576" wp14:editId="192F4271">
                <wp:simplePos x="0" y="0"/>
                <wp:positionH relativeFrom="margin">
                  <wp:align>right</wp:align>
                </wp:positionH>
                <wp:positionV relativeFrom="paragraph">
                  <wp:posOffset>339283</wp:posOffset>
                </wp:positionV>
                <wp:extent cx="353695" cy="274320"/>
                <wp:effectExtent l="0" t="0" r="825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274320"/>
                        </a:xfrm>
                        <a:prstGeom prst="rect">
                          <a:avLst/>
                        </a:prstGeom>
                        <a:solidFill>
                          <a:srgbClr val="FFFFFF"/>
                        </a:solidFill>
                        <a:ln w="9525">
                          <a:noFill/>
                          <a:miter lim="800000"/>
                          <a:headEnd/>
                          <a:tailEnd/>
                        </a:ln>
                      </wps:spPr>
                      <wps:txbx>
                        <w:txbxContent>
                          <w:p w14:paraId="4A0B3AAA" w14:textId="77777777" w:rsidR="0046582E" w:rsidRDefault="0046582E" w:rsidP="0046582E">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5B576" id="_x0000_t202" coordsize="21600,21600" o:spt="202" path="m,l,21600r21600,l21600,xe">
                <v:stroke joinstyle="miter"/>
                <v:path gradientshapeok="t" o:connecttype="rect"/>
              </v:shapetype>
              <v:shape id="Text Box 2" o:spid="_x0000_s1026" type="#_x0000_t202" style="position:absolute;left:0;text-align:left;margin-left:-23.35pt;margin-top:26.7pt;width:27.85pt;height:21.6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" stroked="f">
                <v:textbox>
                  <w:txbxContent>
                    <w:p w14:paraId="4A0B3AAA" w14:textId="77777777" w:rsidR="0046582E" w:rsidRDefault="0046582E" w:rsidP="0046582E">
                      <w:r>
                        <w:t>(1)</w:t>
                      </w:r>
                    </w:p>
                  </w:txbxContent>
                </v:textbox>
                <w10:wrap anchorx="margin"/>
              </v:shape>
            </w:pict>
          </mc:Fallback>
        </mc:AlternateContent>
      </w:r>
    </w:p>
    <w:p w14:paraId="6B1E507A" w14:textId="77777777" w:rsidR="0046582E" w:rsidRPr="001A00E9" w:rsidRDefault="00C7106C" w:rsidP="0046582E">
      <w:pPr>
        <w:pStyle w:val="ListParagraph"/>
        <w:spacing w:line="360" w:lineRule="auto"/>
        <w:jc w:val="both"/>
        <w:rPr>
          <w:rFonts w:ascii="Times New Roman" w:eastAsiaTheme="minorEastAsia" w:hAnsi="Times New Roman" w:cs="Times New Roman"/>
        </w:rPr>
      </w:pPr>
      <m:oMathPara>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r>
            <w:rPr>
              <w:rFonts w:ascii="Cambria Math" w:eastAsiaTheme="minorEastAsia" w:hAnsi="Cambria Math" w:cs="Times New Roman"/>
            </w:rPr>
            <m:t>=1-</m:t>
          </m:r>
          <m:f>
            <m:fPr>
              <m:ctrlPr>
                <w:rPr>
                  <w:rFonts w:ascii="Cambria Math" w:eastAsiaTheme="minorEastAsia" w:hAnsi="Cambria Math" w:cs="Times New Roman"/>
                  <w:i/>
                </w:rPr>
              </m:ctrlPr>
            </m:fPr>
            <m:num>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25</m:t>
                  </m:r>
                </m:sup>
                <m:e>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j</m:t>
                      </m:r>
                    </m:sup>
                    <m:e>
                      <m:sSup>
                        <m:sSupPr>
                          <m:ctrlPr>
                            <w:rPr>
                              <w:rFonts w:ascii="Cambria Math" w:eastAsiaTheme="minorEastAsia" w:hAnsi="Cambria Math" w:cs="Times New Roman"/>
                              <w:i/>
                            </w:rPr>
                          </m:ctrlPr>
                        </m:sSupPr>
                        <m:e>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r>
                            <w:rPr>
                              <w:rFonts w:ascii="Cambria Math" w:eastAsiaTheme="minorEastAsia" w:hAnsi="Cambria Math" w:cs="Times New Roman"/>
                            </w:rPr>
                            <m:t>)</m:t>
                          </m:r>
                        </m:e>
                        <m:sup>
                          <m:r>
                            <w:rPr>
                              <w:rFonts w:ascii="Cambria Math" w:eastAsiaTheme="minorEastAsia" w:hAnsi="Cambria Math" w:cs="Times New Roman"/>
                            </w:rPr>
                            <m:t>2</m:t>
                          </m:r>
                        </m:sup>
                      </m:sSup>
                    </m:e>
                  </m:nary>
                </m:e>
              </m:nary>
            </m:num>
            <m:den>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25</m:t>
                  </m:r>
                </m:sup>
                <m:e>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j</m:t>
                      </m:r>
                    </m:sup>
                    <m:e>
                      <m:sSup>
                        <m:sSupPr>
                          <m:ctrlPr>
                            <w:rPr>
                              <w:rFonts w:ascii="Cambria Math" w:hAnsi="Cambria Math" w:cs="Times New Roman"/>
                              <w:i/>
                            </w:rPr>
                          </m:ctrlPr>
                        </m:sSup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m:t>
                                      </m:r>
                                    </m:e>
                                  </m:nary>
                                </m:num>
                                <m:den>
                                  <m:r>
                                    <w:rPr>
                                      <w:rFonts w:ascii="Cambria Math" w:hAnsi="Cambria Math" w:cs="Times New Roman"/>
                                    </w:rPr>
                                    <m:t>25</m:t>
                                  </m:r>
                                </m:den>
                              </m:f>
                            </m:e>
                          </m:d>
                        </m:e>
                        <m:sup>
                          <m:r>
                            <w:rPr>
                              <w:rFonts w:ascii="Cambria Math" w:hAnsi="Cambria Math" w:cs="Times New Roman"/>
                            </w:rPr>
                            <m:t>2</m:t>
                          </m:r>
                        </m:sup>
                      </m:sSup>
                    </m:e>
                  </m:nary>
                </m:e>
              </m:nary>
            </m:den>
          </m:f>
        </m:oMath>
      </m:oMathPara>
    </w:p>
    <w:p w14:paraId="05023E9A" w14:textId="77777777" w:rsidR="0046582E" w:rsidRPr="001A00E9" w:rsidRDefault="0046582E" w:rsidP="0046582E">
      <w:pPr>
        <w:spacing w:line="360" w:lineRule="auto"/>
        <w:ind w:left="720"/>
        <w:jc w:val="both"/>
        <w:rPr>
          <w:rFonts w:ascii="Times New Roman" w:hAnsi="Times New Roman" w:cs="Times New Roman"/>
        </w:rPr>
      </w:pPr>
      <w:r w:rsidRPr="001A00E9">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r w:rsidRPr="001A00E9">
        <w:rPr>
          <w:rFonts w:ascii="Times New Roman" w:eastAsiaTheme="minorEastAsia" w:hAnsi="Times New Roman" w:cs="Times New Roman"/>
        </w:rPr>
        <w:t xml:space="preserve"> is the normalised frequency of crystals in bin</w:t>
      </w:r>
      <m:oMath>
        <m:r>
          <w:rPr>
            <w:rFonts w:ascii="Cambria Math" w:hAnsi="Cambria Math" w:cs="Times New Roman"/>
          </w:rPr>
          <m:t xml:space="preserve"> i</m:t>
        </m:r>
      </m:oMath>
      <w:r w:rsidRPr="001A00E9">
        <w:rPr>
          <w:rFonts w:ascii="Times New Roman" w:eastAsiaTheme="minorEastAsia" w:hAnsi="Times New Roman" w:cs="Times New Roman"/>
        </w:rPr>
        <w:t xml:space="preserve"> for the sample </w:t>
      </w:r>
      <w:r w:rsidRPr="001A00E9">
        <w:rPr>
          <w:rFonts w:ascii="Times New Roman" w:hAnsi="Times New Roman" w:cs="Times New Roman"/>
          <w:i/>
        </w:rPr>
        <w:t>w/l</w:t>
      </w:r>
      <w:r w:rsidRPr="001A00E9">
        <w:rPr>
          <w:rFonts w:ascii="Times New Roman" w:hAnsi="Times New Roman" w:cs="Times New Roman"/>
        </w:rPr>
        <w:t xml:space="preserve"> distribution</w:t>
      </w:r>
      <w:r w:rsidRPr="001A00E9">
        <w:rPr>
          <w:rFonts w:ascii="Times New Roman" w:eastAsiaTheme="minorEastAsia"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m:t>
            </m:r>
          </m:sub>
        </m:sSub>
      </m:oMath>
      <w:r w:rsidRPr="001A00E9">
        <w:rPr>
          <w:rFonts w:ascii="Times New Roman" w:eastAsiaTheme="minorEastAsia" w:hAnsi="Times New Roman" w:cs="Times New Roman"/>
        </w:rPr>
        <w:t xml:space="preserve"> is the normalised frequency of crystals in bin</w:t>
      </w:r>
      <m:oMath>
        <m:r>
          <w:rPr>
            <w:rFonts w:ascii="Cambria Math" w:hAnsi="Cambria Math" w:cs="Times New Roman"/>
          </w:rPr>
          <m:t xml:space="preserve"> i</m:t>
        </m:r>
      </m:oMath>
      <w:r w:rsidRPr="001A00E9">
        <w:rPr>
          <w:rFonts w:ascii="Times New Roman" w:eastAsiaTheme="minorEastAsia" w:hAnsi="Times New Roman" w:cs="Times New Roman"/>
        </w:rPr>
        <w:t xml:space="preserve"> for the model </w:t>
      </w:r>
      <w:r w:rsidRPr="001A00E9">
        <w:rPr>
          <w:rFonts w:ascii="Times New Roman" w:hAnsi="Times New Roman" w:cs="Times New Roman"/>
          <w:i/>
        </w:rPr>
        <w:t>w/l</w:t>
      </w:r>
      <w:r w:rsidRPr="001A00E9">
        <w:rPr>
          <w:rFonts w:ascii="Times New Roman" w:hAnsi="Times New Roman" w:cs="Times New Roman"/>
        </w:rPr>
        <w:t xml:space="preserve"> distribution. </w:t>
      </w:r>
    </w:p>
    <w:p w14:paraId="42284B2C" w14:textId="77777777" w:rsidR="0046582E" w:rsidRPr="001A00E9" w:rsidRDefault="0046582E" w:rsidP="0046582E">
      <w:pPr>
        <w:spacing w:line="360" w:lineRule="auto"/>
        <w:ind w:left="720"/>
        <w:jc w:val="both"/>
        <w:rPr>
          <w:rFonts w:ascii="Times New Roman" w:eastAsiaTheme="minorEastAsia" w:hAnsi="Times New Roman" w:cs="Times New Roman"/>
        </w:rPr>
      </w:pPr>
      <w:r w:rsidRPr="001A00E9">
        <w:rPr>
          <w:rFonts w:ascii="Times New Roman" w:hAnsi="Times New Roman" w:cs="Times New Roman"/>
        </w:rPr>
        <w:t xml:space="preserve">The </w:t>
      </w:r>
      <w:r w:rsidRPr="001A00E9">
        <w:rPr>
          <w:rFonts w:ascii="Times New Roman" w:hAnsi="Times New Roman" w:cs="Times New Roman"/>
          <w:i/>
        </w:rPr>
        <w:t>cumulative</w:t>
      </w:r>
      <w:r w:rsidRPr="001A00E9">
        <w:rPr>
          <w:rFonts w:ascii="Times New Roman" w:hAnsi="Times New Roman" w:cs="Times New Roman"/>
        </w:rPr>
        <w:t xml:space="preserve"> assessment of the GOF using </w:t>
      </w:r>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oMath>
      <w:r w:rsidRPr="001A00E9">
        <w:rPr>
          <w:rFonts w:ascii="Times New Roman" w:eastAsiaTheme="minorEastAsia" w:hAnsi="Times New Roman" w:cs="Times New Roman"/>
        </w:rPr>
        <w:t xml:space="preserve"> is distinct from</w:t>
      </w:r>
      <m:oMath>
        <m:r>
          <w:rPr>
            <w:rFonts w:ascii="Cambria Math" w:eastAsiaTheme="minorEastAsia" w:hAnsi="Cambria Math" w:cs="Times New Roman"/>
          </w:rPr>
          <m:t xml:space="preserve"> </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CSDSlice</m:t>
            </m:r>
          </m:sub>
          <m:sup>
            <m:r>
              <w:rPr>
                <w:rFonts w:ascii="Cambria Math" w:hAnsi="Cambria Math" w:cs="Times New Roman"/>
              </w:rPr>
              <m:t>2</m:t>
            </m:r>
          </m:sup>
        </m:sSubSup>
      </m:oMath>
      <w:r w:rsidRPr="001A00E9">
        <w:rPr>
          <w:rFonts w:ascii="Times New Roman" w:eastAsiaTheme="minorEastAsia" w:hAnsi="Times New Roman" w:cs="Times New Roman"/>
        </w:rPr>
        <w:t xml:space="preserve">, which assesses the GOF based on the </w:t>
      </w:r>
      <w:r w:rsidRPr="001A00E9">
        <w:rPr>
          <w:rFonts w:ascii="Times New Roman" w:eastAsiaTheme="minorEastAsia" w:hAnsi="Times New Roman" w:cs="Times New Roman"/>
          <w:i/>
        </w:rPr>
        <w:t>modes</w:t>
      </w:r>
      <w:r w:rsidRPr="001A00E9">
        <w:rPr>
          <w:rFonts w:ascii="Times New Roman" w:eastAsiaTheme="minorEastAsia" w:hAnsi="Times New Roman" w:cs="Times New Roman"/>
        </w:rPr>
        <w:t xml:space="preserve"> of the distribution. However, i</w:t>
      </w:r>
      <w:r w:rsidRPr="001A00E9">
        <w:rPr>
          <w:rFonts w:ascii="Times New Roman" w:hAnsi="Times New Roman" w:cs="Times New Roman"/>
        </w:rPr>
        <w:t xml:space="preserve">n natural samples, variations in both mode and tail frequencies are to be expected compared to </w:t>
      </w:r>
      <w:r w:rsidRPr="001A00E9">
        <w:rPr>
          <w:rFonts w:ascii="Times New Roman" w:hAnsi="Times New Roman" w:cs="Times New Roman"/>
          <w:i/>
        </w:rPr>
        <w:t xml:space="preserve">w/l </w:t>
      </w:r>
      <w:r w:rsidRPr="001A00E9">
        <w:rPr>
          <w:rFonts w:ascii="Times New Roman" w:hAnsi="Times New Roman" w:cs="Times New Roman"/>
        </w:rPr>
        <w:t xml:space="preserve">distributions derived from a </w:t>
      </w:r>
      <w:r w:rsidRPr="001A00E9">
        <w:rPr>
          <w:rFonts w:ascii="Times New Roman" w:hAnsi="Times New Roman" w:cs="Times New Roman"/>
        </w:rPr>
        <w:lastRenderedPageBreak/>
        <w:t xml:space="preserve">perfect model crystal. The </w:t>
      </w:r>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oMath>
      <w:r w:rsidRPr="001A00E9">
        <w:rPr>
          <w:rFonts w:ascii="Times New Roman" w:eastAsiaTheme="minorEastAsia" w:hAnsi="Times New Roman" w:cs="Times New Roman"/>
        </w:rPr>
        <w:t xml:space="preserve"> GOF test parameter accounts for such natural variability, as it is less sensitive to the modal value and variations in individual bins</w:t>
      </w:r>
      <w:r w:rsidRPr="001A00E9">
        <w:rPr>
          <w:rFonts w:ascii="Times New Roman" w:hAnsi="Times New Roman" w:cs="Times New Roman"/>
        </w:rPr>
        <w:t xml:space="preserve">, but rather assesses the overall fit of the </w:t>
      </w:r>
      <w:r w:rsidRPr="001A00E9">
        <w:rPr>
          <w:rFonts w:ascii="Times New Roman" w:hAnsi="Times New Roman" w:cs="Times New Roman"/>
          <w:i/>
        </w:rPr>
        <w:t xml:space="preserve">w/l </w:t>
      </w:r>
      <w:r w:rsidRPr="001A00E9">
        <w:rPr>
          <w:rFonts w:ascii="Times New Roman" w:hAnsi="Times New Roman" w:cs="Times New Roman"/>
        </w:rPr>
        <w:t>distributions.</w:t>
      </w:r>
      <w:r w:rsidRPr="001A00E9">
        <w:rPr>
          <w:rFonts w:ascii="Times New Roman" w:eastAsiaTheme="minorEastAsia" w:hAnsi="Times New Roman" w:cs="Times New Roman"/>
        </w:rPr>
        <w:t xml:space="preserve"> An </w:t>
      </w:r>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oMath>
      <w:r w:rsidRPr="001A00E9">
        <w:rPr>
          <w:rFonts w:ascii="Times New Roman" w:eastAsiaTheme="minorEastAsia" w:hAnsi="Times New Roman" w:cs="Times New Roman"/>
        </w:rPr>
        <w:t xml:space="preserve"> &lt;0.975 indicates a larger discrepancy between sample and model </w:t>
      </w:r>
      <w:r w:rsidRPr="001A00E9">
        <w:rPr>
          <w:rFonts w:ascii="Times New Roman" w:hAnsi="Times New Roman" w:cs="Times New Roman"/>
          <w:i/>
        </w:rPr>
        <w:t xml:space="preserve">w/l </w:t>
      </w:r>
      <w:r w:rsidRPr="001A00E9">
        <w:rPr>
          <w:rFonts w:ascii="Times New Roman" w:hAnsi="Times New Roman" w:cs="Times New Roman"/>
        </w:rPr>
        <w:t>distributions than</w:t>
      </w:r>
      <w:r w:rsidRPr="001A00E9">
        <w:rPr>
          <w:rFonts w:ascii="Times New Roman" w:eastAsiaTheme="minorEastAsia" w:hAnsi="Times New Roman" w:cs="Times New Roman"/>
        </w:rPr>
        <w:t xml:space="preserve"> reasonably expected for a natural sample; such results are highlighted in red by </w:t>
      </w:r>
      <w:r w:rsidRPr="001A00E9">
        <w:rPr>
          <w:rFonts w:ascii="Times New Roman" w:eastAsiaTheme="minorEastAsia" w:hAnsi="Times New Roman" w:cs="Times New Roman"/>
          <w:i/>
          <w:iCs/>
        </w:rPr>
        <w:t>ShapeCalc</w:t>
      </w:r>
      <w:r w:rsidRPr="001A00E9">
        <w:rPr>
          <w:rFonts w:ascii="Times New Roman" w:eastAsiaTheme="minorEastAsia" w:hAnsi="Times New Roman" w:cs="Times New Roman"/>
        </w:rPr>
        <w:t xml:space="preserve">. In such cases, better results may be achieved by binning the </w:t>
      </w:r>
      <w:r w:rsidRPr="001A00E9">
        <w:rPr>
          <w:rFonts w:ascii="Times New Roman" w:eastAsiaTheme="minorEastAsia" w:hAnsi="Times New Roman" w:cs="Times New Roman"/>
          <w:i/>
          <w:iCs/>
        </w:rPr>
        <w:t xml:space="preserve">w-l </w:t>
      </w:r>
      <w:r w:rsidRPr="001A00E9">
        <w:rPr>
          <w:rFonts w:ascii="Times New Roman" w:eastAsiaTheme="minorEastAsia" w:hAnsi="Times New Roman" w:cs="Times New Roman"/>
        </w:rPr>
        <w:t>sample dataset (Fig. S2).</w:t>
      </w:r>
    </w:p>
    <w:p w14:paraId="1ED8BDCA" w14:textId="77777777" w:rsidR="0046582E" w:rsidRPr="001A00E9" w:rsidRDefault="0046582E" w:rsidP="0046582E">
      <w:pPr>
        <w:pStyle w:val="ListParagraph"/>
        <w:numPr>
          <w:ilvl w:val="0"/>
          <w:numId w:val="1"/>
        </w:numPr>
        <w:spacing w:line="360" w:lineRule="auto"/>
        <w:ind w:left="714" w:hanging="357"/>
        <w:contextualSpacing w:val="0"/>
        <w:jc w:val="both"/>
        <w:rPr>
          <w:rFonts w:ascii="Times New Roman" w:hAnsi="Times New Roman" w:cs="Times New Roman"/>
        </w:rPr>
      </w:pPr>
      <w:r w:rsidRPr="001A00E9">
        <w:rPr>
          <w:rFonts w:ascii="Times New Roman" w:hAnsi="Times New Roman" w:cs="Times New Roman"/>
          <w:i/>
        </w:rPr>
        <w:t xml:space="preserve">ShapeCalc </w:t>
      </w:r>
      <w:r w:rsidRPr="001A00E9">
        <w:rPr>
          <w:rFonts w:ascii="Times New Roman" w:hAnsi="Times New Roman" w:cs="Times New Roman"/>
        </w:rPr>
        <w:t xml:space="preserve">lists and displays the 300 best-ranked </w:t>
      </w:r>
      <w:r w:rsidRPr="001A00E9">
        <w:rPr>
          <w:rFonts w:ascii="Times New Roman" w:hAnsi="Times New Roman" w:cs="Times New Roman"/>
          <w:i/>
          <w:iCs/>
        </w:rPr>
        <w:t xml:space="preserve">S:I:L </w:t>
      </w:r>
      <w:r w:rsidRPr="001A00E9">
        <w:rPr>
          <w:rFonts w:ascii="Times New Roman" w:hAnsi="Times New Roman" w:cs="Times New Roman"/>
        </w:rPr>
        <w:t xml:space="preserve">estimates, colour coded by </w:t>
      </w:r>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oMath>
      <w:r w:rsidRPr="001A00E9">
        <w:rPr>
          <w:rFonts w:ascii="Times New Roman" w:eastAsiaTheme="minorEastAsia" w:hAnsi="Times New Roman" w:cs="Times New Roman"/>
        </w:rPr>
        <w:t xml:space="preserve">. This threshold was empirically chosen as the limit in variation between sample and model. If desired, the threshold value can be easily changed in the spreadsheet. </w:t>
      </w:r>
    </w:p>
    <w:p w14:paraId="7BF5A9F3" w14:textId="59335428" w:rsidR="0046582E" w:rsidRPr="001A00E9" w:rsidRDefault="0046582E" w:rsidP="0046582E">
      <w:pPr>
        <w:pStyle w:val="ListParagraph"/>
        <w:numPr>
          <w:ilvl w:val="0"/>
          <w:numId w:val="1"/>
        </w:numPr>
        <w:spacing w:line="360" w:lineRule="auto"/>
        <w:jc w:val="both"/>
        <w:rPr>
          <w:rFonts w:ascii="Times New Roman" w:hAnsi="Times New Roman" w:cs="Times New Roman"/>
        </w:rPr>
      </w:pPr>
      <w:r w:rsidRPr="001A00E9">
        <w:rPr>
          <w:rFonts w:ascii="Times New Roman" w:hAnsi="Times New Roman" w:cs="Times New Roman"/>
          <w:i/>
        </w:rPr>
        <w:t xml:space="preserve">ShapeCalc </w:t>
      </w:r>
      <w:r w:rsidRPr="001A00E9">
        <w:rPr>
          <w:rFonts w:ascii="Times New Roman" w:hAnsi="Times New Roman" w:cs="Times New Roman"/>
        </w:rPr>
        <w:t xml:space="preserve">provides constraints on the uncertainties on the best shape estimate as 1σ standard deviations on </w:t>
      </w:r>
      <w:r w:rsidRPr="001A00E9">
        <w:rPr>
          <w:rFonts w:ascii="Times New Roman" w:hAnsi="Times New Roman" w:cs="Times New Roman"/>
          <w:i/>
        </w:rPr>
        <w:t>S/I</w:t>
      </w:r>
      <w:r w:rsidRPr="001A00E9">
        <w:rPr>
          <w:rFonts w:ascii="Times New Roman" w:hAnsi="Times New Roman" w:cs="Times New Roman"/>
        </w:rPr>
        <w:t xml:space="preserve"> and </w:t>
      </w:r>
      <w:r w:rsidRPr="001A00E9">
        <w:rPr>
          <w:rFonts w:ascii="Times New Roman" w:hAnsi="Times New Roman" w:cs="Times New Roman"/>
          <w:i/>
        </w:rPr>
        <w:t xml:space="preserve">I/L </w:t>
      </w:r>
      <w:r w:rsidRPr="001A00E9">
        <w:rPr>
          <w:rFonts w:ascii="Times New Roman" w:hAnsi="Times New Roman" w:cs="Times New Roman"/>
          <w:iCs/>
        </w:rPr>
        <w:t>of the 300 best shape estimates.</w:t>
      </w:r>
      <w:r w:rsidRPr="001A00E9">
        <w:rPr>
          <w:rFonts w:ascii="Times New Roman" w:eastAsiaTheme="minorEastAsia" w:hAnsi="Times New Roman" w:cs="Times New Roman"/>
        </w:rPr>
        <w:t xml:space="preserve"> These uncertainties are deliberately conservative to reflect the variability of crystal shapes both between and within crystal populations, as well as generally poor statistical constraints on </w:t>
      </w:r>
      <w:r w:rsidRPr="001A00E9">
        <w:rPr>
          <w:rFonts w:ascii="Times New Roman" w:eastAsiaTheme="minorEastAsia" w:hAnsi="Times New Roman" w:cs="Times New Roman"/>
          <w:i/>
          <w:iCs/>
        </w:rPr>
        <w:t>I/L</w:t>
      </w:r>
      <w:r w:rsidRPr="001A00E9">
        <w:rPr>
          <w:rFonts w:ascii="Times New Roman" w:eastAsiaTheme="minorEastAsia" w:hAnsi="Times New Roman" w:cs="Times New Roman"/>
        </w:rPr>
        <w:t>. Typical standard deviations are ± 0.04</w:t>
      </w:r>
      <w:r w:rsidR="00CF05EE" w:rsidRPr="001A00E9">
        <w:rPr>
          <w:rFonts w:ascii="Times New Roman" w:eastAsiaTheme="minorEastAsia" w:hAnsi="Times New Roman" w:cs="Times New Roman"/>
        </w:rPr>
        <w:t>-</w:t>
      </w:r>
      <w:r w:rsidRPr="001A00E9">
        <w:rPr>
          <w:rFonts w:ascii="Times New Roman" w:eastAsiaTheme="minorEastAsia" w:hAnsi="Times New Roman" w:cs="Times New Roman"/>
        </w:rPr>
        <w:t xml:space="preserve">0.11 for </w:t>
      </w:r>
      <w:r w:rsidRPr="001A00E9">
        <w:rPr>
          <w:rFonts w:ascii="Times New Roman" w:eastAsiaTheme="minorEastAsia" w:hAnsi="Times New Roman" w:cs="Times New Roman"/>
          <w:i/>
        </w:rPr>
        <w:t xml:space="preserve">S/I, </w:t>
      </w:r>
      <w:r w:rsidRPr="001A00E9">
        <w:rPr>
          <w:rFonts w:ascii="Times New Roman" w:eastAsiaTheme="minorEastAsia" w:hAnsi="Times New Roman" w:cs="Times New Roman"/>
        </w:rPr>
        <w:t>and ± 0.12</w:t>
      </w:r>
      <w:r w:rsidR="00CF05EE" w:rsidRPr="001A00E9">
        <w:rPr>
          <w:rFonts w:ascii="Times New Roman" w:eastAsiaTheme="minorEastAsia" w:hAnsi="Times New Roman" w:cs="Times New Roman"/>
        </w:rPr>
        <w:t>-</w:t>
      </w:r>
      <w:r w:rsidRPr="001A00E9">
        <w:rPr>
          <w:rFonts w:ascii="Times New Roman" w:eastAsiaTheme="minorEastAsia" w:hAnsi="Times New Roman" w:cs="Times New Roman"/>
        </w:rPr>
        <w:t xml:space="preserve">0.26 for </w:t>
      </w:r>
      <w:r w:rsidRPr="001A00E9">
        <w:rPr>
          <w:rFonts w:ascii="Times New Roman" w:eastAsiaTheme="minorEastAsia" w:hAnsi="Times New Roman" w:cs="Times New Roman"/>
          <w:i/>
        </w:rPr>
        <w:t>I/L.</w:t>
      </w:r>
      <w:r w:rsidRPr="001A00E9">
        <w:rPr>
          <w:rFonts w:ascii="Times New Roman" w:eastAsiaTheme="minorEastAsia" w:hAnsi="Times New Roman" w:cs="Times New Roman"/>
        </w:rPr>
        <w:t xml:space="preserve"> </w:t>
      </w:r>
    </w:p>
    <w:p w14:paraId="1A85B8A1" w14:textId="77777777" w:rsidR="0046582E" w:rsidRPr="001A00E9" w:rsidRDefault="0046582E" w:rsidP="0046582E">
      <w:pPr>
        <w:pStyle w:val="ListParagraph"/>
        <w:spacing w:line="360" w:lineRule="auto"/>
        <w:jc w:val="both"/>
        <w:rPr>
          <w:rFonts w:ascii="Times New Roman" w:hAnsi="Times New Roman" w:cs="Times New Roman"/>
        </w:rPr>
      </w:pPr>
    </w:p>
    <w:p w14:paraId="1708BAF4" w14:textId="7E9EB8FD" w:rsidR="0046582E" w:rsidRPr="001A00E9" w:rsidRDefault="0046582E" w:rsidP="0046582E">
      <w:pPr>
        <w:pStyle w:val="ListParagraph"/>
        <w:spacing w:line="360" w:lineRule="auto"/>
        <w:jc w:val="both"/>
        <w:rPr>
          <w:rFonts w:ascii="Times New Roman" w:hAnsi="Times New Roman" w:cs="Times New Roman"/>
          <w:i/>
        </w:rPr>
      </w:pPr>
      <w:r w:rsidRPr="001A00E9">
        <w:rPr>
          <w:rFonts w:ascii="Times New Roman" w:hAnsi="Times New Roman" w:cs="Times New Roman"/>
          <w:b/>
          <w:i/>
        </w:rPr>
        <w:t>Table S1</w:t>
      </w:r>
      <w:r w:rsidRPr="001A00E9">
        <w:rPr>
          <w:rFonts w:ascii="Times New Roman" w:hAnsi="Times New Roman" w:cs="Times New Roman"/>
          <w:i/>
        </w:rPr>
        <w:t xml:space="preserve"> Step sizes for I and L used to produce model </w:t>
      </w:r>
    </w:p>
    <w:p w14:paraId="44F8DA8A" w14:textId="2A2BADBC" w:rsidR="0046582E" w:rsidRPr="001A00E9" w:rsidRDefault="0046582E" w:rsidP="0046582E">
      <w:pPr>
        <w:pStyle w:val="ListParagraph"/>
        <w:spacing w:line="360" w:lineRule="auto"/>
        <w:jc w:val="both"/>
        <w:rPr>
          <w:rFonts w:ascii="Times New Roman" w:hAnsi="Times New Roman" w:cs="Times New Roman"/>
        </w:rPr>
      </w:pPr>
      <w:r w:rsidRPr="001A00E9">
        <w:rPr>
          <w:rFonts w:ascii="Times New Roman" w:hAnsi="Times New Roman" w:cs="Times New Roman"/>
          <w:i/>
        </w:rPr>
        <w:t>w/l distributions</w:t>
      </w:r>
    </w:p>
    <w:p w14:paraId="19E4A6F1" w14:textId="77777777" w:rsidR="0046582E" w:rsidRPr="001A00E9" w:rsidRDefault="0046582E" w:rsidP="0046582E">
      <w:pPr>
        <w:pStyle w:val="ListParagraph"/>
        <w:spacing w:line="360" w:lineRule="auto"/>
        <w:jc w:val="both"/>
        <w:rPr>
          <w:rFonts w:ascii="Times New Roman" w:hAnsi="Times New Roman" w:cs="Times New Roman"/>
        </w:rPr>
      </w:pPr>
      <w:r w:rsidRPr="001A00E9">
        <w:rPr>
          <w:noProof/>
          <w:lang w:eastAsia="zh-TW"/>
        </w:rPr>
        <w:drawing>
          <wp:inline distT="0" distB="0" distL="0" distR="0" wp14:anchorId="4514A2F8" wp14:editId="43BCED98">
            <wp:extent cx="3053080" cy="11131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3080" cy="1113155"/>
                    </a:xfrm>
                    <a:prstGeom prst="rect">
                      <a:avLst/>
                    </a:prstGeom>
                    <a:noFill/>
                    <a:ln>
                      <a:noFill/>
                    </a:ln>
                  </pic:spPr>
                </pic:pic>
              </a:graphicData>
            </a:graphic>
          </wp:inline>
        </w:drawing>
      </w:r>
    </w:p>
    <w:p w14:paraId="73E537FA" w14:textId="77777777" w:rsidR="0046582E" w:rsidRPr="001A00E9" w:rsidRDefault="0046582E" w:rsidP="0046582E">
      <w:pPr>
        <w:pStyle w:val="ListParagraph"/>
        <w:spacing w:line="360" w:lineRule="auto"/>
        <w:jc w:val="both"/>
        <w:rPr>
          <w:rFonts w:ascii="Times New Roman" w:hAnsi="Times New Roman" w:cs="Times New Roman"/>
        </w:rPr>
      </w:pPr>
    </w:p>
    <w:p w14:paraId="3BA15626" w14:textId="77777777" w:rsidR="0046582E" w:rsidRPr="001A00E9" w:rsidRDefault="0046582E" w:rsidP="0046582E">
      <w:pPr>
        <w:pStyle w:val="ListParagraph"/>
        <w:spacing w:line="360" w:lineRule="auto"/>
        <w:jc w:val="both"/>
        <w:rPr>
          <w:rFonts w:ascii="Times New Roman" w:hAnsi="Times New Roman" w:cs="Times New Roman"/>
          <w:b/>
          <w:i/>
        </w:rPr>
      </w:pPr>
      <w:r w:rsidRPr="001A00E9">
        <w:rPr>
          <w:rFonts w:ascii="Times New Roman" w:hAnsi="Times New Roman" w:cs="Times New Roman"/>
          <w:noProof/>
          <w:lang w:eastAsia="zh-TW"/>
        </w:rPr>
        <w:drawing>
          <wp:anchor distT="0" distB="0" distL="114300" distR="114300" simplePos="0" relativeHeight="251660288" behindDoc="0" locked="0" layoutInCell="1" allowOverlap="1" wp14:anchorId="41F3B078" wp14:editId="3CC5B3AD">
            <wp:simplePos x="0" y="0"/>
            <wp:positionH relativeFrom="column">
              <wp:posOffset>461176</wp:posOffset>
            </wp:positionH>
            <wp:positionV relativeFrom="paragraph">
              <wp:posOffset>-939</wp:posOffset>
            </wp:positionV>
            <wp:extent cx="3108960" cy="2579269"/>
            <wp:effectExtent l="0" t="0" r="0" b="0"/>
            <wp:wrapThrough wrapText="bothSides">
              <wp:wrapPolygon edited="0">
                <wp:start x="2250" y="160"/>
                <wp:lineTo x="1588" y="1277"/>
                <wp:lineTo x="1588" y="1596"/>
                <wp:lineTo x="2647" y="3032"/>
                <wp:lineTo x="1456" y="4947"/>
                <wp:lineTo x="1456" y="5266"/>
                <wp:lineTo x="2647" y="5585"/>
                <wp:lineTo x="1456" y="8138"/>
                <wp:lineTo x="132" y="9574"/>
                <wp:lineTo x="132" y="10053"/>
                <wp:lineTo x="2647" y="10691"/>
                <wp:lineTo x="1456" y="11489"/>
                <wp:lineTo x="1456" y="11808"/>
                <wp:lineTo x="2647" y="13244"/>
                <wp:lineTo x="1456" y="14999"/>
                <wp:lineTo x="1456" y="15159"/>
                <wp:lineTo x="2647" y="15797"/>
                <wp:lineTo x="1324" y="18350"/>
                <wp:lineTo x="1324" y="19308"/>
                <wp:lineTo x="7015" y="20744"/>
                <wp:lineTo x="10456" y="21063"/>
                <wp:lineTo x="11779" y="21063"/>
                <wp:lineTo x="15353" y="20744"/>
                <wp:lineTo x="21044" y="19308"/>
                <wp:lineTo x="20912" y="18350"/>
                <wp:lineTo x="19588" y="15797"/>
                <wp:lineTo x="20779" y="15638"/>
                <wp:lineTo x="20779" y="14840"/>
                <wp:lineTo x="19588" y="13244"/>
                <wp:lineTo x="20779" y="12127"/>
                <wp:lineTo x="20779" y="11489"/>
                <wp:lineTo x="19721" y="10691"/>
                <wp:lineTo x="20912" y="8138"/>
                <wp:lineTo x="19588" y="5585"/>
                <wp:lineTo x="20779" y="5425"/>
                <wp:lineTo x="20779" y="4787"/>
                <wp:lineTo x="19588" y="3032"/>
                <wp:lineTo x="20647" y="2234"/>
                <wp:lineTo x="20779" y="1277"/>
                <wp:lineTo x="19985" y="160"/>
                <wp:lineTo x="2250" y="16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
                      <a:extLst>
                        <a:ext uri="{28A0092B-C50C-407E-A947-70E740481C1C}">
                          <a14:useLocalDpi xmlns:a14="http://schemas.microsoft.com/office/drawing/2010/main" val="0"/>
                        </a:ext>
                      </a:extLst>
                    </a:blip>
                    <a:srcRect l="6111" t="4809" r="10177" b="5035"/>
                    <a:stretch/>
                  </pic:blipFill>
                  <pic:spPr bwMode="auto">
                    <a:xfrm>
                      <a:off x="0" y="0"/>
                      <a:ext cx="3108960" cy="25792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72D209" w14:textId="77777777" w:rsidR="0046582E" w:rsidRPr="001A00E9" w:rsidRDefault="0046582E" w:rsidP="0046582E">
      <w:pPr>
        <w:pStyle w:val="ListParagraph"/>
        <w:spacing w:line="360" w:lineRule="auto"/>
        <w:jc w:val="both"/>
        <w:rPr>
          <w:rFonts w:ascii="Times New Roman" w:hAnsi="Times New Roman" w:cs="Times New Roman"/>
          <w:b/>
          <w:i/>
        </w:rPr>
      </w:pPr>
    </w:p>
    <w:p w14:paraId="4AF08221" w14:textId="77777777" w:rsidR="0046582E" w:rsidRPr="001A00E9" w:rsidRDefault="0046582E" w:rsidP="0046582E">
      <w:pPr>
        <w:pStyle w:val="ListParagraph"/>
        <w:spacing w:line="360" w:lineRule="auto"/>
        <w:jc w:val="both"/>
        <w:rPr>
          <w:rFonts w:ascii="Times New Roman" w:hAnsi="Times New Roman" w:cs="Times New Roman"/>
          <w:b/>
          <w:i/>
        </w:rPr>
      </w:pPr>
    </w:p>
    <w:p w14:paraId="07BD042F" w14:textId="77777777" w:rsidR="0046582E" w:rsidRPr="001A00E9" w:rsidRDefault="0046582E" w:rsidP="0046582E">
      <w:pPr>
        <w:pStyle w:val="ListParagraph"/>
        <w:spacing w:line="360" w:lineRule="auto"/>
        <w:jc w:val="both"/>
        <w:rPr>
          <w:rFonts w:ascii="Times New Roman" w:hAnsi="Times New Roman" w:cs="Times New Roman"/>
          <w:b/>
          <w:i/>
        </w:rPr>
      </w:pPr>
    </w:p>
    <w:p w14:paraId="79562A88" w14:textId="77777777" w:rsidR="0046582E" w:rsidRPr="001A00E9" w:rsidRDefault="0046582E" w:rsidP="0046582E">
      <w:pPr>
        <w:pStyle w:val="ListParagraph"/>
        <w:spacing w:line="360" w:lineRule="auto"/>
        <w:jc w:val="both"/>
        <w:rPr>
          <w:rFonts w:ascii="Times New Roman" w:hAnsi="Times New Roman" w:cs="Times New Roman"/>
          <w:b/>
          <w:i/>
        </w:rPr>
      </w:pPr>
    </w:p>
    <w:p w14:paraId="79AA8ABB" w14:textId="77777777" w:rsidR="0046582E" w:rsidRPr="001A00E9" w:rsidRDefault="0046582E" w:rsidP="0046582E">
      <w:pPr>
        <w:pStyle w:val="ListParagraph"/>
        <w:spacing w:line="360" w:lineRule="auto"/>
        <w:jc w:val="both"/>
        <w:rPr>
          <w:rFonts w:ascii="Times New Roman" w:hAnsi="Times New Roman" w:cs="Times New Roman"/>
          <w:b/>
          <w:i/>
        </w:rPr>
      </w:pPr>
    </w:p>
    <w:p w14:paraId="1E99145B" w14:textId="1AD1D32A" w:rsidR="0046582E" w:rsidRPr="001A00E9" w:rsidRDefault="0046582E" w:rsidP="0046582E">
      <w:pPr>
        <w:pStyle w:val="ListParagraph"/>
        <w:spacing w:line="360" w:lineRule="auto"/>
        <w:jc w:val="both"/>
        <w:rPr>
          <w:rFonts w:ascii="Times New Roman" w:hAnsi="Times New Roman" w:cs="Times New Roman"/>
          <w:i/>
        </w:rPr>
      </w:pPr>
      <w:r w:rsidRPr="001A00E9">
        <w:rPr>
          <w:rFonts w:ascii="Times New Roman" w:hAnsi="Times New Roman" w:cs="Times New Roman"/>
          <w:b/>
          <w:i/>
        </w:rPr>
        <w:t xml:space="preserve">Fig. S1 </w:t>
      </w:r>
      <w:r w:rsidRPr="001A00E9">
        <w:rPr>
          <w:rFonts w:ascii="Times New Roman" w:hAnsi="Times New Roman" w:cs="Times New Roman"/>
          <w:i/>
        </w:rPr>
        <w:t>Grid of model shapes used by ShapeCalc. Every intersection between S/I and S/L tie lines represents a model shape in the ShapeCalc database</w:t>
      </w:r>
    </w:p>
    <w:p w14:paraId="71AEBA9A" w14:textId="77777777" w:rsidR="0046582E" w:rsidRPr="001A00E9" w:rsidRDefault="0046582E" w:rsidP="0046582E">
      <w:pPr>
        <w:pStyle w:val="ListParagraph"/>
        <w:spacing w:line="360" w:lineRule="auto"/>
        <w:jc w:val="both"/>
        <w:rPr>
          <w:rFonts w:ascii="Times New Roman" w:hAnsi="Times New Roman" w:cs="Times New Roman"/>
          <w:i/>
        </w:rPr>
      </w:pPr>
    </w:p>
    <w:p w14:paraId="57399417" w14:textId="77777777" w:rsidR="0046582E" w:rsidRPr="001A00E9" w:rsidRDefault="0046582E" w:rsidP="0046582E">
      <w:pPr>
        <w:pStyle w:val="ListParagraph"/>
        <w:spacing w:line="360" w:lineRule="auto"/>
        <w:jc w:val="both"/>
        <w:rPr>
          <w:rFonts w:ascii="Times New Roman" w:hAnsi="Times New Roman" w:cs="Times New Roman"/>
          <w:i/>
        </w:rPr>
      </w:pPr>
    </w:p>
    <w:p w14:paraId="56F310CB" w14:textId="77777777" w:rsidR="0046582E" w:rsidRPr="001A00E9" w:rsidRDefault="0046582E" w:rsidP="0046582E">
      <w:pPr>
        <w:pStyle w:val="ListParagraph"/>
        <w:spacing w:line="360" w:lineRule="auto"/>
        <w:jc w:val="both"/>
        <w:rPr>
          <w:rFonts w:ascii="Times New Roman" w:hAnsi="Times New Roman" w:cs="Times New Roman"/>
          <w:b/>
          <w:i/>
        </w:rPr>
      </w:pPr>
    </w:p>
    <w:p w14:paraId="45D81ECD" w14:textId="0F9A3439" w:rsidR="0046582E" w:rsidRPr="001A00E9" w:rsidRDefault="002F1C1C" w:rsidP="0046582E">
      <w:pPr>
        <w:spacing w:line="360" w:lineRule="auto"/>
        <w:jc w:val="both"/>
        <w:rPr>
          <w:rFonts w:ascii="Times New Roman" w:hAnsi="Times New Roman" w:cs="Times New Roman"/>
          <w:i/>
        </w:rPr>
      </w:pPr>
      <w:r w:rsidRPr="001A00E9">
        <w:rPr>
          <w:rFonts w:ascii="Times New Roman" w:hAnsi="Times New Roman" w:cs="Times New Roman"/>
          <w:i/>
          <w:noProof/>
        </w:rPr>
        <w:lastRenderedPageBreak/>
        <w:drawing>
          <wp:inline distT="0" distB="0" distL="0" distR="0" wp14:anchorId="6F4BE329" wp14:editId="26FCB396">
            <wp:extent cx="5739130" cy="56683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9529" cy="5678639"/>
                    </a:xfrm>
                    <a:prstGeom prst="rect">
                      <a:avLst/>
                    </a:prstGeom>
                    <a:noFill/>
                  </pic:spPr>
                </pic:pic>
              </a:graphicData>
            </a:graphic>
          </wp:inline>
        </w:drawing>
      </w:r>
    </w:p>
    <w:p w14:paraId="0F227D43" w14:textId="7EFC9BB4" w:rsidR="0046582E" w:rsidRDefault="0046582E" w:rsidP="0046582E">
      <w:pPr>
        <w:spacing w:line="360" w:lineRule="auto"/>
        <w:jc w:val="both"/>
        <w:rPr>
          <w:rFonts w:ascii="Times New Roman" w:eastAsiaTheme="minorEastAsia" w:hAnsi="Times New Roman" w:cs="Times New Roman"/>
          <w:i/>
        </w:rPr>
      </w:pPr>
      <w:r w:rsidRPr="001A00E9">
        <w:rPr>
          <w:rFonts w:ascii="Times New Roman" w:hAnsi="Times New Roman" w:cs="Times New Roman"/>
          <w:b/>
          <w:i/>
        </w:rPr>
        <w:t xml:space="preserve">Fig. S2 </w:t>
      </w:r>
      <w:r w:rsidRPr="001A00E9">
        <w:rPr>
          <w:rFonts w:ascii="Times New Roman" w:hAnsi="Times New Roman" w:cs="Times New Roman"/>
          <w:i/>
        </w:rPr>
        <w:t xml:space="preserve">Normalised and cumulative frequency plots of MSH sample SH131A-2. (a) unbinned dataset The fit between model and sample is at the threshold value of </w:t>
      </w:r>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oMath>
      <w:r w:rsidRPr="001A00E9">
        <w:rPr>
          <w:rFonts w:ascii="Times New Roman" w:eastAsiaTheme="minorEastAsia" w:hAnsi="Times New Roman" w:cs="Times New Roman"/>
          <w:i/>
        </w:rPr>
        <w:t xml:space="preserve"> = 0.975, indicating that the best estimate may not be an accurate representation of true crystal shapes in the sample. Binning the w-l data into smaller length fractions, e.g., (b) 5-10 µm and (c) 0-5 µm, produces improved  </w:t>
      </w:r>
      <m:oMath>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c</m:t>
                </m:r>
              </m:sub>
            </m:sSub>
          </m:e>
          <m:sup>
            <m:r>
              <w:rPr>
                <w:rFonts w:ascii="Cambria Math" w:eastAsiaTheme="minorEastAsia" w:hAnsi="Cambria Math" w:cs="Times New Roman"/>
              </w:rPr>
              <m:t>2</m:t>
            </m:r>
          </m:sup>
        </m:sSup>
      </m:oMath>
      <w:r w:rsidRPr="001A00E9">
        <w:rPr>
          <w:rFonts w:ascii="Times New Roman" w:eastAsiaTheme="minorEastAsia" w:hAnsi="Times New Roman" w:cs="Times New Roman"/>
          <w:i/>
        </w:rPr>
        <w:t xml:space="preserve"> values indicative of a change in crystal shape with size </w:t>
      </w:r>
    </w:p>
    <w:p w14:paraId="3BEE4393" w14:textId="77777777" w:rsidR="00CE40FA" w:rsidRPr="001A00E9" w:rsidRDefault="00CE40FA" w:rsidP="0046582E">
      <w:pPr>
        <w:spacing w:line="360" w:lineRule="auto"/>
        <w:jc w:val="both"/>
        <w:rPr>
          <w:rFonts w:ascii="Times New Roman" w:eastAsiaTheme="minorEastAsia" w:hAnsi="Times New Roman" w:cs="Times New Roman"/>
          <w:i/>
        </w:rPr>
      </w:pPr>
    </w:p>
    <w:p w14:paraId="392C1E33" w14:textId="77777777" w:rsidR="0046582E" w:rsidRPr="001A00E9" w:rsidRDefault="0046582E" w:rsidP="0046582E">
      <w:pPr>
        <w:pStyle w:val="Heading2"/>
        <w:rPr>
          <w:rFonts w:ascii="Times New Roman" w:hAnsi="Times New Roman" w:cs="Times New Roman"/>
        </w:rPr>
      </w:pPr>
      <w:r w:rsidRPr="001A00E9">
        <w:rPr>
          <w:rFonts w:ascii="Times New Roman" w:hAnsi="Times New Roman" w:cs="Times New Roman"/>
        </w:rPr>
        <w:t>Online Resource 3: Textural data and shape estimates</w:t>
      </w:r>
    </w:p>
    <w:p w14:paraId="41D0B6AB" w14:textId="77777777" w:rsidR="00CE40FA" w:rsidRPr="001A00E9" w:rsidRDefault="00CE40FA" w:rsidP="00CE40FA">
      <w:pPr>
        <w:rPr>
          <w:rFonts w:ascii="Times New Roman" w:hAnsi="Times New Roman" w:cs="Times New Roman"/>
        </w:rPr>
      </w:pPr>
      <w:r w:rsidRPr="001A00E9">
        <w:rPr>
          <w:rFonts w:ascii="Times New Roman" w:hAnsi="Times New Roman" w:cs="Times New Roman"/>
        </w:rPr>
        <w:t>See separate Excel Sheet.</w:t>
      </w:r>
    </w:p>
    <w:p w14:paraId="6C8F6078" w14:textId="77777777" w:rsidR="0046582E" w:rsidRPr="001A00E9" w:rsidRDefault="0046582E" w:rsidP="0046582E">
      <w:pPr>
        <w:pStyle w:val="ListParagraph"/>
        <w:rPr>
          <w:rFonts w:ascii="Times New Roman" w:hAnsi="Times New Roman" w:cs="Times New Roman"/>
        </w:rPr>
      </w:pPr>
    </w:p>
    <w:p w14:paraId="5374C28B" w14:textId="77777777" w:rsidR="0046582E" w:rsidRPr="001A00E9" w:rsidRDefault="0046582E" w:rsidP="0046582E">
      <w:pPr>
        <w:pStyle w:val="Heading2"/>
        <w:rPr>
          <w:rFonts w:ascii="Times New Roman" w:hAnsi="Times New Roman" w:cs="Times New Roman"/>
        </w:rPr>
      </w:pPr>
      <w:r w:rsidRPr="001A00E9">
        <w:rPr>
          <w:rFonts w:ascii="Times New Roman" w:hAnsi="Times New Roman" w:cs="Times New Roman"/>
        </w:rPr>
        <w:lastRenderedPageBreak/>
        <w:t>Online Resource 4: Evaluation of measuring technique and statistical effects</w:t>
      </w:r>
    </w:p>
    <w:p w14:paraId="41583E84" w14:textId="534AFABD" w:rsidR="0046582E" w:rsidRPr="001A00E9" w:rsidRDefault="0046582E" w:rsidP="0046582E">
      <w:pPr>
        <w:spacing w:line="360" w:lineRule="auto"/>
        <w:jc w:val="both"/>
        <w:rPr>
          <w:rFonts w:ascii="Times New Roman" w:hAnsi="Times New Roman" w:cs="Times New Roman"/>
        </w:rPr>
      </w:pPr>
      <w:r w:rsidRPr="001A00E9">
        <w:rPr>
          <w:rFonts w:ascii="Times New Roman" w:hAnsi="Times New Roman" w:cs="Times New Roman"/>
        </w:rPr>
        <w:t xml:space="preserve">Image processing packages such as ImageJ calculate the aspect ratio of a polygon by measuring the width and length of a best-fit ellipse, i.e., an ellipse of equal area, orientation and centroid as the original shape. Combined with thresholding algorithms, which can identify the desired shapes, </w:t>
      </w:r>
      <w:r w:rsidRPr="001A00E9">
        <w:rPr>
          <w:rFonts w:ascii="Times New Roman" w:hAnsi="Times New Roman" w:cs="Times New Roman"/>
          <w:i/>
        </w:rPr>
        <w:t xml:space="preserve">w-l </w:t>
      </w:r>
      <w:r w:rsidRPr="001A00E9">
        <w:rPr>
          <w:rFonts w:ascii="Times New Roman" w:hAnsi="Times New Roman" w:cs="Times New Roman"/>
          <w:i/>
        </w:rPr>
        <w:softHyphen/>
      </w:r>
      <w:r w:rsidRPr="001A00E9">
        <w:rPr>
          <w:rFonts w:ascii="Times New Roman" w:hAnsi="Times New Roman" w:cs="Times New Roman"/>
        </w:rPr>
        <w:t xml:space="preserve">data can be rapidly extracted from an image. However, as crystals in natural samples are commonly intergrown, automatic thresholding is often not feasible, and even manual outlining of individual crystals can be challenging. Direct line measurements of crystal length and width are more time consuming, but they offer greater conceptual robustness, as it is not necessary to know the complete 2D crystal outline in order to determine </w:t>
      </w:r>
      <w:r w:rsidRPr="001A00E9">
        <w:rPr>
          <w:rFonts w:ascii="Times New Roman" w:hAnsi="Times New Roman" w:cs="Times New Roman"/>
          <w:i/>
        </w:rPr>
        <w:t xml:space="preserve">l </w:t>
      </w:r>
      <w:r w:rsidRPr="001A00E9">
        <w:rPr>
          <w:rFonts w:ascii="Times New Roman" w:hAnsi="Times New Roman" w:cs="Times New Roman"/>
        </w:rPr>
        <w:t xml:space="preserve">and </w:t>
      </w:r>
      <w:r w:rsidRPr="001A00E9">
        <w:rPr>
          <w:rFonts w:ascii="Times New Roman" w:hAnsi="Times New Roman" w:cs="Times New Roman"/>
          <w:i/>
        </w:rPr>
        <w:t>w</w:t>
      </w:r>
      <w:r w:rsidRPr="001A00E9">
        <w:rPr>
          <w:rFonts w:ascii="Times New Roman" w:hAnsi="Times New Roman" w:cs="Times New Roman"/>
        </w:rPr>
        <w:t xml:space="preserve"> accurately. To test whether the method of acquiring </w:t>
      </w:r>
      <w:r w:rsidRPr="001A00E9">
        <w:rPr>
          <w:rFonts w:ascii="Times New Roman" w:hAnsi="Times New Roman" w:cs="Times New Roman"/>
          <w:i/>
        </w:rPr>
        <w:t xml:space="preserve">w </w:t>
      </w:r>
      <w:r w:rsidRPr="001A00E9">
        <w:rPr>
          <w:rFonts w:ascii="Times New Roman" w:hAnsi="Times New Roman" w:cs="Times New Roman"/>
        </w:rPr>
        <w:t xml:space="preserve">and </w:t>
      </w:r>
      <w:r w:rsidRPr="001A00E9">
        <w:rPr>
          <w:rFonts w:ascii="Times New Roman" w:hAnsi="Times New Roman" w:cs="Times New Roman"/>
          <w:i/>
        </w:rPr>
        <w:t xml:space="preserve">l </w:t>
      </w:r>
      <w:r w:rsidRPr="001A00E9">
        <w:rPr>
          <w:rFonts w:ascii="Times New Roman" w:hAnsi="Times New Roman" w:cs="Times New Roman"/>
        </w:rPr>
        <w:t xml:space="preserve">affects shape results, we measured plagioclase crystals in six BSE images of sample SH131A-2 using both crystal outlines and direct line measurements. The </w:t>
      </w:r>
      <w:r w:rsidRPr="001A00E9">
        <w:rPr>
          <w:rFonts w:ascii="Times New Roman" w:hAnsi="Times New Roman" w:cs="Times New Roman"/>
          <w:i/>
        </w:rPr>
        <w:t xml:space="preserve">w-l </w:t>
      </w:r>
      <w:r w:rsidRPr="001A00E9">
        <w:rPr>
          <w:rFonts w:ascii="Times New Roman" w:hAnsi="Times New Roman" w:cs="Times New Roman"/>
        </w:rPr>
        <w:t>distributions (</w:t>
      </w:r>
      <w:r w:rsidRPr="001A00E9">
        <w:rPr>
          <w:rFonts w:ascii="Times New Roman" w:hAnsi="Times New Roman" w:cs="Times New Roman"/>
          <w:i/>
        </w:rPr>
        <w:t xml:space="preserve">n ≈ </w:t>
      </w:r>
      <w:r w:rsidRPr="001A00E9">
        <w:rPr>
          <w:rFonts w:ascii="Times New Roman" w:hAnsi="Times New Roman" w:cs="Times New Roman"/>
        </w:rPr>
        <w:t xml:space="preserve">600) for both methods are in overall good agreement, the only slight difference being the greater relative abundance of </w:t>
      </w:r>
      <w:r w:rsidRPr="001A00E9">
        <w:rPr>
          <w:rFonts w:ascii="Times New Roman" w:hAnsi="Times New Roman" w:cs="Times New Roman"/>
          <w:i/>
        </w:rPr>
        <w:t xml:space="preserve">w/l </w:t>
      </w:r>
      <w:r w:rsidRPr="001A00E9">
        <w:rPr>
          <w:rFonts w:ascii="Times New Roman" w:hAnsi="Times New Roman" w:cs="Times New Roman"/>
        </w:rPr>
        <w:t xml:space="preserve">&gt; 0.9 (Fig. S3a).  </w:t>
      </w:r>
      <w:r w:rsidRPr="001A00E9">
        <w:rPr>
          <w:noProof/>
          <w:lang w:eastAsia="en-GB"/>
        </w:rPr>
        <w:t xml:space="preserve"> </w:t>
      </w:r>
    </w:p>
    <w:p w14:paraId="716316A2" w14:textId="7A54BC40" w:rsidR="0046582E" w:rsidRPr="001A00E9" w:rsidRDefault="00A417E1" w:rsidP="0046582E">
      <w:pPr>
        <w:spacing w:line="360" w:lineRule="auto"/>
        <w:jc w:val="both"/>
        <w:rPr>
          <w:rFonts w:ascii="Times New Roman" w:hAnsi="Times New Roman" w:cs="Times New Roman"/>
          <w:i/>
        </w:rPr>
      </w:pPr>
      <w:r w:rsidRPr="001A00E9">
        <w:rPr>
          <w:rFonts w:ascii="Times New Roman" w:hAnsi="Times New Roman" w:cs="Times New Roman"/>
          <w:b/>
          <w:i/>
          <w:noProof/>
        </w:rPr>
        <w:drawing>
          <wp:inline distT="0" distB="0" distL="0" distR="0" wp14:anchorId="5BFC06F2" wp14:editId="4F4A99CC">
            <wp:extent cx="5766435" cy="1535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6293" cy="1546295"/>
                    </a:xfrm>
                    <a:prstGeom prst="rect">
                      <a:avLst/>
                    </a:prstGeom>
                    <a:noFill/>
                  </pic:spPr>
                </pic:pic>
              </a:graphicData>
            </a:graphic>
          </wp:inline>
        </w:drawing>
      </w:r>
      <w:r w:rsidR="0046582E" w:rsidRPr="001A00E9">
        <w:rPr>
          <w:rFonts w:ascii="Times New Roman" w:hAnsi="Times New Roman" w:cs="Times New Roman"/>
          <w:b/>
          <w:i/>
        </w:rPr>
        <w:t xml:space="preserve">Fig. S3 </w:t>
      </w:r>
      <w:r w:rsidR="0046582E" w:rsidRPr="001A00E9">
        <w:rPr>
          <w:rFonts w:ascii="Times New Roman" w:hAnsi="Times New Roman" w:cs="Times New Roman"/>
          <w:i/>
        </w:rPr>
        <w:t>Shape results for ≈600 plagioclase crystals counted using crystal outlines or direct line measurements to obtain length and width data. (a) normalised frequency plot of 2D data. (b) and (c) ShapeCalc 3D best estimates for line measurement data plotted against those for outline data, (b) S/I and (c) I/L</w:t>
      </w:r>
    </w:p>
    <w:p w14:paraId="0168260A" w14:textId="77777777" w:rsidR="0046582E" w:rsidRPr="001A00E9" w:rsidRDefault="0046582E" w:rsidP="0046582E">
      <w:pPr>
        <w:spacing w:line="360" w:lineRule="auto"/>
        <w:jc w:val="both"/>
        <w:rPr>
          <w:rFonts w:ascii="Times New Roman" w:hAnsi="Times New Roman" w:cs="Times New Roman"/>
        </w:rPr>
      </w:pPr>
      <w:r w:rsidRPr="001A00E9">
        <w:rPr>
          <w:rFonts w:ascii="Times New Roman" w:hAnsi="Times New Roman" w:cs="Times New Roman"/>
        </w:rPr>
        <w:t xml:space="preserve">Similarly, processing of the 2D datasets using </w:t>
      </w:r>
      <w:r w:rsidRPr="001A00E9">
        <w:rPr>
          <w:rFonts w:ascii="Times New Roman" w:hAnsi="Times New Roman" w:cs="Times New Roman"/>
          <w:i/>
        </w:rPr>
        <w:t>ShapeCalc</w:t>
      </w:r>
      <w:r w:rsidRPr="001A00E9">
        <w:rPr>
          <w:rFonts w:ascii="Times New Roman" w:hAnsi="Times New Roman" w:cs="Times New Roman"/>
        </w:rPr>
        <w:t xml:space="preserve"> yields consistent </w:t>
      </w:r>
      <w:r w:rsidRPr="001A00E9">
        <w:rPr>
          <w:rFonts w:ascii="Times New Roman" w:hAnsi="Times New Roman" w:cs="Times New Roman"/>
          <w:i/>
        </w:rPr>
        <w:t xml:space="preserve">S:I:L </w:t>
      </w:r>
      <w:r w:rsidRPr="001A00E9">
        <w:rPr>
          <w:rFonts w:ascii="Times New Roman" w:hAnsi="Times New Roman" w:cs="Times New Roman"/>
        </w:rPr>
        <w:t xml:space="preserve">best estimates across length fractions (Fig. S3b &amp; c). Ratios of </w:t>
      </w:r>
      <w:r w:rsidRPr="001A00E9">
        <w:rPr>
          <w:rFonts w:ascii="Times New Roman" w:hAnsi="Times New Roman" w:cs="Times New Roman"/>
          <w:i/>
        </w:rPr>
        <w:t xml:space="preserve">S/I </w:t>
      </w:r>
      <w:r w:rsidRPr="001A00E9">
        <w:rPr>
          <w:rFonts w:ascii="Times New Roman" w:hAnsi="Times New Roman" w:cs="Times New Roman"/>
        </w:rPr>
        <w:t xml:space="preserve">and </w:t>
      </w:r>
      <w:r w:rsidRPr="001A00E9">
        <w:rPr>
          <w:rFonts w:ascii="Times New Roman" w:hAnsi="Times New Roman" w:cs="Times New Roman"/>
          <w:i/>
        </w:rPr>
        <w:t xml:space="preserve">I/L </w:t>
      </w:r>
      <w:r w:rsidRPr="001A00E9">
        <w:rPr>
          <w:rFonts w:ascii="Times New Roman" w:hAnsi="Times New Roman" w:cs="Times New Roman"/>
        </w:rPr>
        <w:t xml:space="preserve">show a difference between methods of ≤0.1, which constrain uncertainties on </w:t>
      </w:r>
      <w:r w:rsidRPr="001A00E9">
        <w:rPr>
          <w:rFonts w:ascii="Times New Roman" w:hAnsi="Times New Roman" w:cs="Times New Roman"/>
          <w:i/>
        </w:rPr>
        <w:t xml:space="preserve">S/I </w:t>
      </w:r>
      <w:r w:rsidRPr="001A00E9">
        <w:rPr>
          <w:rFonts w:ascii="Times New Roman" w:hAnsi="Times New Roman" w:cs="Times New Roman"/>
        </w:rPr>
        <w:t>and</w:t>
      </w:r>
      <w:r w:rsidRPr="001A00E9">
        <w:rPr>
          <w:rFonts w:ascii="Times New Roman" w:hAnsi="Times New Roman" w:cs="Times New Roman"/>
          <w:i/>
        </w:rPr>
        <w:t xml:space="preserve"> I/L </w:t>
      </w:r>
      <w:r w:rsidRPr="001A00E9">
        <w:rPr>
          <w:rFonts w:ascii="Times New Roman" w:hAnsi="Times New Roman" w:cs="Times New Roman"/>
        </w:rPr>
        <w:t xml:space="preserve">derived from measurement errors to ± 0.05. These uncertainties are equal to or lower than those related to most </w:t>
      </w:r>
      <w:r w:rsidRPr="001A00E9">
        <w:rPr>
          <w:rFonts w:ascii="Times New Roman" w:hAnsi="Times New Roman" w:cs="Times New Roman"/>
          <w:i/>
        </w:rPr>
        <w:t xml:space="preserve">ShapeCalc </w:t>
      </w:r>
      <w:r w:rsidRPr="001A00E9">
        <w:rPr>
          <w:rFonts w:ascii="Times New Roman" w:hAnsi="Times New Roman" w:cs="Times New Roman"/>
        </w:rPr>
        <w:t>model results, suggesting that both methods of constraining the aspect ratios of 2D crystal intersections are robust and reproducible.</w:t>
      </w:r>
    </w:p>
    <w:p w14:paraId="1387F160" w14:textId="5C3025EF" w:rsidR="0046582E" w:rsidRPr="001A00E9" w:rsidRDefault="0046582E" w:rsidP="0046582E">
      <w:pPr>
        <w:spacing w:line="360" w:lineRule="auto"/>
        <w:jc w:val="both"/>
        <w:rPr>
          <w:rFonts w:ascii="Times New Roman" w:hAnsi="Times New Roman" w:cs="Times New Roman"/>
        </w:rPr>
      </w:pPr>
      <w:r w:rsidRPr="001A00E9">
        <w:rPr>
          <w:rFonts w:ascii="Times New Roman" w:hAnsi="Times New Roman" w:cs="Times New Roman"/>
        </w:rPr>
        <w:t>Because of the limited number of crystals counted for the measurement technique test (</w:t>
      </w:r>
      <w:r w:rsidRPr="001A00E9">
        <w:rPr>
          <w:rFonts w:ascii="Times New Roman" w:hAnsi="Times New Roman" w:cs="Times New Roman"/>
          <w:i/>
        </w:rPr>
        <w:t xml:space="preserve">n = </w:t>
      </w:r>
      <w:r w:rsidRPr="001A00E9">
        <w:rPr>
          <w:rFonts w:ascii="Times New Roman" w:hAnsi="Times New Roman" w:cs="Times New Roman"/>
        </w:rPr>
        <w:t>599), individual size bins contain low numbers of intersection data (</w:t>
      </w:r>
      <w:r w:rsidRPr="001A00E9">
        <w:rPr>
          <w:rFonts w:ascii="Times New Roman" w:hAnsi="Times New Roman" w:cs="Times New Roman"/>
          <w:i/>
        </w:rPr>
        <w:t xml:space="preserve">n = </w:t>
      </w:r>
      <w:r w:rsidRPr="001A00E9">
        <w:rPr>
          <w:rFonts w:ascii="Times New Roman" w:hAnsi="Times New Roman" w:cs="Times New Roman"/>
        </w:rPr>
        <w:t>33</w:t>
      </w:r>
      <w:r w:rsidR="00CF05EE" w:rsidRPr="001A00E9">
        <w:rPr>
          <w:rFonts w:ascii="Times New Roman" w:hAnsi="Times New Roman" w:cs="Times New Roman"/>
        </w:rPr>
        <w:t>-</w:t>
      </w:r>
      <w:r w:rsidRPr="001A00E9">
        <w:rPr>
          <w:rFonts w:ascii="Times New Roman" w:hAnsi="Times New Roman" w:cs="Times New Roman"/>
        </w:rPr>
        <w:t xml:space="preserve">265). Such small sample sizes may preclude accurate </w:t>
      </w:r>
      <w:r w:rsidRPr="001A00E9">
        <w:rPr>
          <w:rFonts w:ascii="Times New Roman" w:hAnsi="Times New Roman" w:cs="Times New Roman"/>
          <w:i/>
        </w:rPr>
        <w:t xml:space="preserve">S:I:L </w:t>
      </w:r>
      <w:r w:rsidRPr="001A00E9">
        <w:rPr>
          <w:rFonts w:ascii="Times New Roman" w:hAnsi="Times New Roman" w:cs="Times New Roman"/>
        </w:rPr>
        <w:t xml:space="preserve">estimates, and indeed no </w:t>
      </w:r>
      <w:r w:rsidRPr="001A00E9">
        <w:rPr>
          <w:rFonts w:ascii="Times New Roman" w:hAnsi="Times New Roman" w:cs="Times New Roman"/>
          <w:i/>
        </w:rPr>
        <w:t xml:space="preserve">S:I:L </w:t>
      </w:r>
      <w:r w:rsidRPr="001A00E9">
        <w:rPr>
          <w:rFonts w:ascii="Times New Roman" w:hAnsi="Times New Roman" w:cs="Times New Roman"/>
        </w:rPr>
        <w:t xml:space="preserve">could be determined for the </w:t>
      </w:r>
      <w:r w:rsidRPr="001A00E9">
        <w:rPr>
          <w:rFonts w:ascii="Times New Roman" w:hAnsi="Times New Roman" w:cs="Times New Roman"/>
          <w:i/>
        </w:rPr>
        <w:t xml:space="preserve">l = </w:t>
      </w:r>
      <w:r w:rsidRPr="001A00E9">
        <w:rPr>
          <w:rFonts w:ascii="Times New Roman" w:hAnsi="Times New Roman" w:cs="Times New Roman"/>
        </w:rPr>
        <w:t>0</w:t>
      </w:r>
      <w:r w:rsidR="00CF05EE" w:rsidRPr="001A00E9">
        <w:rPr>
          <w:rFonts w:ascii="Times New Roman" w:hAnsi="Times New Roman" w:cs="Times New Roman"/>
        </w:rPr>
        <w:t>-</w:t>
      </w:r>
      <w:r w:rsidRPr="001A00E9">
        <w:rPr>
          <w:rFonts w:ascii="Times New Roman" w:hAnsi="Times New Roman" w:cs="Times New Roman"/>
        </w:rPr>
        <w:t>5 μm size fraction (</w:t>
      </w:r>
      <w:r w:rsidRPr="001A00E9">
        <w:rPr>
          <w:rFonts w:ascii="Times New Roman" w:hAnsi="Times New Roman" w:cs="Times New Roman"/>
          <w:i/>
        </w:rPr>
        <w:t>n</w:t>
      </w:r>
      <w:r w:rsidRPr="001A00E9">
        <w:rPr>
          <w:rFonts w:ascii="Times New Roman" w:hAnsi="Times New Roman" w:cs="Times New Roman"/>
          <w:i/>
          <w:vertAlign w:val="subscript"/>
        </w:rPr>
        <w:t>0-5</w:t>
      </w:r>
      <w:r w:rsidRPr="001A00E9">
        <w:rPr>
          <w:rFonts w:ascii="Times New Roman" w:hAnsi="Times New Roman" w:cs="Times New Roman"/>
          <w:i/>
        </w:rPr>
        <w:t xml:space="preserve"> </w:t>
      </w:r>
      <w:r w:rsidRPr="001A00E9">
        <w:rPr>
          <w:rFonts w:ascii="Times New Roman" w:hAnsi="Times New Roman" w:cs="Times New Roman"/>
        </w:rPr>
        <w:t>= 33) as the data is too spurious</w:t>
      </w:r>
      <w:r w:rsidRPr="001A00E9">
        <w:rPr>
          <w:rFonts w:ascii="Times New Roman" w:hAnsi="Times New Roman" w:cs="Times New Roman"/>
          <w:i/>
        </w:rPr>
        <w:t xml:space="preserve">. </w:t>
      </w:r>
      <w:r w:rsidRPr="001A00E9">
        <w:rPr>
          <w:rFonts w:ascii="Times New Roman" w:hAnsi="Times New Roman" w:cs="Times New Roman"/>
        </w:rPr>
        <w:t xml:space="preserve">Morgan &amp; Jerram (2006) suggested that a minimum of 250 sections is necessary for accurate </w:t>
      </w:r>
      <w:r w:rsidRPr="001A00E9">
        <w:rPr>
          <w:rFonts w:ascii="Times New Roman" w:hAnsi="Times New Roman" w:cs="Times New Roman"/>
          <w:i/>
        </w:rPr>
        <w:t xml:space="preserve">S:I:L </w:t>
      </w:r>
      <w:r w:rsidRPr="001A00E9">
        <w:rPr>
          <w:rFonts w:ascii="Times New Roman" w:hAnsi="Times New Roman" w:cs="Times New Roman"/>
        </w:rPr>
        <w:t xml:space="preserve">estimates in natural samples, and that more sections are required for shapes with </w:t>
      </w:r>
      <w:r w:rsidRPr="001A00E9">
        <w:rPr>
          <w:rFonts w:ascii="Times New Roman" w:hAnsi="Times New Roman" w:cs="Times New Roman"/>
          <w:i/>
        </w:rPr>
        <w:t>S</w:t>
      </w:r>
      <w:r w:rsidRPr="001A00E9">
        <w:rPr>
          <w:rFonts w:ascii="Times New Roman" w:hAnsi="Times New Roman" w:cs="Times New Roman"/>
        </w:rPr>
        <w:t>≈</w:t>
      </w:r>
      <w:r w:rsidRPr="001A00E9">
        <w:rPr>
          <w:rFonts w:ascii="Times New Roman" w:hAnsi="Times New Roman" w:cs="Times New Roman"/>
          <w:i/>
        </w:rPr>
        <w:t xml:space="preserve">I </w:t>
      </w:r>
      <w:r w:rsidRPr="001A00E9">
        <w:rPr>
          <w:rFonts w:ascii="Times New Roman" w:hAnsi="Times New Roman" w:cs="Times New Roman"/>
        </w:rPr>
        <w:t xml:space="preserve">due to the cut-section effect (cf. Methods Section). We tested the effect of statistics on 2D </w:t>
      </w:r>
      <w:r w:rsidRPr="001A00E9">
        <w:rPr>
          <w:rFonts w:ascii="Times New Roman" w:hAnsi="Times New Roman" w:cs="Times New Roman"/>
          <w:i/>
        </w:rPr>
        <w:t>w-l</w:t>
      </w:r>
      <w:r w:rsidRPr="001A00E9">
        <w:rPr>
          <w:rFonts w:ascii="Times New Roman" w:hAnsi="Times New Roman" w:cs="Times New Roman"/>
        </w:rPr>
        <w:t xml:space="preserve"> data and 3D </w:t>
      </w:r>
      <w:r w:rsidRPr="001A00E9">
        <w:rPr>
          <w:rFonts w:ascii="Times New Roman" w:hAnsi="Times New Roman" w:cs="Times New Roman"/>
          <w:i/>
        </w:rPr>
        <w:t xml:space="preserve">S:I:L </w:t>
      </w:r>
      <w:r w:rsidRPr="001A00E9">
        <w:rPr>
          <w:rFonts w:ascii="Times New Roman" w:hAnsi="Times New Roman" w:cs="Times New Roman"/>
        </w:rPr>
        <w:t xml:space="preserve">estimates by comparing results of two individual counts of plagioclase in BSE images of SH131A-2 (Fig. S4). The first dataset is the one obtained for the test of </w:t>
      </w:r>
      <w:r w:rsidRPr="001A00E9">
        <w:rPr>
          <w:rFonts w:ascii="Times New Roman" w:hAnsi="Times New Roman" w:cs="Times New Roman"/>
        </w:rPr>
        <w:lastRenderedPageBreak/>
        <w:t>the measuring technique (</w:t>
      </w:r>
      <w:r w:rsidRPr="001A00E9">
        <w:rPr>
          <w:rFonts w:ascii="Times New Roman" w:hAnsi="Times New Roman" w:cs="Times New Roman"/>
          <w:i/>
        </w:rPr>
        <w:t xml:space="preserve">n = </w:t>
      </w:r>
      <w:r w:rsidRPr="001A00E9">
        <w:rPr>
          <w:rFonts w:ascii="Times New Roman" w:hAnsi="Times New Roman" w:cs="Times New Roman"/>
        </w:rPr>
        <w:t xml:space="preserve">599), with the number of sections per bin varying from 126 to 265. The second dataset is the one used to obtain the </w:t>
      </w:r>
      <w:r w:rsidRPr="001A00E9">
        <w:rPr>
          <w:rFonts w:ascii="Times New Roman" w:hAnsi="Times New Roman" w:cs="Times New Roman"/>
          <w:i/>
        </w:rPr>
        <w:t xml:space="preserve">S:I:L </w:t>
      </w:r>
      <w:r w:rsidRPr="001A00E9">
        <w:rPr>
          <w:rFonts w:ascii="Times New Roman" w:hAnsi="Times New Roman" w:cs="Times New Roman"/>
        </w:rPr>
        <w:t>estimates presented in the main article (</w:t>
      </w:r>
      <w:r w:rsidRPr="001A00E9">
        <w:rPr>
          <w:rFonts w:ascii="Times New Roman" w:hAnsi="Times New Roman" w:cs="Times New Roman"/>
          <w:i/>
        </w:rPr>
        <w:t xml:space="preserve">n = </w:t>
      </w:r>
      <w:r w:rsidRPr="001A00E9">
        <w:rPr>
          <w:rFonts w:ascii="Times New Roman" w:hAnsi="Times New Roman" w:cs="Times New Roman"/>
        </w:rPr>
        <w:t>2518), with 354</w:t>
      </w:r>
      <w:r w:rsidR="00CF05EE" w:rsidRPr="001A00E9">
        <w:rPr>
          <w:rFonts w:ascii="Times New Roman" w:hAnsi="Times New Roman" w:cs="Times New Roman"/>
        </w:rPr>
        <w:t>-</w:t>
      </w:r>
      <w:r w:rsidRPr="001A00E9">
        <w:rPr>
          <w:rFonts w:ascii="Times New Roman" w:hAnsi="Times New Roman" w:cs="Times New Roman"/>
        </w:rPr>
        <w:t xml:space="preserve">1450 sections per bin.  </w:t>
      </w:r>
    </w:p>
    <w:p w14:paraId="6143BC00" w14:textId="63CB8F51" w:rsidR="0046582E" w:rsidRPr="001A00E9" w:rsidRDefault="0046582E" w:rsidP="0046582E">
      <w:pPr>
        <w:spacing w:line="360" w:lineRule="auto"/>
        <w:jc w:val="both"/>
        <w:rPr>
          <w:rFonts w:ascii="Times New Roman" w:hAnsi="Times New Roman" w:cs="Times New Roman"/>
        </w:rPr>
      </w:pPr>
      <w:r w:rsidRPr="001A00E9">
        <w:rPr>
          <w:rFonts w:ascii="Times New Roman" w:hAnsi="Times New Roman" w:cs="Times New Roman"/>
        </w:rPr>
        <w:t xml:space="preserve"> </w:t>
      </w:r>
      <w:r w:rsidR="00C17BCE" w:rsidRPr="001A00E9">
        <w:rPr>
          <w:rFonts w:ascii="Times New Roman" w:hAnsi="Times New Roman" w:cs="Times New Roman"/>
          <w:noProof/>
        </w:rPr>
        <w:drawing>
          <wp:inline distT="0" distB="0" distL="0" distR="0" wp14:anchorId="516A2964" wp14:editId="1078E867">
            <wp:extent cx="5807710" cy="15714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7625" cy="1590358"/>
                    </a:xfrm>
                    <a:prstGeom prst="rect">
                      <a:avLst/>
                    </a:prstGeom>
                    <a:noFill/>
                  </pic:spPr>
                </pic:pic>
              </a:graphicData>
            </a:graphic>
          </wp:inline>
        </w:drawing>
      </w:r>
    </w:p>
    <w:p w14:paraId="7E904651" w14:textId="2BAEEF49" w:rsidR="0046582E" w:rsidRPr="001A00E9" w:rsidRDefault="0046582E" w:rsidP="0046582E">
      <w:pPr>
        <w:spacing w:line="360" w:lineRule="auto"/>
        <w:jc w:val="both"/>
        <w:rPr>
          <w:rFonts w:ascii="Times New Roman" w:hAnsi="Times New Roman" w:cs="Times New Roman"/>
          <w:i/>
        </w:rPr>
      </w:pPr>
      <w:r w:rsidRPr="001A00E9">
        <w:rPr>
          <w:rFonts w:ascii="Times New Roman" w:hAnsi="Times New Roman" w:cs="Times New Roman"/>
          <w:b/>
          <w:i/>
        </w:rPr>
        <w:t xml:space="preserve">Fig. S4 </w:t>
      </w:r>
      <w:r w:rsidRPr="001A00E9">
        <w:rPr>
          <w:rFonts w:ascii="Times New Roman" w:hAnsi="Times New Roman" w:cs="Times New Roman"/>
          <w:i/>
        </w:rPr>
        <w:t>Shape results for different counting statistics of MSH sample SH131A-2. In a first run, widths and lengths of 599 crystals were measured; in a second run of the same sample, 2518 crystals were measured. (a) normalised frequency plot of 2D data. (b) and (c) ShapeCalc 3D best estimates for the two runs plotted against each other, (b) S/I and (c) I/L</w:t>
      </w:r>
    </w:p>
    <w:p w14:paraId="7FE692C0" w14:textId="52D146FE" w:rsidR="0046582E" w:rsidRDefault="0046582E" w:rsidP="0046582E">
      <w:pPr>
        <w:spacing w:line="360" w:lineRule="auto"/>
        <w:jc w:val="both"/>
        <w:rPr>
          <w:rFonts w:ascii="Times New Roman" w:hAnsi="Times New Roman" w:cs="Times New Roman"/>
        </w:rPr>
      </w:pPr>
      <w:r w:rsidRPr="001A00E9">
        <w:rPr>
          <w:rFonts w:ascii="Times New Roman" w:hAnsi="Times New Roman" w:cs="Times New Roman"/>
        </w:rPr>
        <w:t xml:space="preserve">The </w:t>
      </w:r>
      <w:r w:rsidRPr="001A00E9">
        <w:rPr>
          <w:rFonts w:ascii="Times New Roman" w:hAnsi="Times New Roman" w:cs="Times New Roman"/>
          <w:i/>
        </w:rPr>
        <w:t xml:space="preserve">w-l </w:t>
      </w:r>
      <w:r w:rsidRPr="001A00E9">
        <w:rPr>
          <w:rFonts w:ascii="Times New Roman" w:hAnsi="Times New Roman" w:cs="Times New Roman"/>
        </w:rPr>
        <w:t xml:space="preserve">distributions for the respective complete datasets are broadly consistent (Fig. S4a), and </w:t>
      </w:r>
      <w:r w:rsidRPr="001A00E9">
        <w:rPr>
          <w:rFonts w:ascii="Times New Roman" w:hAnsi="Times New Roman" w:cs="Times New Roman"/>
          <w:i/>
        </w:rPr>
        <w:t xml:space="preserve">S:I:L </w:t>
      </w:r>
      <w:r w:rsidRPr="001A00E9">
        <w:rPr>
          <w:rFonts w:ascii="Times New Roman" w:hAnsi="Times New Roman" w:cs="Times New Roman"/>
        </w:rPr>
        <w:t xml:space="preserve">estimates show good agreement (Fig. S4b &amp; c), including the bins with the smallest </w:t>
      </w:r>
      <w:r w:rsidRPr="001A00E9">
        <w:rPr>
          <w:rFonts w:ascii="Times New Roman" w:hAnsi="Times New Roman" w:cs="Times New Roman"/>
          <w:i/>
        </w:rPr>
        <w:t xml:space="preserve">n </w:t>
      </w:r>
      <w:r w:rsidRPr="001A00E9">
        <w:rPr>
          <w:rFonts w:ascii="Times New Roman" w:hAnsi="Times New Roman" w:cs="Times New Roman"/>
        </w:rPr>
        <w:t>(</w:t>
      </w:r>
      <w:r w:rsidRPr="001A00E9">
        <w:rPr>
          <w:rFonts w:ascii="Times New Roman" w:hAnsi="Times New Roman" w:cs="Times New Roman"/>
          <w:i/>
        </w:rPr>
        <w:t xml:space="preserve">l = </w:t>
      </w:r>
      <w:r w:rsidRPr="001A00E9">
        <w:rPr>
          <w:rFonts w:ascii="Times New Roman" w:hAnsi="Times New Roman" w:cs="Times New Roman"/>
        </w:rPr>
        <w:t>30</w:t>
      </w:r>
      <w:r w:rsidR="00CF05EE" w:rsidRPr="001A00E9">
        <w:rPr>
          <w:rFonts w:ascii="Times New Roman" w:hAnsi="Times New Roman" w:cs="Times New Roman"/>
        </w:rPr>
        <w:t>-</w:t>
      </w:r>
      <w:r w:rsidRPr="001A00E9">
        <w:rPr>
          <w:rFonts w:ascii="Times New Roman" w:hAnsi="Times New Roman" w:cs="Times New Roman"/>
        </w:rPr>
        <w:t>100 μm)</w:t>
      </w:r>
      <w:r w:rsidRPr="001A00E9">
        <w:rPr>
          <w:rFonts w:ascii="Times New Roman" w:hAnsi="Times New Roman" w:cs="Times New Roman"/>
          <w:i/>
        </w:rPr>
        <w:t xml:space="preserve">. </w:t>
      </w:r>
      <w:r w:rsidRPr="001A00E9">
        <w:rPr>
          <w:rFonts w:ascii="Times New Roman" w:hAnsi="Times New Roman" w:cs="Times New Roman"/>
        </w:rPr>
        <w:t xml:space="preserve">The largest differences between the two datasets are observed for the size fractions with shapes approaching </w:t>
      </w:r>
      <w:r w:rsidRPr="001A00E9">
        <w:rPr>
          <w:rFonts w:ascii="Times New Roman" w:hAnsi="Times New Roman" w:cs="Times New Roman"/>
          <w:i/>
        </w:rPr>
        <w:t>S/I</w:t>
      </w:r>
      <w:r w:rsidRPr="001A00E9">
        <w:rPr>
          <w:rFonts w:ascii="Times New Roman" w:hAnsi="Times New Roman" w:cs="Times New Roman"/>
        </w:rPr>
        <w:t xml:space="preserve"> = 1, i.e., the </w:t>
      </w:r>
      <w:r w:rsidRPr="001A00E9">
        <w:rPr>
          <w:rFonts w:ascii="Times New Roman" w:hAnsi="Times New Roman" w:cs="Times New Roman"/>
          <w:i/>
        </w:rPr>
        <w:t xml:space="preserve">l = </w:t>
      </w:r>
      <w:r w:rsidRPr="001A00E9">
        <w:rPr>
          <w:rFonts w:ascii="Times New Roman" w:hAnsi="Times New Roman" w:cs="Times New Roman"/>
        </w:rPr>
        <w:t>0</w:t>
      </w:r>
      <w:r w:rsidR="00CF05EE" w:rsidRPr="001A00E9">
        <w:rPr>
          <w:rFonts w:ascii="Times New Roman" w:hAnsi="Times New Roman" w:cs="Times New Roman"/>
        </w:rPr>
        <w:t>-</w:t>
      </w:r>
      <w:r w:rsidRPr="001A00E9">
        <w:rPr>
          <w:rFonts w:ascii="Times New Roman" w:hAnsi="Times New Roman" w:cs="Times New Roman"/>
        </w:rPr>
        <w:t>10 μm and 5</w:t>
      </w:r>
      <w:r w:rsidR="00CF05EE" w:rsidRPr="001A00E9">
        <w:rPr>
          <w:rFonts w:ascii="Times New Roman" w:hAnsi="Times New Roman" w:cs="Times New Roman"/>
        </w:rPr>
        <w:t>-</w:t>
      </w:r>
      <w:r w:rsidRPr="001A00E9">
        <w:rPr>
          <w:rFonts w:ascii="Times New Roman" w:hAnsi="Times New Roman" w:cs="Times New Roman"/>
        </w:rPr>
        <w:t>10 μm fractions (Δ</w:t>
      </w:r>
      <w:r w:rsidRPr="001A00E9">
        <w:rPr>
          <w:rFonts w:ascii="Times New Roman" w:hAnsi="Times New Roman" w:cs="Times New Roman"/>
          <w:i/>
        </w:rPr>
        <w:t>S/I ≤</w:t>
      </w:r>
      <w:r w:rsidRPr="001A00E9">
        <w:rPr>
          <w:rFonts w:ascii="Times New Roman" w:hAnsi="Times New Roman" w:cs="Times New Roman"/>
        </w:rPr>
        <w:t>0.08</w:t>
      </w:r>
      <w:r w:rsidRPr="001A00E9">
        <w:rPr>
          <w:rFonts w:ascii="Times New Roman" w:hAnsi="Times New Roman" w:cs="Times New Roman"/>
          <w:i/>
        </w:rPr>
        <w:t>,</w:t>
      </w:r>
      <w:r w:rsidRPr="001A00E9">
        <w:rPr>
          <w:rFonts w:ascii="Times New Roman" w:hAnsi="Times New Roman" w:cs="Times New Roman"/>
        </w:rPr>
        <w:t xml:space="preserve"> Δ</w:t>
      </w:r>
      <w:r w:rsidRPr="001A00E9">
        <w:rPr>
          <w:rFonts w:ascii="Times New Roman" w:hAnsi="Times New Roman" w:cs="Times New Roman"/>
          <w:i/>
        </w:rPr>
        <w:t>I/L ≤</w:t>
      </w:r>
      <w:r w:rsidRPr="001A00E9">
        <w:rPr>
          <w:rFonts w:ascii="Times New Roman" w:hAnsi="Times New Roman" w:cs="Times New Roman"/>
        </w:rPr>
        <w:t xml:space="preserve">0.15). It should be noted that even the largest discrepancies related to counting statistics are equal to or smaller than uncertainties related to the modelling performed with </w:t>
      </w:r>
      <w:r w:rsidRPr="001A00E9">
        <w:rPr>
          <w:rFonts w:ascii="Times New Roman" w:hAnsi="Times New Roman" w:cs="Times New Roman"/>
          <w:i/>
        </w:rPr>
        <w:t>ShapeCalc.</w:t>
      </w:r>
      <w:r w:rsidRPr="001A00E9">
        <w:rPr>
          <w:rFonts w:ascii="Times New Roman" w:hAnsi="Times New Roman" w:cs="Times New Roman"/>
        </w:rPr>
        <w:t xml:space="preserve"> We conclude that when using </w:t>
      </w:r>
      <w:r w:rsidRPr="001A00E9">
        <w:rPr>
          <w:rFonts w:ascii="Times New Roman" w:hAnsi="Times New Roman" w:cs="Times New Roman"/>
          <w:i/>
        </w:rPr>
        <w:t xml:space="preserve">ShapeCalc, </w:t>
      </w:r>
      <w:r w:rsidRPr="001A00E9">
        <w:rPr>
          <w:rFonts w:ascii="Times New Roman" w:hAnsi="Times New Roman" w:cs="Times New Roman"/>
        </w:rPr>
        <w:t xml:space="preserve">a minimum number of 200 </w:t>
      </w:r>
      <w:r w:rsidRPr="001A00E9">
        <w:rPr>
          <w:rFonts w:ascii="Times New Roman" w:hAnsi="Times New Roman" w:cs="Times New Roman"/>
          <w:i/>
        </w:rPr>
        <w:t xml:space="preserve">w/l </w:t>
      </w:r>
      <w:r w:rsidRPr="001A00E9">
        <w:rPr>
          <w:rFonts w:ascii="Times New Roman" w:hAnsi="Times New Roman" w:cs="Times New Roman"/>
        </w:rPr>
        <w:t>data points is recommended in order to estimate a 3D shape for an unknown sample; for tabular crystal shapes (</w:t>
      </w:r>
      <w:r w:rsidRPr="001A00E9">
        <w:rPr>
          <w:rFonts w:ascii="Times New Roman" w:hAnsi="Times New Roman" w:cs="Times New Roman"/>
          <w:i/>
        </w:rPr>
        <w:t>S&lt;&lt;I</w:t>
      </w:r>
      <w:r w:rsidRPr="001A00E9">
        <w:rPr>
          <w:rFonts w:ascii="Times New Roman" w:hAnsi="Times New Roman" w:cs="Times New Roman"/>
        </w:rPr>
        <w:t>), robust results can be obtained with ~100 2D crystal intersections.</w:t>
      </w:r>
    </w:p>
    <w:p w14:paraId="419D54BE" w14:textId="77777777" w:rsidR="00CE40FA" w:rsidRPr="001A00E9" w:rsidRDefault="00CE40FA" w:rsidP="0046582E">
      <w:pPr>
        <w:spacing w:line="360" w:lineRule="auto"/>
        <w:jc w:val="both"/>
        <w:rPr>
          <w:rFonts w:ascii="Times New Roman" w:hAnsi="Times New Roman" w:cs="Times New Roman"/>
        </w:rPr>
      </w:pPr>
    </w:p>
    <w:p w14:paraId="6D66C123" w14:textId="21DF5C68" w:rsidR="00B94221" w:rsidRPr="001A00E9" w:rsidRDefault="00B94221" w:rsidP="00B94221">
      <w:pPr>
        <w:pStyle w:val="Heading2"/>
        <w:rPr>
          <w:rFonts w:ascii="Times New Roman" w:hAnsi="Times New Roman" w:cs="Times New Roman"/>
        </w:rPr>
      </w:pPr>
      <w:r w:rsidRPr="001A00E9">
        <w:rPr>
          <w:rFonts w:ascii="Times New Roman" w:hAnsi="Times New Roman" w:cs="Times New Roman"/>
        </w:rPr>
        <w:t xml:space="preserve">Online Resource 5: </w:t>
      </w:r>
      <w:r w:rsidR="00F02BF5" w:rsidRPr="001A00E9">
        <w:rPr>
          <w:rFonts w:ascii="Times New Roman" w:hAnsi="Times New Roman" w:cs="Times New Roman"/>
        </w:rPr>
        <w:t>Evaluation of</w:t>
      </w:r>
      <w:r w:rsidR="005E2A2E" w:rsidRPr="001A00E9">
        <w:rPr>
          <w:rFonts w:ascii="Times New Roman" w:hAnsi="Times New Roman" w:cs="Times New Roman"/>
        </w:rPr>
        <w:t xml:space="preserve"> binning effects</w:t>
      </w:r>
    </w:p>
    <w:p w14:paraId="1A0C4CB6" w14:textId="7C0CAE22" w:rsidR="00B94221" w:rsidRPr="001A00E9" w:rsidRDefault="00B94221" w:rsidP="00B94221">
      <w:pPr>
        <w:spacing w:line="360" w:lineRule="auto"/>
        <w:jc w:val="both"/>
        <w:rPr>
          <w:rFonts w:ascii="Times New Roman" w:hAnsi="Times New Roman" w:cs="Times New Roman"/>
        </w:rPr>
      </w:pPr>
      <w:r w:rsidRPr="001A00E9">
        <w:rPr>
          <w:rFonts w:ascii="Times New Roman" w:hAnsi="Times New Roman" w:cs="Times New Roman"/>
        </w:rPr>
        <w:t>While a</w:t>
      </w:r>
      <w:r w:rsidRPr="001A00E9">
        <w:rPr>
          <w:rFonts w:ascii="Times New Roman" w:eastAsiaTheme="minorEastAsia" w:hAnsi="Times New Roman" w:cs="Times New Roman"/>
        </w:rPr>
        <w:t xml:space="preserve"> trend towards lower </w:t>
      </w:r>
      <w:r w:rsidRPr="001A00E9">
        <w:rPr>
          <w:rFonts w:ascii="Times New Roman" w:eastAsiaTheme="minorEastAsia" w:hAnsi="Times New Roman" w:cs="Times New Roman"/>
          <w:i/>
        </w:rPr>
        <w:t>S/I</w:t>
      </w:r>
      <w:r w:rsidRPr="001A00E9">
        <w:rPr>
          <w:rFonts w:ascii="Times New Roman" w:eastAsiaTheme="minorEastAsia" w:hAnsi="Times New Roman" w:cs="Times New Roman"/>
        </w:rPr>
        <w:t xml:space="preserve"> with increasing crystal size is supported by visual assessment of crystal textures (Figs. 1 &amp; 5), it is important to test whether the binning process itself introduces artefacts into 3D shape estimates. </w:t>
      </w:r>
      <w:r w:rsidR="00D87CEC">
        <w:rPr>
          <w:rFonts w:ascii="Times New Roman" w:eastAsiaTheme="minorEastAsia" w:hAnsi="Times New Roman" w:cs="Times New Roman"/>
        </w:rPr>
        <w:t xml:space="preserve">The </w:t>
      </w:r>
      <w:r w:rsidR="00A43177">
        <w:rPr>
          <w:rFonts w:ascii="Times New Roman" w:eastAsiaTheme="minorEastAsia" w:hAnsi="Times New Roman" w:cs="Times New Roman"/>
        </w:rPr>
        <w:t>predominance of</w:t>
      </w:r>
      <w:r w:rsidR="00835788">
        <w:rPr>
          <w:rFonts w:ascii="Times New Roman" w:eastAsiaTheme="minorEastAsia" w:hAnsi="Times New Roman" w:cs="Times New Roman"/>
        </w:rPr>
        <w:t xml:space="preserve"> plagioclase crystals with</w:t>
      </w:r>
      <w:r w:rsidR="00A43177">
        <w:rPr>
          <w:rFonts w:ascii="Times New Roman" w:eastAsiaTheme="minorEastAsia" w:hAnsi="Times New Roman" w:cs="Times New Roman"/>
        </w:rPr>
        <w:t xml:space="preserve"> </w:t>
      </w:r>
      <w:r w:rsidR="00946573">
        <w:rPr>
          <w:rFonts w:ascii="Times New Roman" w:eastAsiaTheme="minorEastAsia" w:hAnsi="Times New Roman" w:cs="Times New Roman"/>
        </w:rPr>
        <w:t xml:space="preserve">2D intersection </w:t>
      </w:r>
      <w:r w:rsidR="00A43177">
        <w:rPr>
          <w:rFonts w:ascii="Times New Roman" w:eastAsiaTheme="minorEastAsia" w:hAnsi="Times New Roman" w:cs="Times New Roman"/>
        </w:rPr>
        <w:t xml:space="preserve">lengths </w:t>
      </w:r>
      <w:r w:rsidR="0073493B">
        <w:rPr>
          <w:rFonts w:ascii="Times New Roman" w:eastAsiaTheme="minorEastAsia" w:hAnsi="Times New Roman" w:cs="Times New Roman"/>
          <w:i/>
          <w:iCs/>
        </w:rPr>
        <w:t>&lt;</w:t>
      </w:r>
      <w:r w:rsidR="0073493B">
        <w:rPr>
          <w:rFonts w:ascii="Times New Roman" w:eastAsiaTheme="minorEastAsia" w:hAnsi="Times New Roman" w:cs="Times New Roman"/>
        </w:rPr>
        <w:t>10 µm</w:t>
      </w:r>
      <w:r w:rsidR="00A43177">
        <w:rPr>
          <w:rFonts w:ascii="Times New Roman" w:eastAsiaTheme="minorEastAsia" w:hAnsi="Times New Roman" w:cs="Times New Roman"/>
        </w:rPr>
        <w:t xml:space="preserve"> in natural samples</w:t>
      </w:r>
      <w:r w:rsidR="0073493B">
        <w:rPr>
          <w:rFonts w:ascii="Times New Roman" w:eastAsiaTheme="minorEastAsia" w:hAnsi="Times New Roman" w:cs="Times New Roman"/>
        </w:rPr>
        <w:t xml:space="preserve"> (Table 1)</w:t>
      </w:r>
      <w:r w:rsidR="001E30B0">
        <w:rPr>
          <w:rFonts w:ascii="Times New Roman" w:eastAsiaTheme="minorEastAsia" w:hAnsi="Times New Roman" w:cs="Times New Roman"/>
        </w:rPr>
        <w:t xml:space="preserve">, most of which show euhedral shapes, </w:t>
      </w:r>
      <w:r w:rsidR="003B56C9">
        <w:rPr>
          <w:rFonts w:ascii="Times New Roman" w:eastAsiaTheme="minorEastAsia" w:hAnsi="Times New Roman" w:cs="Times New Roman"/>
        </w:rPr>
        <w:t xml:space="preserve">strongly </w:t>
      </w:r>
      <w:r w:rsidR="000777CA">
        <w:rPr>
          <w:rFonts w:ascii="Times New Roman" w:eastAsiaTheme="minorEastAsia" w:hAnsi="Times New Roman" w:cs="Times New Roman"/>
        </w:rPr>
        <w:t>suggest</w:t>
      </w:r>
      <w:r w:rsidR="003B56C9">
        <w:rPr>
          <w:rFonts w:ascii="Times New Roman" w:eastAsiaTheme="minorEastAsia" w:hAnsi="Times New Roman" w:cs="Times New Roman"/>
        </w:rPr>
        <w:t>s</w:t>
      </w:r>
      <w:r w:rsidR="000777CA">
        <w:rPr>
          <w:rFonts w:ascii="Times New Roman" w:eastAsiaTheme="minorEastAsia" w:hAnsi="Times New Roman" w:cs="Times New Roman"/>
        </w:rPr>
        <w:t xml:space="preserve"> that they</w:t>
      </w:r>
      <w:r w:rsidR="003B56C9">
        <w:rPr>
          <w:rFonts w:ascii="Times New Roman" w:eastAsiaTheme="minorEastAsia" w:hAnsi="Times New Roman" w:cs="Times New Roman"/>
        </w:rPr>
        <w:t xml:space="preserve"> represent</w:t>
      </w:r>
      <w:r w:rsidR="00E74C17">
        <w:rPr>
          <w:rFonts w:ascii="Times New Roman" w:eastAsiaTheme="minorEastAsia" w:hAnsi="Times New Roman" w:cs="Times New Roman"/>
        </w:rPr>
        <w:t xml:space="preserve"> </w:t>
      </w:r>
      <w:r w:rsidR="004B77BE">
        <w:rPr>
          <w:rFonts w:ascii="Times New Roman" w:eastAsiaTheme="minorEastAsia" w:hAnsi="Times New Roman" w:cs="Times New Roman"/>
        </w:rPr>
        <w:t xml:space="preserve">distinct, </w:t>
      </w:r>
      <w:r w:rsidR="00E073A3">
        <w:rPr>
          <w:rFonts w:ascii="Times New Roman" w:eastAsiaTheme="minorEastAsia" w:hAnsi="Times New Roman" w:cs="Times New Roman"/>
        </w:rPr>
        <w:t>small crystals</w:t>
      </w:r>
      <w:r w:rsidR="003670AA">
        <w:rPr>
          <w:rFonts w:ascii="Times New Roman" w:eastAsiaTheme="minorEastAsia" w:hAnsi="Times New Roman" w:cs="Times New Roman"/>
        </w:rPr>
        <w:t xml:space="preserve"> </w:t>
      </w:r>
      <w:r w:rsidR="004B77BE">
        <w:rPr>
          <w:rFonts w:ascii="Times New Roman" w:eastAsiaTheme="minorEastAsia" w:hAnsi="Times New Roman" w:cs="Times New Roman"/>
        </w:rPr>
        <w:t xml:space="preserve">rather than simply being edge cuts of larger crystals. </w:t>
      </w:r>
      <w:r w:rsidR="00A50F37">
        <w:rPr>
          <w:rFonts w:ascii="Times New Roman" w:eastAsiaTheme="minorEastAsia" w:hAnsi="Times New Roman" w:cs="Times New Roman"/>
        </w:rPr>
        <w:t xml:space="preserve">The presence of </w:t>
      </w:r>
      <w:r w:rsidR="00B23E07">
        <w:rPr>
          <w:rFonts w:ascii="Times New Roman" w:eastAsiaTheme="minorEastAsia" w:hAnsi="Times New Roman" w:cs="Times New Roman"/>
        </w:rPr>
        <w:t xml:space="preserve">several </w:t>
      </w:r>
      <w:r w:rsidR="00A50F37">
        <w:rPr>
          <w:rFonts w:ascii="Times New Roman" w:eastAsiaTheme="minorEastAsia" w:hAnsi="Times New Roman" w:cs="Times New Roman"/>
        </w:rPr>
        <w:t xml:space="preserve">crystal populations of varying </w:t>
      </w:r>
      <w:r w:rsidR="00574665">
        <w:rPr>
          <w:rFonts w:ascii="Times New Roman" w:eastAsiaTheme="minorEastAsia" w:hAnsi="Times New Roman" w:cs="Times New Roman"/>
        </w:rPr>
        <w:t>size</w:t>
      </w:r>
      <w:r w:rsidR="00A50F37">
        <w:rPr>
          <w:rFonts w:ascii="Times New Roman" w:eastAsiaTheme="minorEastAsia" w:hAnsi="Times New Roman" w:cs="Times New Roman"/>
        </w:rPr>
        <w:t xml:space="preserve"> is therefore evident</w:t>
      </w:r>
      <w:r w:rsidR="00DF1281">
        <w:rPr>
          <w:rFonts w:ascii="Times New Roman" w:eastAsiaTheme="minorEastAsia" w:hAnsi="Times New Roman" w:cs="Times New Roman"/>
        </w:rPr>
        <w:t xml:space="preserve">. However, </w:t>
      </w:r>
      <w:r w:rsidR="0071427C">
        <w:rPr>
          <w:rFonts w:ascii="Times New Roman" w:eastAsiaTheme="minorEastAsia" w:hAnsi="Times New Roman" w:cs="Times New Roman"/>
        </w:rPr>
        <w:t>it needs to</w:t>
      </w:r>
      <w:r w:rsidR="00C7106C">
        <w:rPr>
          <w:rFonts w:ascii="Times New Roman" w:eastAsiaTheme="minorEastAsia" w:hAnsi="Times New Roman" w:cs="Times New Roman"/>
        </w:rPr>
        <w:t xml:space="preserve"> be</w:t>
      </w:r>
      <w:r w:rsidR="0071427C">
        <w:rPr>
          <w:rFonts w:ascii="Times New Roman" w:eastAsiaTheme="minorEastAsia" w:hAnsi="Times New Roman" w:cs="Times New Roman"/>
        </w:rPr>
        <w:t xml:space="preserve"> tested whether </w:t>
      </w:r>
      <w:r w:rsidR="0071427C" w:rsidRPr="001A00E9">
        <w:rPr>
          <w:rFonts w:ascii="Times New Roman" w:hAnsi="Times New Roman" w:cs="Times New Roman"/>
        </w:rPr>
        <w:t xml:space="preserve">the observed </w:t>
      </w:r>
      <w:r w:rsidR="0071427C">
        <w:rPr>
          <w:rFonts w:ascii="Times New Roman" w:hAnsi="Times New Roman" w:cs="Times New Roman"/>
        </w:rPr>
        <w:t>shape trends</w:t>
      </w:r>
      <w:r w:rsidR="0071427C" w:rsidRPr="001A00E9">
        <w:rPr>
          <w:rFonts w:ascii="Times New Roman" w:hAnsi="Times New Roman" w:cs="Times New Roman"/>
        </w:rPr>
        <w:t xml:space="preserve"> could be caused by multiple crystal populations of </w:t>
      </w:r>
      <w:r w:rsidR="00404F5D" w:rsidRPr="001A00E9">
        <w:rPr>
          <w:rFonts w:ascii="Times New Roman" w:hAnsi="Times New Roman" w:cs="Times New Roman"/>
        </w:rPr>
        <w:t>different size</w:t>
      </w:r>
      <w:r w:rsidR="00404F5D" w:rsidRPr="001A00E9">
        <w:rPr>
          <w:rFonts w:ascii="Times New Roman" w:hAnsi="Times New Roman" w:cs="Times New Roman"/>
        </w:rPr>
        <w:t xml:space="preserve"> </w:t>
      </w:r>
      <w:r w:rsidR="00404F5D">
        <w:rPr>
          <w:rFonts w:ascii="Times New Roman" w:hAnsi="Times New Roman" w:cs="Times New Roman"/>
        </w:rPr>
        <w:t xml:space="preserve">but </w:t>
      </w:r>
      <w:r w:rsidR="0071427C" w:rsidRPr="001A00E9">
        <w:rPr>
          <w:rFonts w:ascii="Times New Roman" w:hAnsi="Times New Roman" w:cs="Times New Roman"/>
        </w:rPr>
        <w:t xml:space="preserve">same </w:t>
      </w:r>
      <w:r w:rsidR="004C31F0">
        <w:rPr>
          <w:rFonts w:ascii="Times New Roman" w:hAnsi="Times New Roman" w:cs="Times New Roman"/>
        </w:rPr>
        <w:t>morpholo</w:t>
      </w:r>
      <w:r w:rsidR="00404F5D">
        <w:rPr>
          <w:rFonts w:ascii="Times New Roman" w:hAnsi="Times New Roman" w:cs="Times New Roman"/>
        </w:rPr>
        <w:t>gy.  R</w:t>
      </w:r>
      <w:r w:rsidRPr="001A00E9">
        <w:rPr>
          <w:rFonts w:ascii="Times New Roman" w:hAnsi="Times New Roman" w:cs="Times New Roman"/>
        </w:rPr>
        <w:t>andom sectioning of a crystal will not only produce crystal intersections of variable 2D aspect ratios (</w:t>
      </w:r>
      <w:r w:rsidRPr="001A00E9">
        <w:rPr>
          <w:rFonts w:ascii="Times New Roman" w:hAnsi="Times New Roman" w:cs="Times New Roman"/>
          <w:i/>
        </w:rPr>
        <w:t>w/l)</w:t>
      </w:r>
      <w:r w:rsidRPr="001A00E9">
        <w:rPr>
          <w:rFonts w:ascii="Times New Roman" w:hAnsi="Times New Roman" w:cs="Times New Roman"/>
        </w:rPr>
        <w:t xml:space="preserve">, but also of variable lengths </w:t>
      </w:r>
      <w:r w:rsidRPr="001A00E9">
        <w:rPr>
          <w:rFonts w:ascii="Times New Roman" w:hAnsi="Times New Roman" w:cs="Times New Roman"/>
          <w:i/>
        </w:rPr>
        <w:t>l</w:t>
      </w:r>
      <w:r w:rsidRPr="001A00E9">
        <w:rPr>
          <w:rFonts w:ascii="Times New Roman" w:hAnsi="Times New Roman" w:cs="Times New Roman"/>
        </w:rPr>
        <w:t xml:space="preserve">. For example, a crystal population with true 3D </w:t>
      </w:r>
      <w:r w:rsidRPr="001A00E9">
        <w:rPr>
          <w:rFonts w:ascii="Times New Roman" w:hAnsi="Times New Roman" w:cs="Times New Roman"/>
        </w:rPr>
        <w:lastRenderedPageBreak/>
        <w:t xml:space="preserve">dimensions of 10:20:100 μm will produce 2D intersection lengths with a mode of </w:t>
      </w:r>
      <w:r w:rsidRPr="001A00E9">
        <w:rPr>
          <w:rFonts w:ascii="Times New Roman" w:hAnsi="Times New Roman" w:cs="Times New Roman"/>
          <w:i/>
        </w:rPr>
        <w:t xml:space="preserve">l = </w:t>
      </w:r>
      <w:r w:rsidRPr="001A00E9">
        <w:rPr>
          <w:rFonts w:ascii="Times New Roman" w:hAnsi="Times New Roman" w:cs="Times New Roman"/>
        </w:rPr>
        <w:t xml:space="preserve">20 μm (i.e., cut perpendicular to </w:t>
      </w:r>
      <w:r w:rsidRPr="001A00E9">
        <w:rPr>
          <w:rFonts w:ascii="Times New Roman" w:hAnsi="Times New Roman" w:cs="Times New Roman"/>
          <w:i/>
        </w:rPr>
        <w:t>L</w:t>
      </w:r>
      <w:r w:rsidRPr="001A00E9">
        <w:rPr>
          <w:rFonts w:ascii="Times New Roman" w:hAnsi="Times New Roman" w:cs="Times New Roman"/>
        </w:rPr>
        <w:t xml:space="preserve">), but there will also be shapes with </w:t>
      </w:r>
      <w:r w:rsidRPr="001A00E9">
        <w:rPr>
          <w:rFonts w:ascii="Times New Roman" w:hAnsi="Times New Roman" w:cs="Times New Roman"/>
          <w:i/>
        </w:rPr>
        <w:t>l</w:t>
      </w:r>
      <w:r w:rsidRPr="001A00E9">
        <w:rPr>
          <w:rFonts w:ascii="Times New Roman" w:hAnsi="Times New Roman" w:cs="Times New Roman"/>
        </w:rPr>
        <w:t xml:space="preserve"> between 0 (i.e., cut off a corner) and 100 μm (i.e., cut parallel to </w:t>
      </w:r>
      <w:r w:rsidRPr="001A00E9">
        <w:rPr>
          <w:rFonts w:ascii="Times New Roman" w:hAnsi="Times New Roman" w:cs="Times New Roman"/>
          <w:i/>
        </w:rPr>
        <w:t>L</w:t>
      </w:r>
      <w:r w:rsidRPr="001A00E9">
        <w:rPr>
          <w:rFonts w:ascii="Times New Roman" w:hAnsi="Times New Roman" w:cs="Times New Roman"/>
        </w:rPr>
        <w:t xml:space="preserve">). Similarly, a crystal population with true dimensions of 1:2:10 μm (i.e., same shape but ten times smaller) will produce intersection lengths between 0 and 10 μm. If both the 10:20:100 μm and the 1:2:10 μm crystal population are present in the same medium (i.e., a polydisperse population of equal shape), intersection shapes with </w:t>
      </w:r>
      <w:r w:rsidRPr="001A00E9">
        <w:rPr>
          <w:rFonts w:ascii="Times New Roman" w:hAnsi="Times New Roman" w:cs="Times New Roman"/>
          <w:i/>
        </w:rPr>
        <w:t xml:space="preserve">l = </w:t>
      </w:r>
      <w:r w:rsidRPr="001A00E9">
        <w:rPr>
          <w:rFonts w:ascii="Times New Roman" w:hAnsi="Times New Roman" w:cs="Times New Roman"/>
        </w:rPr>
        <w:t>0</w:t>
      </w:r>
      <w:r w:rsidR="00CF05EE" w:rsidRPr="001A00E9">
        <w:rPr>
          <w:rFonts w:ascii="Times New Roman" w:hAnsi="Times New Roman" w:cs="Times New Roman"/>
        </w:rPr>
        <w:t>-</w:t>
      </w:r>
      <w:r w:rsidRPr="001A00E9">
        <w:rPr>
          <w:rFonts w:ascii="Times New Roman" w:hAnsi="Times New Roman" w:cs="Times New Roman"/>
        </w:rPr>
        <w:t xml:space="preserve">10 μm could be from either population, and the </w:t>
      </w:r>
      <w:r w:rsidRPr="001A00E9">
        <w:rPr>
          <w:rFonts w:ascii="Times New Roman" w:hAnsi="Times New Roman" w:cs="Times New Roman"/>
          <w:i/>
        </w:rPr>
        <w:t xml:space="preserve">w/l </w:t>
      </w:r>
      <w:r w:rsidRPr="001A00E9">
        <w:rPr>
          <w:rFonts w:ascii="Times New Roman" w:hAnsi="Times New Roman" w:cs="Times New Roman"/>
        </w:rPr>
        <w:t xml:space="preserve">data for </w:t>
      </w:r>
      <w:r w:rsidRPr="001A00E9">
        <w:rPr>
          <w:rFonts w:ascii="Times New Roman" w:hAnsi="Times New Roman" w:cs="Times New Roman"/>
          <w:i/>
        </w:rPr>
        <w:t xml:space="preserve">l = </w:t>
      </w:r>
      <w:r w:rsidRPr="001A00E9">
        <w:rPr>
          <w:rFonts w:ascii="Times New Roman" w:hAnsi="Times New Roman" w:cs="Times New Roman"/>
        </w:rPr>
        <w:t>0</w:t>
      </w:r>
      <w:r w:rsidR="00CF05EE" w:rsidRPr="001A00E9">
        <w:rPr>
          <w:rFonts w:ascii="Times New Roman" w:hAnsi="Times New Roman" w:cs="Times New Roman"/>
        </w:rPr>
        <w:t>-</w:t>
      </w:r>
      <w:r w:rsidRPr="001A00E9">
        <w:rPr>
          <w:rFonts w:ascii="Times New Roman" w:hAnsi="Times New Roman" w:cs="Times New Roman"/>
        </w:rPr>
        <w:t xml:space="preserve">10 μm will include both crystal populations. In volcanic rocks, multiple generations of a given mineral phase (and therefore varying true size) are commonly present, which is the basis of all CSD analyses (cf. Marsh, 1988; Cashman &amp; Marsh, 1988). Overlapping </w:t>
      </w:r>
      <w:r w:rsidRPr="001A00E9">
        <w:rPr>
          <w:rFonts w:ascii="Times New Roman" w:hAnsi="Times New Roman" w:cs="Times New Roman"/>
          <w:i/>
        </w:rPr>
        <w:t xml:space="preserve">w/l </w:t>
      </w:r>
      <w:r w:rsidRPr="001A00E9">
        <w:rPr>
          <w:rFonts w:ascii="Times New Roman" w:hAnsi="Times New Roman" w:cs="Times New Roman"/>
        </w:rPr>
        <w:t xml:space="preserve">distributions could therefore produce artificial shape estimates when binned by </w:t>
      </w:r>
      <w:r w:rsidRPr="001A00E9">
        <w:rPr>
          <w:rFonts w:ascii="Times New Roman" w:hAnsi="Times New Roman" w:cs="Times New Roman"/>
          <w:i/>
        </w:rPr>
        <w:t>l</w:t>
      </w:r>
      <w:r w:rsidRPr="001A00E9">
        <w:rPr>
          <w:rFonts w:ascii="Times New Roman" w:hAnsi="Times New Roman" w:cs="Times New Roman"/>
        </w:rPr>
        <w:t xml:space="preserve">. To test whether the observed systematic trends could be caused by multiple crystal populations of same shape but different size, we produced a hybrid </w:t>
      </w:r>
      <w:r w:rsidRPr="001A00E9">
        <w:rPr>
          <w:rFonts w:ascii="Times New Roman" w:hAnsi="Times New Roman" w:cs="Times New Roman"/>
          <w:i/>
        </w:rPr>
        <w:t xml:space="preserve">w/l </w:t>
      </w:r>
      <w:r w:rsidRPr="001A00E9">
        <w:rPr>
          <w:rFonts w:ascii="Times New Roman" w:hAnsi="Times New Roman" w:cs="Times New Roman"/>
        </w:rPr>
        <w:t xml:space="preserve">distribution representing four crystal populations of identical shape but scaled to 1/3, 1/9, and 1/18 of the original </w:t>
      </w:r>
      <w:r w:rsidRPr="001A00E9">
        <w:rPr>
          <w:rFonts w:ascii="Times New Roman" w:hAnsi="Times New Roman" w:cs="Times New Roman"/>
          <w:i/>
        </w:rPr>
        <w:t xml:space="preserve">l. </w:t>
      </w:r>
      <w:r w:rsidRPr="001A00E9">
        <w:rPr>
          <w:rFonts w:ascii="Times New Roman" w:hAnsi="Times New Roman" w:cs="Times New Roman"/>
        </w:rPr>
        <w:t xml:space="preserve">We used the </w:t>
      </w:r>
      <w:r w:rsidRPr="001A00E9">
        <w:rPr>
          <w:rFonts w:ascii="Times New Roman" w:hAnsi="Times New Roman" w:cs="Times New Roman"/>
        </w:rPr>
        <w:softHyphen/>
      </w:r>
      <w:r w:rsidRPr="001A00E9">
        <w:rPr>
          <w:rFonts w:ascii="Times New Roman" w:hAnsi="Times New Roman" w:cs="Times New Roman"/>
          <w:i/>
        </w:rPr>
        <w:t xml:space="preserve">w-l </w:t>
      </w:r>
      <w:r w:rsidRPr="001A00E9">
        <w:rPr>
          <w:rFonts w:ascii="Times New Roman" w:hAnsi="Times New Roman" w:cs="Times New Roman"/>
        </w:rPr>
        <w:t xml:space="preserve">data of sample SH226, which is dominated by crystals with </w:t>
      </w:r>
      <w:r w:rsidRPr="001A00E9">
        <w:rPr>
          <w:rFonts w:ascii="Times New Roman" w:hAnsi="Times New Roman" w:cs="Times New Roman"/>
          <w:i/>
          <w:iCs/>
        </w:rPr>
        <w:t>l</w:t>
      </w:r>
      <w:r w:rsidRPr="001A00E9">
        <w:rPr>
          <w:rFonts w:ascii="Times New Roman" w:hAnsi="Times New Roman" w:cs="Times New Roman"/>
        </w:rPr>
        <w:t xml:space="preserve"> &gt;10 μm and consistent tabular shape (Table 1); the few crystal intersections with </w:t>
      </w:r>
      <w:r w:rsidRPr="001A00E9">
        <w:rPr>
          <w:rFonts w:ascii="Times New Roman" w:hAnsi="Times New Roman" w:cs="Times New Roman"/>
          <w:i/>
          <w:iCs/>
        </w:rPr>
        <w:t xml:space="preserve">l </w:t>
      </w:r>
      <w:r w:rsidRPr="001A00E9">
        <w:rPr>
          <w:rFonts w:ascii="Times New Roman" w:hAnsi="Times New Roman" w:cs="Times New Roman"/>
        </w:rPr>
        <w:t xml:space="preserve">&lt;10 μm are likely peripheral cuts of the larger tabular crystals. We then created three scaled down duplicates of the unbinned SH226 dataset by dividing </w:t>
      </w:r>
      <w:r w:rsidRPr="001A00E9">
        <w:rPr>
          <w:rFonts w:ascii="Times New Roman" w:hAnsi="Times New Roman" w:cs="Times New Roman"/>
          <w:i/>
        </w:rPr>
        <w:t xml:space="preserve">w </w:t>
      </w:r>
      <w:r w:rsidRPr="001A00E9">
        <w:rPr>
          <w:rFonts w:ascii="Times New Roman" w:hAnsi="Times New Roman" w:cs="Times New Roman"/>
        </w:rPr>
        <w:t xml:space="preserve">and </w:t>
      </w:r>
      <w:r w:rsidRPr="001A00E9">
        <w:rPr>
          <w:rFonts w:ascii="Times New Roman" w:hAnsi="Times New Roman" w:cs="Times New Roman"/>
          <w:i/>
        </w:rPr>
        <w:t xml:space="preserve">l </w:t>
      </w:r>
      <w:r w:rsidRPr="001A00E9">
        <w:rPr>
          <w:rFonts w:ascii="Times New Roman" w:hAnsi="Times New Roman" w:cs="Times New Roman"/>
        </w:rPr>
        <w:t xml:space="preserve">by 3, 9, and 18; intersections with </w:t>
      </w:r>
      <w:r w:rsidRPr="001A00E9">
        <w:rPr>
          <w:rFonts w:ascii="Times New Roman" w:hAnsi="Times New Roman" w:cs="Times New Roman"/>
          <w:i/>
        </w:rPr>
        <w:t xml:space="preserve">l </w:t>
      </w:r>
      <w:r w:rsidRPr="001A00E9">
        <w:rPr>
          <w:rFonts w:ascii="Times New Roman" w:hAnsi="Times New Roman" w:cs="Times New Roman"/>
        </w:rPr>
        <w:t xml:space="preserve">&lt; 1 μm were discarded as these would not be resolved in BSE images. The four </w:t>
      </w:r>
      <w:r w:rsidRPr="001A00E9">
        <w:rPr>
          <w:rFonts w:ascii="Times New Roman" w:hAnsi="Times New Roman" w:cs="Times New Roman"/>
          <w:i/>
        </w:rPr>
        <w:t xml:space="preserve">w-l </w:t>
      </w:r>
      <w:r w:rsidRPr="001A00E9">
        <w:rPr>
          <w:rFonts w:ascii="Times New Roman" w:hAnsi="Times New Roman" w:cs="Times New Roman"/>
        </w:rPr>
        <w:t xml:space="preserve">datasets were combined into a new hybrid model, which was then binned and processed like the other samples in this study. The results show that while there is minor variability in 2D </w:t>
      </w:r>
      <w:r w:rsidRPr="001A00E9">
        <w:rPr>
          <w:rFonts w:ascii="Times New Roman" w:hAnsi="Times New Roman" w:cs="Times New Roman"/>
          <w:i/>
        </w:rPr>
        <w:t xml:space="preserve">w/l </w:t>
      </w:r>
      <w:r w:rsidRPr="001A00E9">
        <w:rPr>
          <w:rFonts w:ascii="Times New Roman" w:hAnsi="Times New Roman" w:cs="Times New Roman"/>
        </w:rPr>
        <w:t xml:space="preserve">data (Fig. </w:t>
      </w:r>
      <w:r w:rsidR="005E2A2E" w:rsidRPr="001A00E9">
        <w:rPr>
          <w:rFonts w:ascii="Times New Roman" w:hAnsi="Times New Roman" w:cs="Times New Roman"/>
        </w:rPr>
        <w:t>S5</w:t>
      </w:r>
      <w:r w:rsidRPr="001A00E9">
        <w:rPr>
          <w:rFonts w:ascii="Times New Roman" w:hAnsi="Times New Roman" w:cs="Times New Roman"/>
        </w:rPr>
        <w:t xml:space="preserve">a), the underlying 3D shape is always reproduced within error, irrespective of length fraction modelled (Fig. </w:t>
      </w:r>
      <w:r w:rsidR="005E2A2E" w:rsidRPr="001A00E9">
        <w:rPr>
          <w:rFonts w:ascii="Times New Roman" w:hAnsi="Times New Roman" w:cs="Times New Roman"/>
        </w:rPr>
        <w:t>S5</w:t>
      </w:r>
      <w:r w:rsidRPr="001A00E9">
        <w:rPr>
          <w:rFonts w:ascii="Times New Roman" w:hAnsi="Times New Roman" w:cs="Times New Roman"/>
        </w:rPr>
        <w:t>b). Therefore, the variation of crystal shape with size observed for our sample set is not considered an artefact of the binning process.</w:t>
      </w:r>
    </w:p>
    <w:p w14:paraId="413E55E4" w14:textId="41FCFB01" w:rsidR="00154D58" w:rsidRPr="001A00E9" w:rsidRDefault="0046484F">
      <w:r w:rsidRPr="001A00E9">
        <w:rPr>
          <w:noProof/>
        </w:rPr>
        <w:drawing>
          <wp:inline distT="0" distB="0" distL="0" distR="0" wp14:anchorId="2EEBCD9A" wp14:editId="032FD02C">
            <wp:extent cx="5885558" cy="2049680"/>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8646" cy="2061203"/>
                    </a:xfrm>
                    <a:prstGeom prst="rect">
                      <a:avLst/>
                    </a:prstGeom>
                    <a:noFill/>
                  </pic:spPr>
                </pic:pic>
              </a:graphicData>
            </a:graphic>
          </wp:inline>
        </w:drawing>
      </w:r>
    </w:p>
    <w:p w14:paraId="21362B9C" w14:textId="6AD29308" w:rsidR="00525A7B" w:rsidRDefault="00525A7B" w:rsidP="006162F9">
      <w:pPr>
        <w:spacing w:line="360" w:lineRule="auto"/>
      </w:pPr>
      <w:r w:rsidRPr="001A00E9">
        <w:rPr>
          <w:rFonts w:ascii="Times New Roman" w:hAnsi="Times New Roman" w:cs="Times New Roman"/>
          <w:b/>
          <w:bCs/>
          <w:i/>
        </w:rPr>
        <w:t>Fig. S5</w:t>
      </w:r>
      <w:r w:rsidRPr="001A00E9">
        <w:rPr>
          <w:rFonts w:ascii="Times New Roman" w:hAnsi="Times New Roman" w:cs="Times New Roman"/>
          <w:i/>
        </w:rPr>
        <w:t xml:space="preserve"> 2D and 3D shape results for a hybrid sample with four crystal populations of identical shape but different sizes, generated from sample SH226. The best shape estimate for the unbinned SH226 dataset is reproduced within error by all length fractions of the polydisperse sample, suggesting that binning of w/l dataets does not introduce artefacts to shape estimates. (a) 2D w/l distributions for individual size fractions of the hybrid sample. (b) Zingg diagram showing 3D estimates for all size fractions of the hybrid sample, as well as shape estimates for the original, unbinned SH226 dataset</w:t>
      </w:r>
      <w:r w:rsidR="00AC507A">
        <w:rPr>
          <w:rFonts w:ascii="Times New Roman" w:hAnsi="Times New Roman" w:cs="Times New Roman"/>
          <w:i/>
        </w:rPr>
        <w:t>.</w:t>
      </w:r>
      <w:r>
        <w:rPr>
          <w:rFonts w:ascii="Times New Roman" w:hAnsi="Times New Roman" w:cs="Times New Roman"/>
          <w:i/>
        </w:rPr>
        <w:t xml:space="preserve"> </w:t>
      </w:r>
    </w:p>
    <w:sectPr w:rsidR="00525A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712A0"/>
    <w:multiLevelType w:val="hybridMultilevel"/>
    <w:tmpl w:val="2C786F0C"/>
    <w:lvl w:ilvl="0" w:tplc="1598E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2E"/>
    <w:rsid w:val="000662A4"/>
    <w:rsid w:val="000777CA"/>
    <w:rsid w:val="00154D58"/>
    <w:rsid w:val="00195D5C"/>
    <w:rsid w:val="001A00E9"/>
    <w:rsid w:val="001C7EF9"/>
    <w:rsid w:val="001E30B0"/>
    <w:rsid w:val="002D23BF"/>
    <w:rsid w:val="002F1C1C"/>
    <w:rsid w:val="003068D7"/>
    <w:rsid w:val="003670AA"/>
    <w:rsid w:val="003A4674"/>
    <w:rsid w:val="003B56C9"/>
    <w:rsid w:val="00404F5D"/>
    <w:rsid w:val="0046484F"/>
    <w:rsid w:val="0046582E"/>
    <w:rsid w:val="004B77BE"/>
    <w:rsid w:val="004C31F0"/>
    <w:rsid w:val="004C3BBD"/>
    <w:rsid w:val="00525A7B"/>
    <w:rsid w:val="00574665"/>
    <w:rsid w:val="005E2A2E"/>
    <w:rsid w:val="006162F9"/>
    <w:rsid w:val="00694E94"/>
    <w:rsid w:val="0071427C"/>
    <w:rsid w:val="0073493B"/>
    <w:rsid w:val="007A7D87"/>
    <w:rsid w:val="00824111"/>
    <w:rsid w:val="00835788"/>
    <w:rsid w:val="00914D3A"/>
    <w:rsid w:val="00946573"/>
    <w:rsid w:val="00967FD1"/>
    <w:rsid w:val="00A417E1"/>
    <w:rsid w:val="00A43177"/>
    <w:rsid w:val="00A50F37"/>
    <w:rsid w:val="00A93C5F"/>
    <w:rsid w:val="00AC507A"/>
    <w:rsid w:val="00AD1557"/>
    <w:rsid w:val="00AF3D2B"/>
    <w:rsid w:val="00B23E07"/>
    <w:rsid w:val="00B94221"/>
    <w:rsid w:val="00BA7714"/>
    <w:rsid w:val="00C030AC"/>
    <w:rsid w:val="00C17BCE"/>
    <w:rsid w:val="00C51953"/>
    <w:rsid w:val="00C537B5"/>
    <w:rsid w:val="00C7106C"/>
    <w:rsid w:val="00CE40FA"/>
    <w:rsid w:val="00CF05EE"/>
    <w:rsid w:val="00D87CEC"/>
    <w:rsid w:val="00DF1281"/>
    <w:rsid w:val="00E073A3"/>
    <w:rsid w:val="00E74C17"/>
    <w:rsid w:val="00E776D2"/>
    <w:rsid w:val="00EE3C11"/>
    <w:rsid w:val="00F02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976A"/>
  <w15:chartTrackingRefBased/>
  <w15:docId w15:val="{F7693D2C-E2C1-4683-A11E-B07E641D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82E"/>
  </w:style>
  <w:style w:type="paragraph" w:styleId="Heading2">
    <w:name w:val="heading 2"/>
    <w:basedOn w:val="Normal"/>
    <w:next w:val="Normal"/>
    <w:link w:val="Heading2Char"/>
    <w:uiPriority w:val="9"/>
    <w:unhideWhenUsed/>
    <w:qFormat/>
    <w:rsid w:val="004658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B9422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582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6582E"/>
    <w:pPr>
      <w:ind w:left="720"/>
      <w:contextualSpacing/>
    </w:pPr>
  </w:style>
  <w:style w:type="character" w:customStyle="1" w:styleId="Heading4Char">
    <w:name w:val="Heading 4 Char"/>
    <w:basedOn w:val="DefaultParagraphFont"/>
    <w:link w:val="Heading4"/>
    <w:uiPriority w:val="9"/>
    <w:rsid w:val="00B94221"/>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B94221"/>
    <w:rPr>
      <w:sz w:val="16"/>
      <w:szCs w:val="16"/>
    </w:rPr>
  </w:style>
  <w:style w:type="paragraph" w:styleId="CommentText">
    <w:name w:val="annotation text"/>
    <w:basedOn w:val="Normal"/>
    <w:link w:val="CommentTextChar"/>
    <w:uiPriority w:val="99"/>
    <w:semiHidden/>
    <w:unhideWhenUsed/>
    <w:rsid w:val="00B94221"/>
    <w:pPr>
      <w:spacing w:line="240" w:lineRule="auto"/>
    </w:pPr>
    <w:rPr>
      <w:sz w:val="20"/>
      <w:szCs w:val="20"/>
    </w:rPr>
  </w:style>
  <w:style w:type="character" w:customStyle="1" w:styleId="CommentTextChar">
    <w:name w:val="Comment Text Char"/>
    <w:basedOn w:val="DefaultParagraphFont"/>
    <w:link w:val="CommentText"/>
    <w:uiPriority w:val="99"/>
    <w:semiHidden/>
    <w:rsid w:val="00B9422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1820</Words>
  <Characters>10378</Characters>
  <Application>Microsoft Office Word</Application>
  <DocSecurity>0</DocSecurity>
  <Lines>86</Lines>
  <Paragraphs>24</Paragraphs>
  <ScaleCrop>false</ScaleCrop>
  <Company>Durham University</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MANGLER, MARTIN</dc:creator>
  <cp:keywords/>
  <dc:description/>
  <cp:lastModifiedBy>MANGLER, MARTIN</cp:lastModifiedBy>
  <cp:revision>4</cp:revision>
  <dcterms:created xsi:type="dcterms:W3CDTF">2022-05-09T14:21:00Z</dcterms:created>
  <dcterms:modified xsi:type="dcterms:W3CDTF">2022-05-09T14:22:00Z</dcterms:modified>
</cp:coreProperties>
</file>