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BDC" w:rsidRPr="001A192F" w:rsidRDefault="00251F4B">
      <w:pPr>
        <w:rPr>
          <w:rFonts w:ascii="Times" w:hAnsi="Times" w:cs="Times"/>
        </w:rPr>
      </w:pPr>
      <w:r w:rsidRPr="001A192F">
        <w:rPr>
          <w:rFonts w:ascii="Times" w:hAnsi="Times" w:cs="Times"/>
        </w:rPr>
        <w:t xml:space="preserve">Supplementary </w:t>
      </w:r>
      <w:r w:rsidR="00987E0B" w:rsidRPr="001A192F">
        <w:rPr>
          <w:rFonts w:ascii="Times" w:hAnsi="Times" w:cs="Times"/>
        </w:rPr>
        <w:t>M</w:t>
      </w:r>
      <w:r w:rsidRPr="001A192F">
        <w:rPr>
          <w:rFonts w:ascii="Times" w:hAnsi="Times" w:cs="Times"/>
        </w:rPr>
        <w:t>aterial</w:t>
      </w:r>
      <w:r w:rsidR="00707C46">
        <w:rPr>
          <w:rFonts w:ascii="Times" w:hAnsi="Times" w:cs="Times"/>
        </w:rPr>
        <w:t>s:</w:t>
      </w:r>
      <w:r w:rsidRPr="001A192F">
        <w:rPr>
          <w:rFonts w:ascii="Times" w:hAnsi="Times" w:cs="Times"/>
        </w:rPr>
        <w:t xml:space="preserve"> </w:t>
      </w:r>
      <w:r w:rsidR="00987E0B" w:rsidRPr="001A192F">
        <w:rPr>
          <w:rFonts w:ascii="Times" w:hAnsi="Times" w:cs="Times"/>
        </w:rPr>
        <w:t>Method</w:t>
      </w:r>
      <w:r w:rsidR="00707C46">
        <w:rPr>
          <w:rFonts w:ascii="Times" w:hAnsi="Times" w:cs="Times"/>
        </w:rPr>
        <w:t>s</w:t>
      </w:r>
    </w:p>
    <w:p w:rsidR="00D44978" w:rsidRDefault="00D44978"/>
    <w:p w:rsidR="00251F4B" w:rsidRPr="00D7671A" w:rsidRDefault="00D44978" w:rsidP="009E74EA">
      <w:pPr>
        <w:spacing w:line="360" w:lineRule="auto"/>
        <w:rPr>
          <w:rFonts w:ascii="Times" w:hAnsi="Times" w:cs="Times"/>
          <w:i/>
        </w:rPr>
      </w:pPr>
      <w:r w:rsidRPr="00D7671A">
        <w:rPr>
          <w:rFonts w:ascii="Times" w:hAnsi="Times" w:cs="Times"/>
          <w:i/>
        </w:rPr>
        <w:t>Error propagation for partition coefficients</w:t>
      </w:r>
    </w:p>
    <w:p w:rsidR="00D7671A" w:rsidRDefault="00D7671A" w:rsidP="009E74EA">
      <w:pPr>
        <w:spacing w:line="360" w:lineRule="auto"/>
        <w:rPr>
          <w:rFonts w:ascii="Times" w:hAnsi="Times" w:cs="Times"/>
        </w:rPr>
      </w:pPr>
      <w:r>
        <w:rPr>
          <w:rFonts w:ascii="Times" w:hAnsi="Times" w:cs="Times"/>
        </w:rPr>
        <w:t xml:space="preserve">Partition coefficients (D) between mineral and melt were determined by dividing the concentration (c) of a trace element (a) in the mineral by the concentration of that element in the silicate glass. </w:t>
      </w:r>
    </w:p>
    <w:p w:rsidR="00D7671A" w:rsidRPr="009E74EA" w:rsidRDefault="007E074F" w:rsidP="009E74EA">
      <w:pPr>
        <w:pStyle w:val="Listenabsatz"/>
        <w:numPr>
          <w:ilvl w:val="0"/>
          <w:numId w:val="1"/>
        </w:numPr>
        <w:spacing w:line="360" w:lineRule="auto"/>
        <w:rPr>
          <w:rFonts w:ascii="Times" w:hAnsi="Times" w:cs="Times"/>
        </w:rPr>
      </w:pPr>
      <m:oMath>
        <m:sSubSup>
          <m:sSubSupPr>
            <m:ctrlPr>
              <w:rPr>
                <w:rFonts w:ascii="Cambria Math" w:hAnsi="Cambria Math" w:cs="Times"/>
                <w:i/>
              </w:rPr>
            </m:ctrlPr>
          </m:sSubSupPr>
          <m:e>
            <m:r>
              <w:rPr>
                <w:rFonts w:ascii="Cambria Math" w:hAnsi="Cambria Math" w:cs="Times"/>
              </w:rPr>
              <m:t>D</m:t>
            </m:r>
          </m:e>
          <m:sub>
            <m:r>
              <w:rPr>
                <w:rFonts w:ascii="Cambria Math" w:hAnsi="Cambria Math" w:cs="Times"/>
              </w:rPr>
              <m:t>a</m:t>
            </m:r>
          </m:sub>
          <m:sup>
            <m:r>
              <w:rPr>
                <w:rFonts w:ascii="Cambria Math" w:hAnsi="Cambria Math" w:cs="Times"/>
              </w:rPr>
              <m:t>minerl</m:t>
            </m:r>
            <m:r>
              <w:rPr>
                <w:rFonts w:ascii="Cambria Math" w:hAnsi="Cambria Math" w:cs="Times"/>
              </w:rPr>
              <m:t>-</m:t>
            </m:r>
            <m:r>
              <w:rPr>
                <w:rFonts w:ascii="Cambria Math" w:hAnsi="Cambria Math" w:cs="Times"/>
              </w:rPr>
              <m:t>melt</m:t>
            </m:r>
          </m:sup>
        </m:sSubSup>
      </m:oMath>
      <w:r w:rsidR="00D7671A" w:rsidRPr="009E74EA">
        <w:rPr>
          <w:rFonts w:ascii="Times" w:eastAsiaTheme="minorEastAsia" w:hAnsi="Times" w:cs="Times"/>
        </w:rPr>
        <w:t xml:space="preserve"> = </w:t>
      </w:r>
      <m:oMath>
        <m:f>
          <m:fPr>
            <m:ctrlPr>
              <w:rPr>
                <w:rFonts w:ascii="Cambria Math" w:eastAsiaTheme="minorEastAsia" w:hAnsi="Cambria Math" w:cs="Times"/>
                <w:i/>
              </w:rPr>
            </m:ctrlPr>
          </m:fPr>
          <m:num>
            <m:r>
              <w:rPr>
                <w:rFonts w:ascii="Cambria Math" w:eastAsiaTheme="minorEastAsia" w:hAnsi="Cambria Math" w:cs="Times"/>
              </w:rPr>
              <m:t>c</m:t>
            </m:r>
            <m:r>
              <w:rPr>
                <w:rFonts w:ascii="Cambria Math" w:eastAsiaTheme="minorEastAsia" w:hAnsi="Cambria Math" w:cs="Times"/>
              </w:rPr>
              <m:t>(</m:t>
            </m:r>
            <m:r>
              <w:rPr>
                <w:rFonts w:ascii="Cambria Math" w:eastAsiaTheme="minorEastAsia" w:hAnsi="Cambria Math" w:cs="Times"/>
              </w:rPr>
              <m:t>mineral</m:t>
            </m:r>
            <m:r>
              <w:rPr>
                <w:rFonts w:ascii="Cambria Math" w:eastAsiaTheme="minorEastAsia" w:hAnsi="Cambria Math" w:cs="Times"/>
              </w:rPr>
              <m:t>)</m:t>
            </m:r>
          </m:num>
          <m:den>
            <m:r>
              <w:rPr>
                <w:rFonts w:ascii="Cambria Math" w:eastAsiaTheme="minorEastAsia" w:hAnsi="Cambria Math" w:cs="Times"/>
              </w:rPr>
              <m:t>c</m:t>
            </m:r>
            <m:r>
              <w:rPr>
                <w:rFonts w:ascii="Cambria Math" w:eastAsiaTheme="minorEastAsia" w:hAnsi="Cambria Math" w:cs="Times"/>
              </w:rPr>
              <m:t>(</m:t>
            </m:r>
            <m:r>
              <w:rPr>
                <w:rFonts w:ascii="Cambria Math" w:eastAsiaTheme="minorEastAsia" w:hAnsi="Cambria Math" w:cs="Times"/>
              </w:rPr>
              <m:t>mel</m:t>
            </m:r>
            <m:r>
              <w:rPr>
                <w:rFonts w:ascii="Cambria Math" w:eastAsiaTheme="minorEastAsia" w:hAnsi="Cambria Math" w:cs="Times"/>
              </w:rPr>
              <m:t>t</m:t>
            </m:r>
            <m:r>
              <w:rPr>
                <w:rFonts w:ascii="Cambria Math" w:eastAsiaTheme="minorEastAsia" w:hAnsi="Cambria Math" w:cs="Times"/>
              </w:rPr>
              <m:t>)</m:t>
            </m:r>
          </m:den>
        </m:f>
        <m:r>
          <w:rPr>
            <w:rFonts w:ascii="Cambria Math" w:eastAsiaTheme="minorEastAsia" w:hAnsi="Cambria Math" w:cs="Times"/>
          </w:rPr>
          <m:t xml:space="preserve"> </m:t>
        </m:r>
      </m:oMath>
    </w:p>
    <w:p w:rsidR="00D7671A" w:rsidRDefault="00D7671A" w:rsidP="009E74EA">
      <w:pPr>
        <w:spacing w:line="360" w:lineRule="auto"/>
        <w:rPr>
          <w:rFonts w:ascii="Times" w:hAnsi="Times" w:cs="Times"/>
        </w:rPr>
      </w:pPr>
    </w:p>
    <w:p w:rsidR="00D7671A" w:rsidRDefault="00D7671A" w:rsidP="009E74EA">
      <w:pPr>
        <w:spacing w:line="360" w:lineRule="auto"/>
        <w:rPr>
          <w:rFonts w:ascii="Times" w:hAnsi="Times" w:cs="Times"/>
        </w:rPr>
      </w:pPr>
      <w:r>
        <w:rPr>
          <w:rFonts w:ascii="Times" w:hAnsi="Times" w:cs="Times"/>
        </w:rPr>
        <w:t xml:space="preserve">Concentrations were determined by averaging the concentration of n analyzes. </w:t>
      </w:r>
    </w:p>
    <w:p w:rsidR="00D7671A" w:rsidRDefault="00D7671A" w:rsidP="009E74EA">
      <w:pPr>
        <w:spacing w:line="360" w:lineRule="auto"/>
        <w:rPr>
          <w:rFonts w:ascii="Times" w:hAnsi="Times" w:cs="Times"/>
        </w:rPr>
      </w:pPr>
      <w:r>
        <w:rPr>
          <w:rFonts w:ascii="Times" w:hAnsi="Times" w:cs="Times"/>
        </w:rPr>
        <w:t>For the error propagation, the average concentration of n analyzes, the standard deviation on the average concentration and the relative standard deviation (RSD) of n analyzes was determined. The RSD was calculated dividing the standard deviation</w:t>
      </w:r>
      <w:r w:rsidR="005349C5">
        <w:rPr>
          <w:rFonts w:ascii="Times" w:hAnsi="Times" w:cs="Times"/>
        </w:rPr>
        <w:t xml:space="preserve"> of n analyzes</w:t>
      </w:r>
      <w:r>
        <w:rPr>
          <w:rFonts w:ascii="Times" w:hAnsi="Times" w:cs="Times"/>
        </w:rPr>
        <w:t xml:space="preserve"> by the average </w:t>
      </w:r>
      <w:r w:rsidR="005349C5">
        <w:rPr>
          <w:rFonts w:ascii="Times" w:hAnsi="Times" w:cs="Times"/>
        </w:rPr>
        <w:t>of n</w:t>
      </w:r>
      <w:r>
        <w:rPr>
          <w:rFonts w:ascii="Times" w:hAnsi="Times" w:cs="Times"/>
        </w:rPr>
        <w:t xml:space="preserve"> measurement</w:t>
      </w:r>
      <w:r w:rsidR="005349C5">
        <w:rPr>
          <w:rFonts w:ascii="Times" w:hAnsi="Times" w:cs="Times"/>
        </w:rPr>
        <w:t>s</w:t>
      </w:r>
      <w:r>
        <w:rPr>
          <w:rFonts w:ascii="Times" w:hAnsi="Times" w:cs="Times"/>
        </w:rPr>
        <w:t xml:space="preserve"> of one phase. The propagated relative standard error (</w:t>
      </w:r>
      <w:proofErr w:type="spellStart"/>
      <w:r>
        <w:rPr>
          <w:rFonts w:ascii="Times" w:hAnsi="Times" w:cs="Times"/>
        </w:rPr>
        <w:t>pRSE</w:t>
      </w:r>
      <w:proofErr w:type="spellEnd"/>
      <w:r>
        <w:rPr>
          <w:rFonts w:ascii="Times" w:hAnsi="Times" w:cs="Times"/>
        </w:rPr>
        <w:t>) on the partition coefficients (D) was calculated using the formula:</w:t>
      </w:r>
    </w:p>
    <w:p w:rsidR="00D7671A" w:rsidRPr="0015305C" w:rsidRDefault="00D7671A" w:rsidP="009E74EA">
      <w:pPr>
        <w:pStyle w:val="Listenabsatz"/>
        <w:numPr>
          <w:ilvl w:val="0"/>
          <w:numId w:val="1"/>
        </w:numPr>
        <w:spacing w:line="360" w:lineRule="auto"/>
        <w:rPr>
          <w:rFonts w:ascii="Times" w:hAnsi="Times" w:cs="Times"/>
        </w:rPr>
      </w:pPr>
      <m:oMath>
        <m:r>
          <w:rPr>
            <w:rFonts w:ascii="Cambria Math" w:hAnsi="Cambria Math" w:cs="Times"/>
          </w:rPr>
          <m:t>pRSE%=</m:t>
        </m:r>
        <m:rad>
          <m:radPr>
            <m:degHide m:val="1"/>
            <m:ctrlPr>
              <w:rPr>
                <w:rFonts w:ascii="Cambria Math" w:hAnsi="Cambria Math" w:cs="Times"/>
                <w:i/>
              </w:rPr>
            </m:ctrlPr>
          </m:radPr>
          <m:deg/>
          <m:e>
            <m:r>
              <w:rPr>
                <w:rFonts w:ascii="Cambria Math" w:hAnsi="Cambria Math" w:cs="Times"/>
              </w:rPr>
              <m:t>(RS</m:t>
            </m:r>
            <m:sSubSup>
              <m:sSubSupPr>
                <m:ctrlPr>
                  <w:rPr>
                    <w:rFonts w:ascii="Cambria Math" w:hAnsi="Cambria Math" w:cs="Times"/>
                    <w:i/>
                  </w:rPr>
                </m:ctrlPr>
              </m:sSubSupPr>
              <m:e>
                <m:r>
                  <w:rPr>
                    <w:rFonts w:ascii="Cambria Math" w:hAnsi="Cambria Math" w:cs="Times"/>
                  </w:rPr>
                  <m:t>D</m:t>
                </m:r>
              </m:e>
              <m:sub>
                <m:r>
                  <w:rPr>
                    <w:rFonts w:ascii="Cambria Math" w:hAnsi="Cambria Math" w:cs="Times"/>
                  </w:rPr>
                  <m:t>mineral</m:t>
                </m:r>
              </m:sub>
              <m:sup>
                <m:r>
                  <w:rPr>
                    <w:rFonts w:ascii="Cambria Math" w:hAnsi="Cambria Math" w:cs="Times"/>
                  </w:rPr>
                  <m:t>2</m:t>
                </m:r>
              </m:sup>
            </m:sSubSup>
            <m:r>
              <w:rPr>
                <w:rFonts w:ascii="Cambria Math" w:hAnsi="Cambria Math" w:cs="Times"/>
              </w:rPr>
              <m:t>+RS</m:t>
            </m:r>
            <m:sSubSup>
              <m:sSubSupPr>
                <m:ctrlPr>
                  <w:rPr>
                    <w:rFonts w:ascii="Cambria Math" w:hAnsi="Cambria Math" w:cs="Times"/>
                    <w:i/>
                  </w:rPr>
                </m:ctrlPr>
              </m:sSubSupPr>
              <m:e>
                <m:r>
                  <w:rPr>
                    <w:rFonts w:ascii="Cambria Math" w:hAnsi="Cambria Math" w:cs="Times"/>
                  </w:rPr>
                  <m:t>D</m:t>
                </m:r>
              </m:e>
              <m:sub>
                <m:r>
                  <w:rPr>
                    <w:rFonts w:ascii="Cambria Math" w:hAnsi="Cambria Math" w:cs="Times"/>
                  </w:rPr>
                  <m:t>melt</m:t>
                </m:r>
              </m:sub>
              <m:sup>
                <m:r>
                  <w:rPr>
                    <w:rFonts w:ascii="Cambria Math" w:hAnsi="Cambria Math" w:cs="Times"/>
                  </w:rPr>
                  <m:t>2</m:t>
                </m:r>
              </m:sup>
            </m:sSubSup>
          </m:e>
        </m:rad>
        <m:r>
          <w:rPr>
            <w:rFonts w:ascii="Cambria Math" w:hAnsi="Cambria Math" w:cs="Times"/>
          </w:rPr>
          <m:t>)*100</m:t>
        </m:r>
      </m:oMath>
    </w:p>
    <w:p w:rsidR="0015305C" w:rsidRPr="0015305C" w:rsidRDefault="0015305C" w:rsidP="0015305C">
      <w:pPr>
        <w:spacing w:line="360" w:lineRule="auto"/>
        <w:rPr>
          <w:rFonts w:ascii="Times" w:hAnsi="Times" w:cs="Times"/>
        </w:rPr>
      </w:pPr>
      <w:r>
        <w:rPr>
          <w:rFonts w:ascii="Times" w:hAnsi="Times" w:cs="Times"/>
        </w:rPr>
        <w:t xml:space="preserve">For </w:t>
      </w:r>
      <w:r w:rsidR="00707C46">
        <w:rPr>
          <w:rFonts w:ascii="Times" w:hAnsi="Times" w:cs="Times"/>
        </w:rPr>
        <w:t>one experiment at 1200 °C and at at</w:t>
      </w:r>
      <w:r>
        <w:rPr>
          <w:rFonts w:ascii="Times" w:hAnsi="Times" w:cs="Times"/>
        </w:rPr>
        <w:t xml:space="preserve">mospheric pressures and an </w:t>
      </w:r>
      <w:r w:rsidRPr="005349C5">
        <w:rPr>
          <w:rFonts w:ascii="Times" w:hAnsi="Times" w:cs="Times"/>
          <w:i/>
        </w:rPr>
        <w:t>f</w:t>
      </w:r>
      <w:r>
        <w:rPr>
          <w:rFonts w:ascii="Times" w:hAnsi="Times" w:cs="Times"/>
        </w:rPr>
        <w:t>O</w:t>
      </w:r>
      <w:r w:rsidRPr="005349C5">
        <w:rPr>
          <w:rFonts w:ascii="Times" w:hAnsi="Times" w:cs="Times"/>
          <w:vertAlign w:val="subscript"/>
        </w:rPr>
        <w:t>2</w:t>
      </w:r>
      <w:r>
        <w:rPr>
          <w:rFonts w:ascii="Times" w:hAnsi="Times" w:cs="Times"/>
        </w:rPr>
        <w:t xml:space="preserve"> of IW–1, we report a </w:t>
      </w:r>
      <w:r w:rsidR="00707C46">
        <w:rPr>
          <w:rFonts w:ascii="Times" w:hAnsi="Times" w:cs="Times"/>
        </w:rPr>
        <w:t xml:space="preserve">combined </w:t>
      </w:r>
      <w:r>
        <w:rPr>
          <w:rFonts w:ascii="Times" w:hAnsi="Times" w:cs="Times"/>
        </w:rPr>
        <w:t>partition coefficient, which involves four individual partition coefficients of four run products (CHV-E154, 155, 156 and 157) which were all prepared in exactly the same way, run in the same experiment (run Nr. 42, Table 2) and analyzed in the same way. The</w:t>
      </w:r>
      <w:r w:rsidR="00707C46">
        <w:rPr>
          <w:rFonts w:ascii="Times" w:hAnsi="Times" w:cs="Times"/>
        </w:rPr>
        <w:t xml:space="preserve"> </w:t>
      </w:r>
      <w:proofErr w:type="spellStart"/>
      <w:r w:rsidR="00707C46">
        <w:rPr>
          <w:rFonts w:ascii="Times" w:hAnsi="Times" w:cs="Times"/>
        </w:rPr>
        <w:t>indivudual</w:t>
      </w:r>
      <w:proofErr w:type="spellEnd"/>
      <w:r>
        <w:rPr>
          <w:rFonts w:ascii="Times" w:hAnsi="Times" w:cs="Times"/>
        </w:rPr>
        <w:t xml:space="preserve"> partition coefficients and propagated errors are in good agreement, this is why we decided to </w:t>
      </w:r>
      <w:r w:rsidR="00707C46">
        <w:rPr>
          <w:rFonts w:ascii="Times" w:hAnsi="Times" w:cs="Times"/>
        </w:rPr>
        <w:t>calculate a combined</w:t>
      </w:r>
      <w:r>
        <w:rPr>
          <w:rFonts w:ascii="Times" w:hAnsi="Times" w:cs="Times"/>
        </w:rPr>
        <w:t xml:space="preserve"> partition coefficient </w:t>
      </w:r>
      <w:r w:rsidR="00707C46">
        <w:rPr>
          <w:rFonts w:ascii="Times" w:hAnsi="Times" w:cs="Times"/>
        </w:rPr>
        <w:t xml:space="preserve">using the </w:t>
      </w:r>
      <w:proofErr w:type="spellStart"/>
      <w:r w:rsidR="00707C46">
        <w:rPr>
          <w:rFonts w:ascii="Times" w:hAnsi="Times" w:cs="Times"/>
        </w:rPr>
        <w:t>analysed</w:t>
      </w:r>
      <w:proofErr w:type="spellEnd"/>
      <w:r>
        <w:rPr>
          <w:rFonts w:ascii="Times" w:hAnsi="Times" w:cs="Times"/>
        </w:rPr>
        <w:t xml:space="preserve"> four individual run products. The individual partition coefficients and uncertainties are listed in </w:t>
      </w:r>
      <w:r w:rsidR="005349C5">
        <w:rPr>
          <w:rFonts w:ascii="Times" w:hAnsi="Times" w:cs="Times"/>
        </w:rPr>
        <w:t xml:space="preserve">Supplementary </w:t>
      </w:r>
      <w:r>
        <w:rPr>
          <w:rFonts w:ascii="Times" w:hAnsi="Times" w:cs="Times"/>
        </w:rPr>
        <w:t xml:space="preserve">Table S1, S2, and S3. </w:t>
      </w:r>
    </w:p>
    <w:p w:rsidR="00D7671A" w:rsidRDefault="00D7671A" w:rsidP="00251F4B">
      <w:pPr>
        <w:spacing w:line="480" w:lineRule="auto"/>
        <w:rPr>
          <w:rFonts w:ascii="Times New Roman" w:hAnsi="Times New Roman" w:cs="Times New Roman"/>
          <w:i/>
          <w:iCs/>
        </w:rPr>
      </w:pPr>
    </w:p>
    <w:p w:rsidR="00251F4B" w:rsidRPr="00251F4B" w:rsidRDefault="00251F4B" w:rsidP="00251F4B">
      <w:pPr>
        <w:spacing w:line="480" w:lineRule="auto"/>
        <w:rPr>
          <w:iCs/>
        </w:rPr>
      </w:pPr>
      <w:r>
        <w:rPr>
          <w:rFonts w:ascii="Times New Roman" w:hAnsi="Times New Roman" w:cs="Times New Roman"/>
          <w:i/>
          <w:iCs/>
        </w:rPr>
        <w:t>Equilibrium and fractional crystallization modeling</w:t>
      </w:r>
    </w:p>
    <w:p w:rsidR="00EE0CF4" w:rsidRPr="0056294B" w:rsidRDefault="00707C46" w:rsidP="00251F4B">
      <w:pPr>
        <w:spacing w:line="480" w:lineRule="auto"/>
        <w:rPr>
          <w:rFonts w:ascii="Times New Roman" w:hAnsi="Times New Roman" w:cs="Times New Roman"/>
        </w:rPr>
      </w:pPr>
      <w:r>
        <w:rPr>
          <w:rFonts w:ascii="Times New Roman" w:hAnsi="Times New Roman" w:cs="Times New Roman"/>
        </w:rPr>
        <w:t>When we modeled the trace element evolution of the lunar magma ocean, we assume</w:t>
      </w:r>
      <w:r w:rsidR="00251F4B">
        <w:rPr>
          <w:rFonts w:ascii="Times New Roman" w:hAnsi="Times New Roman" w:cs="Times New Roman"/>
        </w:rPr>
        <w:t xml:space="preserve"> two stage</w:t>
      </w:r>
      <w:r>
        <w:rPr>
          <w:rFonts w:ascii="Times New Roman" w:hAnsi="Times New Roman" w:cs="Times New Roman"/>
        </w:rPr>
        <w:t>s of</w:t>
      </w:r>
      <w:r w:rsidR="00251F4B">
        <w:rPr>
          <w:rFonts w:ascii="Times New Roman" w:hAnsi="Times New Roman" w:cs="Times New Roman"/>
        </w:rPr>
        <w:t xml:space="preserve"> crystallization, </w:t>
      </w:r>
      <w:r>
        <w:rPr>
          <w:rFonts w:ascii="Times New Roman" w:hAnsi="Times New Roman" w:cs="Times New Roman"/>
        </w:rPr>
        <w:t xml:space="preserve">first </w:t>
      </w:r>
      <w:r w:rsidR="00251F4B">
        <w:rPr>
          <w:rFonts w:ascii="Times New Roman" w:hAnsi="Times New Roman" w:cs="Times New Roman"/>
        </w:rPr>
        <w:t>equilibrium crystallization until about 50 P</w:t>
      </w:r>
      <w:r>
        <w:rPr>
          <w:rFonts w:ascii="Times New Roman" w:hAnsi="Times New Roman" w:cs="Times New Roman"/>
        </w:rPr>
        <w:t>CS</w:t>
      </w:r>
      <w:r w:rsidR="00251F4B">
        <w:rPr>
          <w:rFonts w:ascii="Times New Roman" w:hAnsi="Times New Roman" w:cs="Times New Roman"/>
        </w:rPr>
        <w:t xml:space="preserve"> and </w:t>
      </w:r>
      <w:r>
        <w:rPr>
          <w:rFonts w:ascii="Times New Roman" w:hAnsi="Times New Roman" w:cs="Times New Roman"/>
        </w:rPr>
        <w:t xml:space="preserve">then </w:t>
      </w:r>
      <w:r w:rsidR="00251F4B">
        <w:rPr>
          <w:rFonts w:ascii="Times New Roman" w:hAnsi="Times New Roman" w:cs="Times New Roman"/>
        </w:rPr>
        <w:t xml:space="preserve">fractional crystallization for </w:t>
      </w:r>
      <w:r>
        <w:rPr>
          <w:rFonts w:ascii="Times New Roman" w:hAnsi="Times New Roman" w:cs="Times New Roman"/>
        </w:rPr>
        <w:t>PCS &gt;50</w:t>
      </w:r>
      <w:r w:rsidR="00251F4B">
        <w:rPr>
          <w:rFonts w:ascii="Times New Roman" w:hAnsi="Times New Roman" w:cs="Times New Roman"/>
        </w:rPr>
        <w:t xml:space="preserve"> of crystallization </w:t>
      </w:r>
      <w:r w:rsidR="00251F4B">
        <w:fldChar w:fldCharType="begin"/>
      </w:r>
      <w:r w:rsidR="00DE5251">
        <w:rPr>
          <w:rFonts w:ascii="Times New Roman" w:hAnsi="Times New Roman" w:cs="Times New Roman"/>
        </w:rPr>
        <w:instrText xml:space="preserve"> ADDIN ZOTERO_ITEM CSL_CITATION {"citationID":"2L8jxDKe","properties":{"formattedCitation":"(Elardo et al. 2011; Johnson et al. 2021)","plainCitation":"(Elardo et al. 2011; Johnson et al. 2021)","noteIndex":0},"citationItems":[{"id":1887,"uris":["http://zotero.org/users/7979564/items/2ZTHLY8H"],"itemData":{"id":1887,"type":"article-journal","abstract":"Crystallization of the Lunar Magma Ocean (LMO) has been numerically modeled and its products inferred from sample observations, but it has never been fully tested experimentally. This study is a reexamination of the LMO hypothesis by means of the ﬁrst experimental simulation of lunar diﬀerentiation. Two end-member bulk Moon compositions are considered: one enriched in refractory lithophile elements relative to Earth and one with no such enrichment. A “two-stage” model of magma ocean crystallization based on geophysical constraints is simulated and features early crystal suspension and equilibrium crystallization followed by fractional crystallization of the residual magma ocean. An initially entirely molten Moon is assumed. Part 1 of this study, presented here, focuses on stage 1 of this model and considers the early cumulates formed by equilibrium crystallization, diﬀerences in mantle mineralogy resulting from diﬀerent bulk Moon compositions, and implications for the source regions of the highlands Mg-suite.","container-title":"Geochimica et Cosmochimica Acta","DOI":"10.1016/j.gca.2011.02.033","ISSN":"00167037","issue":"11","journalAbbreviation":"Geochim Cosmochim Ac","language":"en","page":"3024–3045","title":"Lunar Magma Ocean crystallization revisited: Bulk composition, early cumulate mineralogy, and the source regions of the highlands Mg-suite","title-short":"Lunar Magma Ocean crystallization revisited","volume":"75","author":[{"family":"Elardo","given":"Stephen M."},{"family":"Draper","given":"David S."},{"family":"Shearer","given":"Charles K."}],"issued":{"date-parts":[["2011",6]]}}},{"id":3407,"uris":["http://zotero.org/users/7979564/items/9MWZAD98"],"itemData":{"id":3407,"type":"article-journal","abstract":"Despite some 50 years of intense research on samples returned from the Apollo missions and lunar meteorites, along with remote-sensing and Earth-based observations, many questions regarding the formation and evolution of the Moon persist. These include the detailed compositional and density structure of the lunar mantle and the source and petrogenesis of the diverse suite of extrusive and intrusive igneous rocks. There is broad agreement that the primary internal structure of the Moon reflects crystallisation of a lunar magma ocean (LMO), and that an inverted density gradient within the mantle cumulates led to some reorganisation of layers by partial convective overturn. Experimental studies have provided invaluable constraints on crystallisation of the LMO, but are limited by the relatively small number of experiments that can practically be undertaken. Here we use recently-developed thermodynamic models for minerals and melt in the K2O-Na2O-CaO-FeO-MgO-Al2O3-SiO2-TiO2-Cr2O3 system to model crystallisation of a full-moon LMO based on two existing end-member bulk compositions-Taylor Whole-Moon (TWM), and Lunar Primitive Upper Mantle, LPUM-on which many experimental studies have been based. We follow several recent studies in considering equilibrium crystallisation of the first 50 vol.% and fractional crystallisation thereafter. Our results match well with experimental studies, and provide detailed constraints on the major oxide composition, mineralogy and density structure based on the two starting compositions that, while exhibiting some similarities, show important differences. The more fertile TWM composition contains significant quantities of garnet in the deep mantle, whereas the LPUM composition has none. By contrast, prior to any gravitational overturn, the uppermost mantle cumulates for TWM are strongly silica-undersaturated and contain abundant aluminous spinel, whereas those for LPUM are silica-saturated. For both starting compositions, with the exception of TiO(2)and Na2O, our modelled compositions of the final dregs of fractionated melt show a reasonable match with existing estimates on the composition of urKREEP. Modelled partial melts of the upper-mantle cumulates at low to moderate melt fractions have major oxide compositions that match well with low- and intermediate-Ti lunar basalts. The correspondence is particularly good for picritic (green) glasses that likely represent melts derived from deeper levels within the upper mantle. The wide spread in TiO2 concentrations in lunar basalts and basaltic glasses is consistent with density-driven reorganisation involving ilmenite. Our simulations provide thermodynamically-robust estimates of the compositional, mineralogical and density structure of the lunar interior that are unprecedented in their detail, and which provide the foundation for several lines of future research addressing the origin and secular evolution of the Moon. (C) 2020 Elsevier B.V. All rights reserved.","container-title":"Earth and Planetary Science Letters","DOI":"10.1016/j.epsl.2020.116721","ISSN":"0012-821X","journalAbbreviation":"Earth Planet Sci Lett","language":"English","note":"publisher-place: Amsterdam\npublisher: Elsevier\nWOS:000605759500005","page":"116721","source":"Web of Science","title":"The phases of the Moon: Modelling crystallisation of the lunar magma ocean through equilibrium thermodynamics","title-short":"The phases of the Moon","volume":"556","author":[{"family":"Johnson","given":"T. E."},{"family":"Morrissey","given":"L. J."},{"family":"Nemchin","given":"A. A."},{"family":"Gardiner","given":"N. J."},{"family":"Snape","given":"J. F."}],"issued":{"date-parts":[["2021",2,15]]}}}],"schema":"https://github.com/citation-style-language/schema/raw/master/csl-citation.json"} </w:instrText>
      </w:r>
      <w:r w:rsidR="00251F4B">
        <w:rPr>
          <w:rFonts w:ascii="Times New Roman" w:hAnsi="Times New Roman" w:cs="Times New Roman"/>
        </w:rPr>
        <w:fldChar w:fldCharType="separate"/>
      </w:r>
      <w:r w:rsidR="001A42D9" w:rsidRPr="001A42D9">
        <w:rPr>
          <w:rFonts w:ascii="Times New Roman" w:hAnsi="Times New Roman" w:cs="Times New Roman"/>
        </w:rPr>
        <w:t>(Elardo et al. 2011; Johnson et al. 2021)</w:t>
      </w:r>
      <w:r w:rsidR="00251F4B">
        <w:rPr>
          <w:rFonts w:ascii="Times New Roman" w:hAnsi="Times New Roman" w:cs="Times New Roman"/>
        </w:rPr>
        <w:fldChar w:fldCharType="end"/>
      </w:r>
      <w:r w:rsidR="00251F4B">
        <w:rPr>
          <w:rFonts w:ascii="Times New Roman" w:hAnsi="Times New Roman" w:cs="Times New Roman"/>
        </w:rPr>
        <w:t xml:space="preserve">. Since the </w:t>
      </w:r>
      <w:r>
        <w:rPr>
          <w:rFonts w:ascii="Times New Roman" w:hAnsi="Times New Roman" w:cs="Times New Roman"/>
        </w:rPr>
        <w:t>~</w:t>
      </w:r>
      <w:r w:rsidR="00251F4B">
        <w:rPr>
          <w:rFonts w:ascii="Times New Roman" w:hAnsi="Times New Roman" w:cs="Times New Roman"/>
        </w:rPr>
        <w:t xml:space="preserve">50% of </w:t>
      </w:r>
      <w:r>
        <w:rPr>
          <w:rFonts w:ascii="Times New Roman" w:hAnsi="Times New Roman" w:cs="Times New Roman"/>
        </w:rPr>
        <w:t xml:space="preserve">the </w:t>
      </w:r>
      <w:r w:rsidR="00251F4B">
        <w:rPr>
          <w:rFonts w:ascii="Times New Roman" w:hAnsi="Times New Roman" w:cs="Times New Roman"/>
        </w:rPr>
        <w:t xml:space="preserve">cumulate only consist of </w:t>
      </w:r>
      <w:proofErr w:type="spellStart"/>
      <w:r w:rsidR="00251F4B">
        <w:rPr>
          <w:rFonts w:ascii="Times New Roman" w:hAnsi="Times New Roman" w:cs="Times New Roman"/>
        </w:rPr>
        <w:t>ol</w:t>
      </w:r>
      <w:proofErr w:type="spellEnd"/>
      <w:r w:rsidR="00251F4B">
        <w:rPr>
          <w:rFonts w:ascii="Times New Roman" w:hAnsi="Times New Roman" w:cs="Times New Roman"/>
        </w:rPr>
        <w:t xml:space="preserve"> and </w:t>
      </w:r>
      <w:proofErr w:type="spellStart"/>
      <w:r w:rsidR="00251F4B">
        <w:rPr>
          <w:rFonts w:ascii="Times New Roman" w:hAnsi="Times New Roman" w:cs="Times New Roman"/>
        </w:rPr>
        <w:t>opx</w:t>
      </w:r>
      <w:proofErr w:type="spellEnd"/>
      <w:r w:rsidR="00251F4B">
        <w:rPr>
          <w:rFonts w:ascii="Times New Roman" w:hAnsi="Times New Roman" w:cs="Times New Roman"/>
        </w:rPr>
        <w:t xml:space="preserve"> </w:t>
      </w:r>
      <w:r>
        <w:rPr>
          <w:rFonts w:ascii="Times New Roman" w:hAnsi="Times New Roman" w:cs="Times New Roman"/>
        </w:rPr>
        <w:t xml:space="preserve">(cf. Supplementary Table S7), in </w:t>
      </w:r>
      <w:r w:rsidR="00251F4B">
        <w:rPr>
          <w:rFonts w:ascii="Times New Roman" w:hAnsi="Times New Roman" w:cs="Times New Roman"/>
        </w:rPr>
        <w:t xml:space="preserve">which </w:t>
      </w:r>
      <w:r>
        <w:rPr>
          <w:rFonts w:ascii="Times New Roman" w:hAnsi="Times New Roman" w:cs="Times New Roman"/>
        </w:rPr>
        <w:t xml:space="preserve">most trace elements </w:t>
      </w:r>
      <w:r w:rsidR="00251F4B">
        <w:rPr>
          <w:rFonts w:ascii="Times New Roman" w:hAnsi="Times New Roman" w:cs="Times New Roman"/>
        </w:rPr>
        <w:t xml:space="preserve">are very </w:t>
      </w:r>
      <w:r>
        <w:rPr>
          <w:rFonts w:ascii="Times New Roman" w:hAnsi="Times New Roman" w:cs="Times New Roman"/>
        </w:rPr>
        <w:t>in</w:t>
      </w:r>
      <w:r w:rsidR="00251F4B">
        <w:rPr>
          <w:rFonts w:ascii="Times New Roman" w:hAnsi="Times New Roman" w:cs="Times New Roman"/>
        </w:rPr>
        <w:t xml:space="preserve">compatible, we investigated </w:t>
      </w:r>
      <w:r>
        <w:rPr>
          <w:rFonts w:ascii="Times New Roman" w:hAnsi="Times New Roman" w:cs="Times New Roman"/>
        </w:rPr>
        <w:t xml:space="preserve">different modes of crystallization only for the ~second half of crystallization. To </w:t>
      </w:r>
      <w:proofErr w:type="spellStart"/>
      <w:r>
        <w:rPr>
          <w:rFonts w:ascii="Times New Roman" w:hAnsi="Times New Roman" w:cs="Times New Roman"/>
        </w:rPr>
        <w:t>cylculate</w:t>
      </w:r>
      <w:proofErr w:type="spellEnd"/>
      <w:r w:rsidR="00251F4B">
        <w:rPr>
          <w:rFonts w:ascii="Times New Roman" w:hAnsi="Times New Roman" w:cs="Times New Roman"/>
        </w:rPr>
        <w:t xml:space="preserve"> the first </w:t>
      </w:r>
      <w:r w:rsidR="00F8528F">
        <w:rPr>
          <w:rFonts w:ascii="Times New Roman" w:hAnsi="Times New Roman" w:cs="Times New Roman"/>
        </w:rPr>
        <w:t>~</w:t>
      </w:r>
      <w:r w:rsidR="00251F4B">
        <w:rPr>
          <w:rFonts w:ascii="Times New Roman" w:hAnsi="Times New Roman" w:cs="Times New Roman"/>
        </w:rPr>
        <w:t>50% of equilibrium crystallization, the formula CL/C0 = F([1–</w:t>
      </w:r>
      <w:r w:rsidR="00251F4B">
        <w:rPr>
          <w:rFonts w:ascii="Times New Roman" w:hAnsi="Times New Roman" w:cs="Times New Roman"/>
        </w:rPr>
        <w:lastRenderedPageBreak/>
        <w:t>K</w:t>
      </w:r>
      <w:r w:rsidR="00251F4B">
        <w:rPr>
          <w:rFonts w:ascii="Times New Roman" w:hAnsi="Times New Roman" w:cs="Times New Roman"/>
          <w:vertAlign w:val="subscript"/>
        </w:rPr>
        <w:t>D</w:t>
      </w:r>
      <w:r w:rsidR="00251F4B">
        <w:rPr>
          <w:rFonts w:ascii="Times New Roman" w:hAnsi="Times New Roman" w:cs="Times New Roman"/>
        </w:rPr>
        <w:t>]+ K</w:t>
      </w:r>
      <w:r w:rsidR="00251F4B">
        <w:rPr>
          <w:rFonts w:ascii="Times New Roman" w:hAnsi="Times New Roman" w:cs="Times New Roman"/>
          <w:vertAlign w:val="subscript"/>
        </w:rPr>
        <w:t>D</w:t>
      </w:r>
      <w:r w:rsidR="00251F4B">
        <w:rPr>
          <w:rFonts w:ascii="Times New Roman" w:hAnsi="Times New Roman" w:cs="Times New Roman"/>
        </w:rPr>
        <w:t>)</w:t>
      </w:r>
      <w:r w:rsidR="00251F4B">
        <w:rPr>
          <w:rFonts w:ascii="Times New Roman" w:hAnsi="Times New Roman" w:cs="Times New Roman"/>
          <w:vertAlign w:val="superscript"/>
        </w:rPr>
        <w:t>–1</w:t>
      </w:r>
      <w:r w:rsidR="00251F4B">
        <w:rPr>
          <w:rFonts w:ascii="Times New Roman" w:hAnsi="Times New Roman" w:cs="Times New Roman"/>
        </w:rPr>
        <w:t xml:space="preserve"> was used</w:t>
      </w:r>
      <w:r w:rsidR="000717C2">
        <w:rPr>
          <w:rFonts w:ascii="Times New Roman" w:hAnsi="Times New Roman" w:cs="Times New Roman"/>
        </w:rPr>
        <w:t xml:space="preserve"> </w:t>
      </w:r>
      <w:r w:rsidR="000717C2">
        <w:rPr>
          <w:rFonts w:ascii="Times New Roman" w:hAnsi="Times New Roman" w:cs="Times New Roman"/>
        </w:rPr>
        <w:fldChar w:fldCharType="begin"/>
      </w:r>
      <w:r w:rsidR="00FF11D2">
        <w:rPr>
          <w:rFonts w:ascii="Times New Roman" w:hAnsi="Times New Roman" w:cs="Times New Roman"/>
        </w:rPr>
        <w:instrText xml:space="preserve"> ADDIN ZOTERO_ITEM CSL_CITATION {"citationID":"bxPXRAJL","properties":{"formattedCitation":"(Shaw 1970)","plainCitation":"(Shaw 1970)","noteIndex":0},"citationItems":[{"id":"pkHyiVuM/0U5PXt2T","uris":["http://zotero.org/users/7979564/items/LB4YRXXG"],"itemData":{"id":5406,"type":"article-journal","abstract":"The theoretical basis of trace element fractionation presented in a paper by P. W. Gast (1968) can be developed in a more flexible algebraic form, which is here described and illustrated.","container-title":"Geochimica et Cosmochimica Acta","DOI":"10.1016/0016-7037(70)90009-8","ISSN":"0016-7037","issue":"2","journalAbbreviation":"Geochimica et Cosmochimica Acta","language":"en","page":"237-243","source":"ScienceDirect","title":"Trace element fractionation during anatexis","volume":"34","author":[{"family":"Shaw","given":"Denis M."}],"issued":{"date-parts":[["1970",2,1]]}}}],"schema":"https://github.com/citation-style-language/schema/raw/master/csl-citation.json"} </w:instrText>
      </w:r>
      <w:r w:rsidR="000717C2">
        <w:rPr>
          <w:rFonts w:ascii="Times New Roman" w:hAnsi="Times New Roman" w:cs="Times New Roman"/>
        </w:rPr>
        <w:fldChar w:fldCharType="separate"/>
      </w:r>
      <w:r w:rsidR="001A42D9" w:rsidRPr="001A42D9">
        <w:rPr>
          <w:rFonts w:ascii="Times New Roman" w:hAnsi="Times New Roman" w:cs="Times New Roman"/>
        </w:rPr>
        <w:t>(Shaw 1970)</w:t>
      </w:r>
      <w:r w:rsidR="000717C2">
        <w:rPr>
          <w:rFonts w:ascii="Times New Roman" w:hAnsi="Times New Roman" w:cs="Times New Roman"/>
        </w:rPr>
        <w:fldChar w:fldCharType="end"/>
      </w:r>
      <w:r w:rsidR="00251F4B">
        <w:rPr>
          <w:rFonts w:ascii="Times New Roman" w:hAnsi="Times New Roman" w:cs="Times New Roman"/>
        </w:rPr>
        <w:t>, where CL = the concentration of the trace element of interest in the liquid, C0 = the concentration of the same element in the starting melt, K</w:t>
      </w:r>
      <w:r w:rsidR="00251F4B">
        <w:rPr>
          <w:rFonts w:ascii="Times New Roman" w:hAnsi="Times New Roman" w:cs="Times New Roman"/>
          <w:vertAlign w:val="subscript"/>
        </w:rPr>
        <w:t>D</w:t>
      </w:r>
      <w:r w:rsidR="00251F4B">
        <w:rPr>
          <w:rFonts w:ascii="Times New Roman" w:hAnsi="Times New Roman" w:cs="Times New Roman"/>
        </w:rPr>
        <w:t xml:space="preserve"> = the bulk partition coefficient of the crystallizing phases and F = the melt fraction. Fractional crystallization calculation </w:t>
      </w:r>
      <w:r>
        <w:rPr>
          <w:rFonts w:ascii="Times New Roman" w:hAnsi="Times New Roman" w:cs="Times New Roman"/>
        </w:rPr>
        <w:t>&gt;</w:t>
      </w:r>
      <w:r w:rsidR="00251F4B">
        <w:rPr>
          <w:rFonts w:ascii="Times New Roman" w:hAnsi="Times New Roman" w:cs="Times New Roman"/>
        </w:rPr>
        <w:t xml:space="preserve"> </w:t>
      </w:r>
      <w:r w:rsidR="00F8528F">
        <w:rPr>
          <w:rFonts w:ascii="Times New Roman" w:hAnsi="Times New Roman" w:cs="Times New Roman"/>
        </w:rPr>
        <w:t>5</w:t>
      </w:r>
      <w:r w:rsidR="00251F4B">
        <w:rPr>
          <w:rFonts w:ascii="Times New Roman" w:hAnsi="Times New Roman" w:cs="Times New Roman"/>
        </w:rPr>
        <w:t xml:space="preserve">0 PCS </w:t>
      </w:r>
      <w:r>
        <w:rPr>
          <w:rFonts w:ascii="Times New Roman" w:hAnsi="Times New Roman" w:cs="Times New Roman"/>
        </w:rPr>
        <w:t>employed</w:t>
      </w:r>
      <w:r w:rsidR="00251F4B">
        <w:rPr>
          <w:rFonts w:ascii="Times New Roman" w:hAnsi="Times New Roman" w:cs="Times New Roman"/>
        </w:rPr>
        <w:t xml:space="preserve"> the </w:t>
      </w:r>
      <w:r>
        <w:rPr>
          <w:rFonts w:ascii="Times New Roman" w:hAnsi="Times New Roman" w:cs="Times New Roman"/>
        </w:rPr>
        <w:t>following</w:t>
      </w:r>
      <w:r w:rsidR="00251F4B">
        <w:rPr>
          <w:rFonts w:ascii="Times New Roman" w:hAnsi="Times New Roman" w:cs="Times New Roman"/>
        </w:rPr>
        <w:t xml:space="preserve"> equation</w:t>
      </w:r>
      <w:r>
        <w:rPr>
          <w:rFonts w:ascii="Times New Roman" w:hAnsi="Times New Roman" w:cs="Times New Roman"/>
        </w:rPr>
        <w:t>:</w:t>
      </w:r>
      <w:r w:rsidR="00251F4B">
        <w:rPr>
          <w:rFonts w:ascii="Times New Roman" w:hAnsi="Times New Roman" w:cs="Times New Roman"/>
        </w:rPr>
        <w:t xml:space="preserve"> CL/C0 = F</w:t>
      </w:r>
      <w:r w:rsidR="00251F4B">
        <w:rPr>
          <w:rFonts w:ascii="Times New Roman" w:hAnsi="Times New Roman" w:cs="Times New Roman"/>
          <w:vertAlign w:val="superscript"/>
        </w:rPr>
        <w:t>(D—1)</w:t>
      </w:r>
      <w:r w:rsidR="000717C2">
        <w:rPr>
          <w:rFonts w:ascii="Times New Roman" w:hAnsi="Times New Roman" w:cs="Times New Roman"/>
          <w:vertAlign w:val="superscript"/>
        </w:rPr>
        <w:t xml:space="preserve"> </w:t>
      </w:r>
      <w:r w:rsidR="000717C2">
        <w:rPr>
          <w:rFonts w:ascii="Times New Roman" w:hAnsi="Times New Roman" w:cs="Times New Roman"/>
          <w:vertAlign w:val="superscript"/>
        </w:rPr>
        <w:fldChar w:fldCharType="begin"/>
      </w:r>
      <w:r w:rsidR="001A42D9">
        <w:rPr>
          <w:rFonts w:ascii="Times New Roman" w:hAnsi="Times New Roman" w:cs="Times New Roman"/>
          <w:vertAlign w:val="superscript"/>
        </w:rPr>
        <w:instrText xml:space="preserve"> ADDIN ZOTERO_ITEM CSL_CITATION {"citationID":"rK2pAIaO","properties":{"formattedCitation":"(Neumann et al. 1954)","plainCitation":"(Neumann et al. 1954)","noteIndex":0},"citationItems":[{"id":5701,"uris":["http://zotero.org/users/7979564/items/XQN3U7DU"],"itemData":{"id":5701,"type":"article-journal","abstract":"Assuming that the distribution law is valid under the P-T-X conditions concerned, a general outline is given of the distribution of trace elements between several phases formed in a crystallizing magma. The variation in the distribution coefficients with temperature and chemical composition is discussed. It is shown that extreme care must be taken when distribution coefficients are determined by a study of naturally occurring rocks and that a determination may, in many cases, be impossible.","container-title":"Geochimica et Cosmochimica Acta","DOI":"10.1016/0016-7037(54)90018-6","ISSN":"0016-7037","issue":"2","journalAbbreviation":"Geochim Cosmochim Ac","page":"90-99","source":"ScienceDirect","title":"Trace element variation during fractional crystallization as calculated from the distribution law","volume":"6","author":[{"family":"Neumann","given":"Henrich"},{"family":"Mead","given":"Judson"},{"family":"Vitaliano","given":"C. J."}],"issued":{"date-parts":[["1954",9,1]]}}}],"schema":"https://github.com/citation-style-language/schema/raw/master/csl-citation.json"} </w:instrText>
      </w:r>
      <w:r w:rsidR="000717C2">
        <w:rPr>
          <w:rFonts w:ascii="Times New Roman" w:hAnsi="Times New Roman" w:cs="Times New Roman"/>
          <w:vertAlign w:val="superscript"/>
        </w:rPr>
        <w:fldChar w:fldCharType="separate"/>
      </w:r>
      <w:r w:rsidR="001A42D9" w:rsidRPr="001A42D9">
        <w:rPr>
          <w:rFonts w:ascii="Times New Roman" w:hAnsi="Times New Roman" w:cs="Times New Roman"/>
        </w:rPr>
        <w:t>(Neumann et al. 1954)</w:t>
      </w:r>
      <w:r w:rsidR="000717C2">
        <w:rPr>
          <w:rFonts w:ascii="Times New Roman" w:hAnsi="Times New Roman" w:cs="Times New Roman"/>
          <w:vertAlign w:val="superscript"/>
        </w:rPr>
        <w:fldChar w:fldCharType="end"/>
      </w:r>
      <w:r w:rsidR="00251F4B">
        <w:rPr>
          <w:rFonts w:ascii="Times New Roman" w:hAnsi="Times New Roman" w:cs="Times New Roman"/>
        </w:rPr>
        <w:t>. The hence calculated absolute trace element abundances in the residual melt is further used to assess the cumulate trace element composition</w:t>
      </w:r>
      <w:r>
        <w:rPr>
          <w:rFonts w:ascii="Times New Roman" w:hAnsi="Times New Roman" w:cs="Times New Roman"/>
        </w:rPr>
        <w:t xml:space="preserve">s, i.e., in the </w:t>
      </w:r>
      <w:r w:rsidR="00251F4B">
        <w:rPr>
          <w:rFonts w:ascii="Times New Roman" w:hAnsi="Times New Roman" w:cs="Times New Roman"/>
        </w:rPr>
        <w:t>solid phase</w:t>
      </w:r>
      <w:r>
        <w:rPr>
          <w:rFonts w:ascii="Times New Roman" w:hAnsi="Times New Roman" w:cs="Times New Roman"/>
        </w:rPr>
        <w:t>s</w:t>
      </w:r>
      <w:r w:rsidR="00251F4B">
        <w:rPr>
          <w:rFonts w:ascii="Times New Roman" w:hAnsi="Times New Roman" w:cs="Times New Roman"/>
        </w:rPr>
        <w:t xml:space="preserve"> coexisting with each residual melt. </w:t>
      </w:r>
      <w:r w:rsidR="00251F4B">
        <w:rPr>
          <w:rFonts w:ascii="Times New Roman" w:hAnsi="Times New Roman" w:cs="Times New Roman"/>
          <w:iCs/>
        </w:rPr>
        <w:t xml:space="preserve">The </w:t>
      </w:r>
      <w:r w:rsidR="00251F4B">
        <w:rPr>
          <w:rFonts w:ascii="Times" w:hAnsi="Times" w:cs="Times"/>
          <w:sz w:val="24"/>
          <w:szCs w:val="24"/>
        </w:rPr>
        <w:t>D</w:t>
      </w:r>
      <w:r w:rsidR="00251F4B">
        <w:rPr>
          <w:rFonts w:ascii="Times" w:hAnsi="Times" w:cs="Times"/>
          <w:sz w:val="24"/>
          <w:szCs w:val="24"/>
          <w:vertAlign w:val="superscript"/>
        </w:rPr>
        <w:t>mineral-melt</w:t>
      </w:r>
      <w:r w:rsidR="00251F4B">
        <w:rPr>
          <w:rFonts w:ascii="Times New Roman" w:hAnsi="Times New Roman" w:cs="Times New Roman"/>
          <w:iCs/>
        </w:rPr>
        <w:t xml:space="preserve"> used for modeling can be found in Supplementary Table S6. </w:t>
      </w:r>
      <w:r w:rsidR="004B37F3">
        <w:rPr>
          <w:rFonts w:ascii="Times New Roman" w:hAnsi="Times New Roman" w:cs="Times New Roman"/>
          <w:iCs/>
        </w:rPr>
        <w:t xml:space="preserve">For silicates (pyroxenes, olivine, plagioclase) the data of this study were used. For </w:t>
      </w:r>
      <w:proofErr w:type="spellStart"/>
      <w:r w:rsidR="004B37F3">
        <w:rPr>
          <w:rFonts w:ascii="Times New Roman" w:hAnsi="Times New Roman" w:cs="Times New Roman"/>
          <w:iCs/>
        </w:rPr>
        <w:t>spinels</w:t>
      </w:r>
      <w:proofErr w:type="spellEnd"/>
      <w:r w:rsidR="004B37F3">
        <w:rPr>
          <w:rFonts w:ascii="Times New Roman" w:hAnsi="Times New Roman" w:cs="Times New Roman"/>
          <w:iCs/>
        </w:rPr>
        <w:t>, quartz, and apatite, literature data was used</w:t>
      </w:r>
      <w:r w:rsidR="0056294B">
        <w:rPr>
          <w:rFonts w:ascii="Times New Roman" w:hAnsi="Times New Roman" w:cs="Times New Roman"/>
          <w:iCs/>
        </w:rPr>
        <w:t xml:space="preserve"> </w:t>
      </w:r>
      <w:r w:rsidR="0056294B" w:rsidRPr="004B37F3">
        <w:rPr>
          <w:rFonts w:ascii="Times New Roman" w:hAnsi="Times New Roman" w:cs="Times New Roman"/>
        </w:rPr>
        <w:t xml:space="preserve">(Nash and </w:t>
      </w:r>
      <w:proofErr w:type="spellStart"/>
      <w:r w:rsidR="0056294B" w:rsidRPr="004B37F3">
        <w:rPr>
          <w:rFonts w:ascii="Times New Roman" w:hAnsi="Times New Roman" w:cs="Times New Roman"/>
        </w:rPr>
        <w:t>Crecraft</w:t>
      </w:r>
      <w:proofErr w:type="spellEnd"/>
      <w:r w:rsidR="0056294B" w:rsidRPr="004B37F3">
        <w:rPr>
          <w:rFonts w:ascii="Times New Roman" w:hAnsi="Times New Roman" w:cs="Times New Roman"/>
        </w:rPr>
        <w:t xml:space="preserve"> 1985; </w:t>
      </w:r>
      <w:proofErr w:type="spellStart"/>
      <w:r w:rsidR="0056294B" w:rsidRPr="004B37F3">
        <w:rPr>
          <w:rFonts w:ascii="Times New Roman" w:hAnsi="Times New Roman" w:cs="Times New Roman"/>
        </w:rPr>
        <w:t>Prowatke</w:t>
      </w:r>
      <w:proofErr w:type="spellEnd"/>
      <w:r w:rsidR="0056294B" w:rsidRPr="004B37F3">
        <w:rPr>
          <w:rFonts w:ascii="Times New Roman" w:hAnsi="Times New Roman" w:cs="Times New Roman"/>
        </w:rPr>
        <w:t xml:space="preserve"> and Klemme 2006; Klemme et al. 2006; Brophy et al. 2011; Dygert et al. 2013; Fedele et al. 2015; Wijbrans et al. 2015; Snape et al. 2022</w:t>
      </w:r>
      <w:r w:rsidR="0056294B">
        <w:rPr>
          <w:rFonts w:ascii="Times New Roman" w:hAnsi="Times New Roman" w:cs="Times New Roman"/>
        </w:rPr>
        <w:t xml:space="preserve">). The evolution modeling for elements like Sc, V, Cr, Mn, Co, and Ni </w:t>
      </w:r>
      <w:r>
        <w:rPr>
          <w:rFonts w:ascii="Times New Roman" w:hAnsi="Times New Roman" w:cs="Times New Roman"/>
        </w:rPr>
        <w:t>must be regarded with caution</w:t>
      </w:r>
      <w:r w:rsidR="0056294B">
        <w:rPr>
          <w:rFonts w:ascii="Times New Roman" w:hAnsi="Times New Roman" w:cs="Times New Roman"/>
        </w:rPr>
        <w:t>, since the availability of trace element partition coefficients for plagioclase and apatite is very limited.</w:t>
      </w:r>
      <w:r w:rsidR="0056294B" w:rsidRPr="0035327B">
        <w:rPr>
          <w:rFonts w:ascii="Times New Roman" w:hAnsi="Times New Roman" w:cs="Times New Roman"/>
        </w:rPr>
        <w:t xml:space="preserve"> </w:t>
      </w:r>
      <w:r w:rsidR="0056294B">
        <w:rPr>
          <w:rFonts w:ascii="Times New Roman" w:hAnsi="Times New Roman" w:cs="Times New Roman"/>
        </w:rPr>
        <w:t xml:space="preserve">We assume </w:t>
      </w:r>
      <w:r>
        <w:rPr>
          <w:rFonts w:ascii="Times New Roman" w:hAnsi="Times New Roman" w:cs="Times New Roman"/>
        </w:rPr>
        <w:t>that these elements</w:t>
      </w:r>
      <w:r w:rsidR="0056294B">
        <w:rPr>
          <w:rFonts w:ascii="Times New Roman" w:hAnsi="Times New Roman" w:cs="Times New Roman"/>
        </w:rPr>
        <w:t xml:space="preserve"> are incompatible in phosphates and apatite fractionation will have a negligible effect on these elements. Partition coefficients for accessory phases were interpolated, where reasonably possible (</w:t>
      </w:r>
      <w:r>
        <w:rPr>
          <w:rFonts w:ascii="Times New Roman" w:hAnsi="Times New Roman" w:cs="Times New Roman"/>
        </w:rPr>
        <w:t xml:space="preserve">details in </w:t>
      </w:r>
      <w:r w:rsidR="0056294B">
        <w:rPr>
          <w:rFonts w:ascii="Times New Roman" w:hAnsi="Times New Roman" w:cs="Times New Roman"/>
        </w:rPr>
        <w:t xml:space="preserve">Supplementary Tables S6). </w:t>
      </w:r>
    </w:p>
    <w:p w:rsidR="0056294B" w:rsidRDefault="0056294B" w:rsidP="00251F4B">
      <w:pPr>
        <w:spacing w:line="480" w:lineRule="auto"/>
        <w:rPr>
          <w:rFonts w:ascii="Times New Roman" w:hAnsi="Times New Roman" w:cs="Times New Roman"/>
          <w:iCs/>
        </w:rPr>
      </w:pPr>
      <w:r>
        <w:rPr>
          <w:rFonts w:ascii="Times New Roman" w:hAnsi="Times New Roman" w:cs="Times New Roman"/>
          <w:iCs/>
          <w:noProof/>
        </w:rPr>
        <w:drawing>
          <wp:inline distT="0" distB="0" distL="0" distR="0" wp14:anchorId="0AD75B43" wp14:editId="02D4DD61">
            <wp:extent cx="5757336" cy="18161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57336" cy="1816100"/>
                    </a:xfrm>
                    <a:prstGeom prst="rect">
                      <a:avLst/>
                    </a:prstGeom>
                    <a:noFill/>
                    <a:ln>
                      <a:noFill/>
                    </a:ln>
                  </pic:spPr>
                </pic:pic>
              </a:graphicData>
            </a:graphic>
          </wp:inline>
        </w:drawing>
      </w:r>
    </w:p>
    <w:p w:rsidR="00EE0CF4" w:rsidRPr="00FF11D2" w:rsidRDefault="00EE0CF4" w:rsidP="00EE0CF4">
      <w:pPr>
        <w:spacing w:line="480" w:lineRule="auto"/>
        <w:rPr>
          <w:rFonts w:ascii="Times New Roman" w:hAnsi="Times New Roman" w:cs="Times New Roman"/>
          <w:iCs/>
        </w:rPr>
      </w:pPr>
      <w:r w:rsidRPr="001A1A49">
        <w:rPr>
          <w:rFonts w:ascii="Times New Roman" w:hAnsi="Times New Roman" w:cs="Times New Roman"/>
          <w:b/>
          <w:iCs/>
        </w:rPr>
        <w:t>Figure S</w:t>
      </w:r>
      <w:r>
        <w:rPr>
          <w:rFonts w:ascii="Times New Roman" w:hAnsi="Times New Roman" w:cs="Times New Roman"/>
          <w:b/>
          <w:iCs/>
        </w:rPr>
        <w:t>1</w:t>
      </w:r>
      <w:r>
        <w:rPr>
          <w:rFonts w:ascii="Times New Roman" w:hAnsi="Times New Roman" w:cs="Times New Roman"/>
          <w:iCs/>
        </w:rPr>
        <w:t xml:space="preserve"> </w:t>
      </w:r>
      <w:proofErr w:type="spellStart"/>
      <w:r>
        <w:rPr>
          <w:rFonts w:ascii="Times New Roman" w:hAnsi="Times New Roman" w:cs="Times New Roman"/>
          <w:iCs/>
        </w:rPr>
        <w:t>Pseudoternary</w:t>
      </w:r>
      <w:proofErr w:type="spellEnd"/>
      <w:r>
        <w:rPr>
          <w:rFonts w:ascii="Times New Roman" w:hAnsi="Times New Roman" w:cs="Times New Roman"/>
          <w:iCs/>
        </w:rPr>
        <w:t xml:space="preserve"> diagram showing compositions of pyroxene in </w:t>
      </w:r>
      <w:proofErr w:type="spellStart"/>
      <w:r>
        <w:rPr>
          <w:rFonts w:ascii="Times New Roman" w:hAnsi="Times New Roman" w:cs="Times New Roman"/>
          <w:iCs/>
        </w:rPr>
        <w:t>Wo</w:t>
      </w:r>
      <w:r w:rsidR="00707C46">
        <w:rPr>
          <w:rFonts w:ascii="Times New Roman" w:hAnsi="Times New Roman" w:cs="Times New Roman"/>
          <w:iCs/>
        </w:rPr>
        <w:t>l</w:t>
      </w:r>
      <w:r>
        <w:rPr>
          <w:rFonts w:ascii="Times New Roman" w:hAnsi="Times New Roman" w:cs="Times New Roman"/>
          <w:iCs/>
        </w:rPr>
        <w:t>lastonite</w:t>
      </w:r>
      <w:proofErr w:type="spellEnd"/>
      <w:r>
        <w:rPr>
          <w:rFonts w:ascii="Times New Roman" w:hAnsi="Times New Roman" w:cs="Times New Roman"/>
          <w:iCs/>
        </w:rPr>
        <w:t>-Enstatite-</w:t>
      </w:r>
      <w:proofErr w:type="spellStart"/>
      <w:r>
        <w:rPr>
          <w:rFonts w:ascii="Times New Roman" w:hAnsi="Times New Roman" w:cs="Times New Roman"/>
          <w:iCs/>
        </w:rPr>
        <w:t>Ferrosilite</w:t>
      </w:r>
      <w:proofErr w:type="spellEnd"/>
      <w:r>
        <w:rPr>
          <w:rFonts w:ascii="Times New Roman" w:hAnsi="Times New Roman" w:cs="Times New Roman"/>
          <w:iCs/>
        </w:rPr>
        <w:t xml:space="preserve"> </w:t>
      </w:r>
      <w:r w:rsidR="00707C46">
        <w:rPr>
          <w:rFonts w:ascii="Times New Roman" w:hAnsi="Times New Roman" w:cs="Times New Roman"/>
          <w:iCs/>
        </w:rPr>
        <w:t>ternary plot</w:t>
      </w:r>
      <w:r w:rsidR="00FF11D2">
        <w:rPr>
          <w:rFonts w:ascii="Times New Roman" w:hAnsi="Times New Roman" w:cs="Times New Roman"/>
          <w:iCs/>
        </w:rPr>
        <w:t xml:space="preserve">. The data of this study are shown, together with pyroxene compositions of experimental studies of </w:t>
      </w:r>
      <w:r w:rsidR="00FF11D2">
        <w:rPr>
          <w:rFonts w:ascii="Times New Roman" w:hAnsi="Times New Roman" w:cs="Times New Roman"/>
          <w:iCs/>
        </w:rPr>
        <w:fldChar w:fldCharType="begin"/>
      </w:r>
      <w:r w:rsidR="00FF11D2">
        <w:rPr>
          <w:rFonts w:ascii="Times New Roman" w:hAnsi="Times New Roman" w:cs="Times New Roman"/>
          <w:iCs/>
        </w:rPr>
        <w:instrText xml:space="preserve"> ADDIN ZOTERO_ITEM CSL_CITATION {"citationID":"q6lHJ6J7","properties":{"formattedCitation":"(McDade et al. 2003; Sun and Liang 2013; Dygert et al. 2014, 2020)","plainCitation":"(McDade et al. 2003; Sun and Liang 2013; Dygert et al. 2014, 2020)","noteIndex":0},"citationItems":[{"id":3546,"uris":["http://zotero.org/users/7979564/items/T2MERH65"],"itemData":{"id":3546,"type":"article-journal","abstract":"The partition coefficient (D) for any trace element in the mantle is a function of pressure, temperature and phase composition, the latter of which is controlled by the relative fertility of the peridotite. Models of mantle melting therefore require accurate determination of partition coefficients along the peridotite solidus. We have experimentally determined partition coefficients for clinopyroxene, orthopyroxene and olivine in equilibrium with melt, close to the anhydrous solidus of refractory Tinaquillo Lherzolite at 1.5GPa, 1315°C. All trace elements, apart from Sc, are incompatible in clinopyroxene, and the maximum DREE is DEr at 0.76. All trace elements are incompatible in orthopyroxene; the most compatible REE is Lu (DLu=0.18). Partition coefficients for olivine are generally &lt;0.005, and only Ti and Li are moderately compatible (DTi=0.10;DLi=0.29). Compared to a previous study of trace element partitioning at the solidus of a more fertile peridotite (mid-ocean ridge basalt (MORB)-pyrolite-90, MPY-90) at 1.5GPa, it is shown that, at fixed pressure, partition coefficients, especially for clinopyroxene, generally increase with increasing source fertility. DU/DTh for clinopyroxene is 0.86±0.02 and for orthopyroxene is 1.49±0.03, significantly lower than DU/DTh ratios previously determined for MPY-90 at 1.5GPa. When compared with pyroxene partition coefficients experimentally determined on the MPY-90 solidus at 3.0GPa, the partition coefficients for the majority of trace elements increase as pressure decreases along the mantle solidus. Notable exceptions are Li and Na which become more compatible as pressure increases along the solidus. The combined effects of pressure, temperature and source fertility mean that partition coefficients increase with decreasing pressure during decompression mantle melting beneath mid-ocean ridges. By expressing the variation in D as a function of melt fraction (F), the new data can be used to model decompression melting taking into account changes in partition coefficients as melting proceeds. We show that the trace element composition of residual (or “trapped”) melts is sensitive both to source mineralogy (i.e. garnet–lherzolite versus spinel–lherzolite) and to the depth range over which melting occurs. The variation in partition coefficients during mantle melting therefore provides a valuable tool in the interpretation of melt inclusions. The variable partition coefficients have much less impact on the composition of aggregated melts.","collection-title":"Diffusion and Partitioning in Planetary Interiors","container-title":"Physics of the Earth and Planetary Interiors","DOI":"10.1016/S0031-9201(03)00149-3","ISSN":"0031-9201","issue":"1","journalAbbreviation":"Phys Earth Planet In","language":"en","page":"129-147","source":"ScienceDirect","title":"Trace element partitioning on the Tinaquillo Lherzolite solidus at 1.5GPa","volume":"139","author":[{"family":"McDade","given":"Paula"},{"family":"Blundy","given":"Jon D"},{"family":"Wood","given":"Bernard J"}],"issued":{"date-parts":[["2003",9,30]]}}},{"id":3427,"uris":["http://zotero.org/users/7979564/items/EVVWA9V8"],"itemData":{"id":3427,"type":"article-journal","abstract":"The abundances and distribution of incompatible trace elements in low-Ca pyroxene are important to the interpretation of the thermal and chemical evolution of the lunar magma ocean and cumulate mantle. We conducted high pressure (2GPa) and high temperature (1340–1450°C) experiments to constrain trace elements partitioning between low-Ca pyroxene and a wide range of lunar picritic melt compositions (TiO2=1.6–16.6wt%) under reducing conditions imposed by graphite-lined molybdenum capsules. We show that addition of TiO2 in the melt decreases rare earth element (REE) and Y partition coefficients in low-Ca pyroxene and quantified this effect through a parameterized lattice strain model. Together with published high quality partitioning data of tetravalent high field strength elements (HFSEs) in the literature, we also developed a parameterized lattice strain model for Ti, Hf and Zr partitioning in low-Ca pyroxene. Partition coefficients of REE and HFSE are positively correlated with Al and Ca abundances in low-Ca pyroxene and negatively correlated with temperature. HFSE partition coefficients show an inverse correlation with Fe content in low-Ca pyroxene. As examples of lunar applications, we estimated REE and HFSE partition coefficients in low-Ca pyroxene close to the multiple saturation points of lunar picritic melts, and found small variations of these partition coefficients in low-Ca pyroxene from individual lunar picritic melts. Constant REE and HFSE partition coefficients can be used in melting models exploring the petrogenesis of individual picritic melts. On the other hand, large variations in estimated REE and HFSE partition coefficients for low-Ca pyroxene are expected during lunar magma ocean crystallization, underscoring the significance of temperature-composition dependent REE and HFSE partition coefficients for understanding lunar magma ocean evolution.","container-title":"Geochimica et Cosmochimica Acta","DOI":"10.1016/j.gca.2013.05.036","ISSN":"0016-7037","journalAbbreviation":"Geochim Cosmochim Ac","language":"en","page":"340-358","source":"ScienceDirect","title":"Distribution of REE and HFSE between low-Ca pyroxene and lunar picritic melts around multiple saturation points","volume":"119","author":[{"family":"Sun","given":"Chenguang"},{"family":"Liang","given":"Yan"}],"issued":{"date-parts":[[</w:instrText>
      </w:r>
      <w:r w:rsidR="00FF11D2" w:rsidRPr="0056294B">
        <w:rPr>
          <w:rFonts w:ascii="Times New Roman" w:hAnsi="Times New Roman" w:cs="Times New Roman"/>
          <w:iCs/>
        </w:rPr>
        <w:instrText xml:space="preserve">"2013",10,15]]}}},{"id":1257,"uris":["http://zotero.org/users/7979564/items/QMTQ2SEQ"],"itemData":{"id":1257,"type":"article-journal","container-title":"Geochimica et Cosmochimica Acta","DOI":"10.1016/j.gca.2014.01.042","ISSN":"00167037","journalAbbreviation":"Geochim Cosmochim Ac","language":"en","page":"170–186","title":"An experimental study of trace element partitioning between augite and Fe-rich basalts","volume":"132","author":[{"family":"Dygert","given":"Nick"},{"family":"Liang","given":"Yan"},{"family":"Sun","given":"Chenguang"},{"family":"Hess","given":"Paul"}],"issued":{"date-parts":[["2014",5]]}}},{"id":430,"uris":["http://zotero.org/users/7979564/items/SGGLMP7L"],"itemData":{"id":430,"type":"article-journal","container-title":"Geochimica et Cosmochimica Acta","DOI":"10.1016/j.gca.2020.03.037","ISSN":"00167037","journalAbbreviation":"Geochim Cosmochim Ac","language":"en","page":"258-280","source":"DOI.org (Crossref)","title":"Experimental determinations of trace element partitioning between plagioclase, pigeonite, olivine, and lunar basaltic melts and an fO2 dependent model for plagioclase-melt Eu partitioning","volume":"279","author":[{"family":"Dygert","given":"N."},{"family":"Draper","given":"D.S."},{"family":"Rapp","given":"J.F."},{"family":"Lapen","given":"T.J."},{"family":"Fagan","given":"A.L."},{"family":"Neal","given":"C.R."}],"issued":{"date-parts":[["2020",6]]}}}],"schema":"https://github.com/citation-style-language/schema/raw/master/csl-citation.json"} </w:instrText>
      </w:r>
      <w:r w:rsidR="00FF11D2">
        <w:rPr>
          <w:rFonts w:ascii="Times New Roman" w:hAnsi="Times New Roman" w:cs="Times New Roman"/>
          <w:iCs/>
        </w:rPr>
        <w:fldChar w:fldCharType="separate"/>
      </w:r>
      <w:r w:rsidR="00FF11D2" w:rsidRPr="0056294B">
        <w:rPr>
          <w:rFonts w:ascii="Times New Roman" w:hAnsi="Times New Roman" w:cs="Times New Roman"/>
        </w:rPr>
        <w:t>McDade et al. (2003), Sun and Liang (2013), and Dygert et al. (2014, 2020)</w:t>
      </w:r>
      <w:r w:rsidR="00FF11D2">
        <w:rPr>
          <w:rFonts w:ascii="Times New Roman" w:hAnsi="Times New Roman" w:cs="Times New Roman"/>
          <w:iCs/>
        </w:rPr>
        <w:fldChar w:fldCharType="end"/>
      </w:r>
      <w:r w:rsidR="00FF11D2" w:rsidRPr="0056294B">
        <w:rPr>
          <w:rFonts w:ascii="Times New Roman" w:hAnsi="Times New Roman" w:cs="Times New Roman"/>
          <w:iCs/>
        </w:rPr>
        <w:t xml:space="preserve">. </w:t>
      </w:r>
      <w:r w:rsidR="00FF11D2" w:rsidRPr="00FF11D2">
        <w:rPr>
          <w:rFonts w:ascii="Times New Roman" w:hAnsi="Times New Roman" w:cs="Times New Roman"/>
          <w:iCs/>
        </w:rPr>
        <w:t xml:space="preserve">The data of Rapp and Draper (2018) and Schmidt and </w:t>
      </w:r>
      <w:proofErr w:type="spellStart"/>
      <w:r w:rsidR="00FF11D2">
        <w:rPr>
          <w:rFonts w:ascii="Times New Roman" w:hAnsi="Times New Roman" w:cs="Times New Roman"/>
          <w:iCs/>
        </w:rPr>
        <w:t>Kraettli</w:t>
      </w:r>
      <w:proofErr w:type="spellEnd"/>
      <w:r w:rsidR="00FF11D2">
        <w:rPr>
          <w:rFonts w:ascii="Times New Roman" w:hAnsi="Times New Roman" w:cs="Times New Roman"/>
          <w:iCs/>
        </w:rPr>
        <w:t xml:space="preserve"> (2022) show pyroxene compositions in the cumulates during fractional crystallization of the lunar magma ocean.</w:t>
      </w:r>
    </w:p>
    <w:p w:rsidR="00EE0CF4" w:rsidRPr="00FF11D2" w:rsidRDefault="00EE0CF4" w:rsidP="00251F4B">
      <w:pPr>
        <w:spacing w:line="480" w:lineRule="auto"/>
        <w:rPr>
          <w:rFonts w:ascii="Times New Roman" w:hAnsi="Times New Roman" w:cs="Times New Roman"/>
          <w:iCs/>
        </w:rPr>
      </w:pPr>
    </w:p>
    <w:p w:rsidR="00251F4B" w:rsidRDefault="00F7081C" w:rsidP="00251F4B">
      <w:pPr>
        <w:spacing w:line="480" w:lineRule="auto"/>
        <w:rPr>
          <w:rFonts w:ascii="Times New Roman" w:hAnsi="Times New Roman" w:cs="Times New Roman"/>
          <w:iCs/>
        </w:rPr>
      </w:pPr>
      <w:r>
        <w:rPr>
          <w:noProof/>
        </w:rPr>
        <w:lastRenderedPageBreak/>
        <w:drawing>
          <wp:inline distT="0" distB="0" distL="0" distR="0" wp14:anchorId="3CF416A2" wp14:editId="7B151279">
            <wp:extent cx="4610100" cy="34544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10100" cy="3454400"/>
                    </a:xfrm>
                    <a:prstGeom prst="rect">
                      <a:avLst/>
                    </a:prstGeom>
                    <a:noFill/>
                    <a:ln>
                      <a:noFill/>
                    </a:ln>
                  </pic:spPr>
                </pic:pic>
              </a:graphicData>
            </a:graphic>
          </wp:inline>
        </w:drawing>
      </w:r>
    </w:p>
    <w:p w:rsidR="00F7081C" w:rsidRDefault="00F7081C" w:rsidP="00251F4B">
      <w:pPr>
        <w:spacing w:line="480" w:lineRule="auto"/>
        <w:rPr>
          <w:rFonts w:ascii="Times New Roman" w:hAnsi="Times New Roman" w:cs="Times New Roman"/>
          <w:iCs/>
        </w:rPr>
      </w:pPr>
      <w:r w:rsidRPr="00F7081C">
        <w:rPr>
          <w:rFonts w:ascii="Times New Roman" w:hAnsi="Times New Roman" w:cs="Times New Roman"/>
          <w:b/>
          <w:iCs/>
        </w:rPr>
        <w:t>Figure S</w:t>
      </w:r>
      <w:r w:rsidR="00C55AE4">
        <w:rPr>
          <w:rFonts w:ascii="Times New Roman" w:hAnsi="Times New Roman" w:cs="Times New Roman"/>
          <w:b/>
          <w:iCs/>
        </w:rPr>
        <w:t>2</w:t>
      </w:r>
      <w:r>
        <w:rPr>
          <w:rFonts w:ascii="Times New Roman" w:hAnsi="Times New Roman" w:cs="Times New Roman"/>
          <w:b/>
          <w:iCs/>
        </w:rPr>
        <w:t xml:space="preserve"> </w:t>
      </w:r>
      <w:r>
        <w:rPr>
          <w:rFonts w:ascii="Times New Roman" w:hAnsi="Times New Roman" w:cs="Times New Roman"/>
          <w:iCs/>
        </w:rPr>
        <w:t>Back scattered electron image of</w:t>
      </w:r>
      <w:r w:rsidRPr="00F7081C">
        <w:rPr>
          <w:rFonts w:ascii="Times New Roman" w:hAnsi="Times New Roman" w:cs="Times New Roman"/>
          <w:iCs/>
        </w:rPr>
        <w:t xml:space="preserve"> </w:t>
      </w:r>
      <w:r w:rsidR="00EE0CF4">
        <w:rPr>
          <w:rFonts w:ascii="Times New Roman" w:hAnsi="Times New Roman" w:cs="Times New Roman"/>
          <w:iCs/>
        </w:rPr>
        <w:t>h</w:t>
      </w:r>
      <w:r w:rsidR="00EE0CF4" w:rsidRPr="00F7081C">
        <w:rPr>
          <w:rFonts w:ascii="Times New Roman" w:hAnsi="Times New Roman" w:cs="Times New Roman"/>
          <w:iCs/>
        </w:rPr>
        <w:t>igh-pressure</w:t>
      </w:r>
      <w:r w:rsidRPr="00F7081C">
        <w:rPr>
          <w:rFonts w:ascii="Times New Roman" w:hAnsi="Times New Roman" w:cs="Times New Roman"/>
          <w:iCs/>
        </w:rPr>
        <w:t xml:space="preserve"> experimental run GPC_866</w:t>
      </w:r>
      <w:r>
        <w:rPr>
          <w:rFonts w:ascii="Times New Roman" w:hAnsi="Times New Roman" w:cs="Times New Roman"/>
          <w:iCs/>
        </w:rPr>
        <w:t xml:space="preserve"> (1.5 GPa) showing idiomorphic </w:t>
      </w:r>
      <w:proofErr w:type="spellStart"/>
      <w:r>
        <w:rPr>
          <w:rFonts w:ascii="Times New Roman" w:hAnsi="Times New Roman" w:cs="Times New Roman"/>
          <w:iCs/>
        </w:rPr>
        <w:t>unzoned</w:t>
      </w:r>
      <w:proofErr w:type="spellEnd"/>
      <w:r>
        <w:rPr>
          <w:rFonts w:ascii="Times New Roman" w:hAnsi="Times New Roman" w:cs="Times New Roman"/>
          <w:iCs/>
        </w:rPr>
        <w:t>, large clinopyroxene crystals and quenched melt in a graphite capsule</w:t>
      </w:r>
    </w:p>
    <w:p w:rsidR="00F7081C" w:rsidRDefault="00F7081C" w:rsidP="00251F4B">
      <w:pPr>
        <w:spacing w:line="480" w:lineRule="auto"/>
        <w:rPr>
          <w:rFonts w:ascii="Times New Roman" w:hAnsi="Times New Roman" w:cs="Times New Roman"/>
          <w:iCs/>
        </w:rPr>
      </w:pPr>
    </w:p>
    <w:p w:rsidR="001A1A49" w:rsidRDefault="001A1A49" w:rsidP="00251F4B">
      <w:pPr>
        <w:spacing w:line="480" w:lineRule="auto"/>
        <w:rPr>
          <w:rFonts w:ascii="Times New Roman" w:hAnsi="Times New Roman" w:cs="Times New Roman"/>
          <w:iCs/>
        </w:rPr>
      </w:pPr>
    </w:p>
    <w:p w:rsidR="00F7081C" w:rsidRDefault="00F7081C" w:rsidP="00251F4B">
      <w:pPr>
        <w:spacing w:line="480" w:lineRule="auto"/>
        <w:rPr>
          <w:rFonts w:ascii="Times New Roman" w:hAnsi="Times New Roman" w:cs="Times New Roman"/>
          <w:iCs/>
        </w:rPr>
      </w:pPr>
    </w:p>
    <w:p w:rsidR="001A1A49" w:rsidRDefault="007C1AA3" w:rsidP="00251F4B">
      <w:pPr>
        <w:spacing w:line="480" w:lineRule="auto"/>
        <w:rPr>
          <w:rFonts w:ascii="Times New Roman" w:hAnsi="Times New Roman" w:cs="Times New Roman"/>
          <w:iCs/>
        </w:rPr>
      </w:pPr>
      <w:r>
        <w:rPr>
          <w:noProof/>
        </w:rPr>
        <w:lastRenderedPageBreak/>
        <w:drawing>
          <wp:inline distT="0" distB="0" distL="0" distR="0" wp14:anchorId="2D53AACE" wp14:editId="47998557">
            <wp:extent cx="5760720" cy="3650615"/>
            <wp:effectExtent l="0" t="0" r="11430" b="6985"/>
            <wp:docPr id="8" name="Diagramm 8">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F3EFD" w:rsidRDefault="004F3EFD" w:rsidP="004F3EFD">
      <w:pPr>
        <w:spacing w:line="240" w:lineRule="auto"/>
        <w:rPr>
          <w:rFonts w:ascii="Times New Roman" w:hAnsi="Times New Roman" w:cs="Times New Roman"/>
          <w:iCs/>
        </w:rPr>
      </w:pPr>
      <w:r w:rsidRPr="004F3EFD">
        <w:rPr>
          <w:rFonts w:ascii="Times New Roman" w:hAnsi="Times New Roman" w:cs="Times New Roman"/>
          <w:b/>
          <w:iCs/>
        </w:rPr>
        <w:t>Figure S</w:t>
      </w:r>
      <w:r w:rsidR="00F7081C">
        <w:rPr>
          <w:rFonts w:ascii="Times New Roman" w:hAnsi="Times New Roman" w:cs="Times New Roman"/>
          <w:b/>
          <w:iCs/>
        </w:rPr>
        <w:t>3</w:t>
      </w:r>
      <w:r w:rsidRPr="004F3EFD">
        <w:rPr>
          <w:rFonts w:ascii="Times New Roman" w:hAnsi="Times New Roman" w:cs="Times New Roman"/>
          <w:b/>
          <w:iCs/>
        </w:rPr>
        <w:t xml:space="preserve"> </w:t>
      </w:r>
      <w:r w:rsidR="001C2C5C" w:rsidRPr="001C2C5C">
        <w:rPr>
          <w:rFonts w:ascii="Times New Roman" w:hAnsi="Times New Roman" w:cs="Times New Roman"/>
          <w:iCs/>
        </w:rPr>
        <w:t>Analyzed c</w:t>
      </w:r>
      <w:r w:rsidRPr="001C2C5C">
        <w:rPr>
          <w:rFonts w:ascii="Times New Roman" w:hAnsi="Times New Roman" w:cs="Times New Roman"/>
          <w:iCs/>
        </w:rPr>
        <w:t>linopyroxene partition coefficients for minerals of this study (D analyzed) as a function</w:t>
      </w:r>
      <w:r>
        <w:rPr>
          <w:rFonts w:ascii="Times New Roman" w:hAnsi="Times New Roman" w:cs="Times New Roman"/>
          <w:iCs/>
        </w:rPr>
        <w:t xml:space="preserve"> of calculated partition coefficients using the parameterization of Sun and Liang (2012)</w:t>
      </w:r>
      <w:r w:rsidR="00A478A4">
        <w:rPr>
          <w:rFonts w:ascii="Times New Roman" w:hAnsi="Times New Roman" w:cs="Times New Roman"/>
          <w:iCs/>
        </w:rPr>
        <w:t xml:space="preserve"> including Mg on the M2 si</w:t>
      </w:r>
      <w:r w:rsidR="0034302C">
        <w:rPr>
          <w:rFonts w:ascii="Times New Roman" w:hAnsi="Times New Roman" w:cs="Times New Roman"/>
          <w:iCs/>
        </w:rPr>
        <w:t>t</w:t>
      </w:r>
      <w:r w:rsidR="00A478A4">
        <w:rPr>
          <w:rFonts w:ascii="Times New Roman" w:hAnsi="Times New Roman" w:cs="Times New Roman"/>
          <w:iCs/>
        </w:rPr>
        <w:t>e and Al on the tetrahedral site</w:t>
      </w:r>
      <w:r>
        <w:rPr>
          <w:rFonts w:ascii="Times New Roman" w:hAnsi="Times New Roman" w:cs="Times New Roman"/>
          <w:iCs/>
        </w:rPr>
        <w:t>. Note 1:1 line in red</w:t>
      </w:r>
      <w:r w:rsidR="007C1AA3">
        <w:rPr>
          <w:rFonts w:ascii="Times New Roman" w:hAnsi="Times New Roman" w:cs="Times New Roman"/>
          <w:iCs/>
        </w:rPr>
        <w:t>. Calculated partition coefficients are higher, than analyzed ones.</w:t>
      </w:r>
    </w:p>
    <w:p w:rsidR="00A71DDA" w:rsidRDefault="00C013B0" w:rsidP="004F3EFD">
      <w:pPr>
        <w:spacing w:line="240" w:lineRule="auto"/>
        <w:rPr>
          <w:rFonts w:ascii="Times New Roman" w:hAnsi="Times New Roman" w:cs="Times New Roman"/>
          <w:iCs/>
        </w:rPr>
      </w:pPr>
      <w:r>
        <w:rPr>
          <w:rFonts w:ascii="Times New Roman" w:hAnsi="Times New Roman" w:cs="Times New Roman"/>
          <w:iCs/>
          <w:noProof/>
        </w:rPr>
        <w:drawing>
          <wp:inline distT="0" distB="0" distL="0" distR="0">
            <wp:extent cx="3429671" cy="322162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429671" cy="3221620"/>
                    </a:xfrm>
                    <a:prstGeom prst="rect">
                      <a:avLst/>
                    </a:prstGeom>
                    <a:noFill/>
                    <a:ln>
                      <a:noFill/>
                    </a:ln>
                  </pic:spPr>
                </pic:pic>
              </a:graphicData>
            </a:graphic>
          </wp:inline>
        </w:drawing>
      </w:r>
    </w:p>
    <w:p w:rsidR="00C013B0" w:rsidRPr="004F3EFD" w:rsidRDefault="00A478A4" w:rsidP="004F3EFD">
      <w:pPr>
        <w:spacing w:line="240" w:lineRule="auto"/>
        <w:rPr>
          <w:rFonts w:ascii="Times New Roman" w:hAnsi="Times New Roman" w:cs="Times New Roman"/>
          <w:iCs/>
        </w:rPr>
      </w:pPr>
      <w:r w:rsidRPr="00A478A4">
        <w:rPr>
          <w:rFonts w:ascii="Times New Roman" w:hAnsi="Times New Roman" w:cs="Times New Roman"/>
          <w:b/>
          <w:iCs/>
        </w:rPr>
        <w:t>Figure S4</w:t>
      </w:r>
      <w:r>
        <w:rPr>
          <w:rFonts w:ascii="Times New Roman" w:hAnsi="Times New Roman" w:cs="Times New Roman"/>
          <w:iCs/>
        </w:rPr>
        <w:t xml:space="preserve"> </w:t>
      </w:r>
      <w:r w:rsidR="00AE10F8">
        <w:rPr>
          <w:rFonts w:ascii="Times New Roman" w:hAnsi="Times New Roman" w:cs="Times New Roman"/>
          <w:iCs/>
        </w:rPr>
        <w:t xml:space="preserve">Analyzed </w:t>
      </w:r>
      <w:r w:rsidR="001C2BCF">
        <w:rPr>
          <w:rFonts w:ascii="Times New Roman" w:hAnsi="Times New Roman" w:cs="Times New Roman"/>
          <w:iCs/>
        </w:rPr>
        <w:t xml:space="preserve">REE+Y </w:t>
      </w:r>
      <w:proofErr w:type="spellStart"/>
      <w:r w:rsidR="001C2BCF">
        <w:rPr>
          <w:rFonts w:ascii="Times New Roman" w:hAnsi="Times New Roman" w:cs="Times New Roman"/>
          <w:iCs/>
        </w:rPr>
        <w:t>D</w:t>
      </w:r>
      <w:r w:rsidR="001C2BCF">
        <w:rPr>
          <w:rFonts w:ascii="Times New Roman" w:hAnsi="Times New Roman" w:cs="Times New Roman"/>
          <w:iCs/>
          <w:vertAlign w:val="superscript"/>
        </w:rPr>
        <w:t>cpx</w:t>
      </w:r>
      <w:proofErr w:type="spellEnd"/>
      <w:r w:rsidR="001C2BCF">
        <w:rPr>
          <w:rFonts w:ascii="Times New Roman" w:hAnsi="Times New Roman" w:cs="Times New Roman"/>
          <w:iCs/>
          <w:vertAlign w:val="superscript"/>
        </w:rPr>
        <w:t>-melt</w:t>
      </w:r>
      <w:r w:rsidR="00C013B0">
        <w:rPr>
          <w:rFonts w:ascii="Times New Roman" w:hAnsi="Times New Roman" w:cs="Times New Roman"/>
          <w:iCs/>
        </w:rPr>
        <w:t xml:space="preserve"> </w:t>
      </w:r>
      <w:r w:rsidR="00AE10F8">
        <w:rPr>
          <w:rFonts w:ascii="Times New Roman" w:hAnsi="Times New Roman" w:cs="Times New Roman"/>
          <w:iCs/>
        </w:rPr>
        <w:t xml:space="preserve">of this study (blue) plotted against predicted </w:t>
      </w:r>
      <w:proofErr w:type="spellStart"/>
      <w:r w:rsidR="00AE10F8">
        <w:rPr>
          <w:rFonts w:ascii="Times New Roman" w:hAnsi="Times New Roman" w:cs="Times New Roman"/>
          <w:iCs/>
        </w:rPr>
        <w:t>D</w:t>
      </w:r>
      <w:r w:rsidR="00AE10F8">
        <w:rPr>
          <w:rFonts w:ascii="Times New Roman" w:hAnsi="Times New Roman" w:cs="Times New Roman"/>
          <w:iCs/>
          <w:vertAlign w:val="superscript"/>
        </w:rPr>
        <w:t>cpx</w:t>
      </w:r>
      <w:proofErr w:type="spellEnd"/>
      <w:r w:rsidR="00AE10F8">
        <w:rPr>
          <w:rFonts w:ascii="Times New Roman" w:hAnsi="Times New Roman" w:cs="Times New Roman"/>
          <w:iCs/>
          <w:vertAlign w:val="superscript"/>
        </w:rPr>
        <w:t>-melt</w:t>
      </w:r>
      <w:r w:rsidR="00AE10F8">
        <w:rPr>
          <w:rFonts w:ascii="Times New Roman" w:hAnsi="Times New Roman" w:cs="Times New Roman"/>
          <w:iCs/>
        </w:rPr>
        <w:t xml:space="preserve"> based on a model including Al on the clinopyroxene’s tetrahedral site, as developed by </w:t>
      </w:r>
      <w:proofErr w:type="spellStart"/>
      <w:r w:rsidR="00AE10F8">
        <w:rPr>
          <w:rFonts w:ascii="Times New Roman" w:hAnsi="Times New Roman" w:cs="Times New Roman"/>
          <w:iCs/>
        </w:rPr>
        <w:t>Dygert</w:t>
      </w:r>
      <w:proofErr w:type="spellEnd"/>
      <w:r w:rsidR="00AE10F8">
        <w:rPr>
          <w:rFonts w:ascii="Times New Roman" w:hAnsi="Times New Roman" w:cs="Times New Roman"/>
          <w:iCs/>
        </w:rPr>
        <w:t xml:space="preserve"> et al. (2014, 2015). The data used for calibrating the model are shown in yellow</w:t>
      </w:r>
      <w:r w:rsidR="00C013B0">
        <w:rPr>
          <w:rFonts w:ascii="Times New Roman" w:hAnsi="Times New Roman" w:cs="Times New Roman"/>
          <w:iCs/>
        </w:rPr>
        <w:t xml:space="preserve"> </w:t>
      </w:r>
      <w:r w:rsidR="00DE5251">
        <w:rPr>
          <w:rFonts w:ascii="Times New Roman" w:hAnsi="Times New Roman" w:cs="Times New Roman"/>
          <w:iCs/>
        </w:rPr>
        <w:fldChar w:fldCharType="begin"/>
      </w:r>
      <w:r w:rsidR="00DE5251">
        <w:rPr>
          <w:rFonts w:ascii="Times New Roman" w:hAnsi="Times New Roman" w:cs="Times New Roman"/>
          <w:iCs/>
        </w:rPr>
        <w:instrText xml:space="preserve"> ADDIN ZOTERO_ITEM CSL_CITATION {"citationID":"jlSjJYXP","properties":{"formattedCitation":"(Dygert et al. 2014, 2015)","plainCitation":"(Dygert et al. 2014, 2015)","noteIndex":0},"citationItems":[{"id":1257,"uris":["http://zotero.org/users/7979564/items/QMTQ2SEQ"],"itemData":{"id":1257,"type":"article-journal","container-title":"Geochimica et Cosmochimica Acta","DOI":"10.1016/j.gca.2014.01.042","ISSN":"00167037","journalAbbreviation":"Geochim Cosmochim Ac","language":"en","page":"170–186","title":"An experimental study of trace element partitioning between augite and Fe-rich basalts","volume":"132","author":[{"family":"Dygert","given":"Nick"},{"family":"Liang","given":"Yan"},{"family":"Sun","given":"Chenguang"},{"family":"Hess","given":"Paul"}],"issued":{"date-parts":[["2014",5]]}}},{"id":6095,"uris":["http://zotero.org/users/7979564/items/CANY6YPI"],"itemData":{"id":6095,"type":"article-journal","container-title":"Geochimica et Cosmochimica Acta","DOI":"10.1016/j.gca.2014.09.013","ISSN":"0016-7037","journalAbbreviation":"Geochim Cosmochim Ac","page":"281-283","source":"ScienceDirect","title":"Corrigendum to ‘An experimental study of trace element partitioning between augite and Fe-rich basalts’ [Geochim. Cosmochim. Acta 132 (2014) 170–186]","volume":"149","author":[{"family":"Dygert","given":"Nick"},{"family":"Liang","given":"Yan"},{"family":"Sun","given":"Chenguang"},{"family":"Hess","given":"Paul"}],"issued":{"date-parts":[["2015",1,15]]}}}],"schema":"https://github.com/citation-style-language/schema/raw/master/csl-citation.json"} </w:instrText>
      </w:r>
      <w:r w:rsidR="00DE5251">
        <w:rPr>
          <w:rFonts w:ascii="Times New Roman" w:hAnsi="Times New Roman" w:cs="Times New Roman"/>
          <w:iCs/>
        </w:rPr>
        <w:fldChar w:fldCharType="separate"/>
      </w:r>
      <w:r w:rsidR="00DE5251" w:rsidRPr="00DE5251">
        <w:rPr>
          <w:rFonts w:ascii="Times New Roman" w:hAnsi="Times New Roman" w:cs="Times New Roman"/>
        </w:rPr>
        <w:t>(</w:t>
      </w:r>
      <w:r w:rsidR="00AE10F8">
        <w:rPr>
          <w:rFonts w:ascii="Times New Roman" w:hAnsi="Times New Roman" w:cs="Times New Roman"/>
        </w:rPr>
        <w:t xml:space="preserve">cf. </w:t>
      </w:r>
      <w:r w:rsidR="00DE5251" w:rsidRPr="00DE5251">
        <w:rPr>
          <w:rFonts w:ascii="Times New Roman" w:hAnsi="Times New Roman" w:cs="Times New Roman"/>
        </w:rPr>
        <w:t>Dygert et al. 2014, 2015)</w:t>
      </w:r>
      <w:r w:rsidR="00DE5251">
        <w:rPr>
          <w:rFonts w:ascii="Times New Roman" w:hAnsi="Times New Roman" w:cs="Times New Roman"/>
          <w:iCs/>
        </w:rPr>
        <w:fldChar w:fldCharType="end"/>
      </w:r>
      <w:r w:rsidR="00AE10F8">
        <w:rPr>
          <w:rFonts w:ascii="Times New Roman" w:hAnsi="Times New Roman" w:cs="Times New Roman"/>
          <w:iCs/>
        </w:rPr>
        <w:t>.</w:t>
      </w:r>
      <w:r w:rsidR="00DE5251">
        <w:rPr>
          <w:rFonts w:ascii="Times New Roman" w:hAnsi="Times New Roman" w:cs="Times New Roman"/>
          <w:iCs/>
        </w:rPr>
        <w:t xml:space="preserve"> </w:t>
      </w:r>
      <w:r w:rsidR="007C1AA3">
        <w:rPr>
          <w:rFonts w:ascii="Times New Roman" w:hAnsi="Times New Roman" w:cs="Times New Roman"/>
          <w:iCs/>
        </w:rPr>
        <w:t xml:space="preserve">The predicted </w:t>
      </w:r>
      <w:proofErr w:type="spellStart"/>
      <w:r w:rsidR="001C2BCF">
        <w:rPr>
          <w:rFonts w:ascii="Times New Roman" w:hAnsi="Times New Roman" w:cs="Times New Roman"/>
          <w:iCs/>
        </w:rPr>
        <w:t>D</w:t>
      </w:r>
      <w:r w:rsidR="001C2BCF">
        <w:rPr>
          <w:rFonts w:ascii="Times New Roman" w:hAnsi="Times New Roman" w:cs="Times New Roman"/>
          <w:iCs/>
          <w:vertAlign w:val="superscript"/>
        </w:rPr>
        <w:t>cpx</w:t>
      </w:r>
      <w:proofErr w:type="spellEnd"/>
      <w:r w:rsidR="001C2BCF">
        <w:rPr>
          <w:rFonts w:ascii="Times New Roman" w:hAnsi="Times New Roman" w:cs="Times New Roman"/>
          <w:iCs/>
          <w:vertAlign w:val="superscript"/>
        </w:rPr>
        <w:t>-melt</w:t>
      </w:r>
      <w:r w:rsidR="001C2BCF">
        <w:rPr>
          <w:rFonts w:ascii="Times New Roman" w:hAnsi="Times New Roman" w:cs="Times New Roman"/>
          <w:iCs/>
        </w:rPr>
        <w:t xml:space="preserve"> </w:t>
      </w:r>
      <w:r w:rsidR="007C1AA3">
        <w:rPr>
          <w:rFonts w:ascii="Times New Roman" w:hAnsi="Times New Roman" w:cs="Times New Roman"/>
          <w:iCs/>
        </w:rPr>
        <w:t>overestimate compatibility</w:t>
      </w:r>
      <w:r w:rsidR="00AE10F8">
        <w:rPr>
          <w:rFonts w:ascii="Times New Roman" w:hAnsi="Times New Roman" w:cs="Times New Roman"/>
          <w:iCs/>
        </w:rPr>
        <w:t xml:space="preserve"> of the data of this study</w:t>
      </w:r>
      <w:r w:rsidR="007C1AA3">
        <w:rPr>
          <w:rFonts w:ascii="Times New Roman" w:hAnsi="Times New Roman" w:cs="Times New Roman"/>
          <w:iCs/>
        </w:rPr>
        <w:t>.</w:t>
      </w:r>
    </w:p>
    <w:p w:rsidR="000717C2" w:rsidRDefault="000717C2" w:rsidP="00251F4B">
      <w:pPr>
        <w:spacing w:line="480" w:lineRule="auto"/>
        <w:rPr>
          <w:rFonts w:ascii="Times New Roman" w:hAnsi="Times New Roman" w:cs="Times New Roman"/>
          <w:iCs/>
        </w:rPr>
      </w:pPr>
    </w:p>
    <w:p w:rsidR="001C2BCF" w:rsidRDefault="001C2BCF" w:rsidP="001C2BCF">
      <w:pPr>
        <w:pStyle w:val="StandardWeb"/>
      </w:pPr>
      <w:r>
        <w:rPr>
          <w:noProof/>
        </w:rPr>
        <w:lastRenderedPageBreak/>
        <w:drawing>
          <wp:inline distT="0" distB="0" distL="0" distR="0">
            <wp:extent cx="4373245" cy="4107956"/>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upt1\AppData\Local\Packages\Microsoft.Windows.Photos_8wekyb3d8bbwe\TempState\ShareServiceTempFolder\ParametrizationSunLiang.jpe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373245" cy="4107956"/>
                    </a:xfrm>
                    <a:prstGeom prst="rect">
                      <a:avLst/>
                    </a:prstGeom>
                    <a:noFill/>
                    <a:ln>
                      <a:noFill/>
                    </a:ln>
                  </pic:spPr>
                </pic:pic>
              </a:graphicData>
            </a:graphic>
          </wp:inline>
        </w:drawing>
      </w:r>
    </w:p>
    <w:p w:rsidR="001C2BCF" w:rsidRPr="004F3EFD" w:rsidRDefault="001C2BCF" w:rsidP="001C2BCF">
      <w:pPr>
        <w:spacing w:line="240" w:lineRule="auto"/>
        <w:rPr>
          <w:rFonts w:ascii="Times New Roman" w:hAnsi="Times New Roman" w:cs="Times New Roman"/>
          <w:iCs/>
        </w:rPr>
      </w:pPr>
      <w:r w:rsidRPr="00A478A4">
        <w:rPr>
          <w:rFonts w:ascii="Times New Roman" w:hAnsi="Times New Roman" w:cs="Times New Roman"/>
          <w:b/>
          <w:iCs/>
        </w:rPr>
        <w:t>Figure S</w:t>
      </w:r>
      <w:r w:rsidR="007C5E03">
        <w:rPr>
          <w:rFonts w:ascii="Times New Roman" w:hAnsi="Times New Roman" w:cs="Times New Roman"/>
          <w:b/>
          <w:iCs/>
        </w:rPr>
        <w:t>5</w:t>
      </w:r>
      <w:r>
        <w:rPr>
          <w:rFonts w:ascii="Times New Roman" w:hAnsi="Times New Roman" w:cs="Times New Roman"/>
          <w:iCs/>
        </w:rPr>
        <w:t xml:space="preserve"> Measured HFSE (Ti, </w:t>
      </w:r>
      <w:proofErr w:type="spellStart"/>
      <w:r>
        <w:rPr>
          <w:rFonts w:ascii="Times New Roman" w:hAnsi="Times New Roman" w:cs="Times New Roman"/>
          <w:iCs/>
        </w:rPr>
        <w:t>Zr</w:t>
      </w:r>
      <w:proofErr w:type="spellEnd"/>
      <w:r>
        <w:rPr>
          <w:rFonts w:ascii="Times New Roman" w:hAnsi="Times New Roman" w:cs="Times New Roman"/>
          <w:iCs/>
        </w:rPr>
        <w:t xml:space="preserve">, Hf) </w:t>
      </w:r>
      <w:proofErr w:type="spellStart"/>
      <w:r>
        <w:rPr>
          <w:rFonts w:ascii="Times New Roman" w:hAnsi="Times New Roman" w:cs="Times New Roman"/>
          <w:iCs/>
        </w:rPr>
        <w:t>D</w:t>
      </w:r>
      <w:r w:rsidRPr="001C2BCF">
        <w:rPr>
          <w:rFonts w:ascii="Times New Roman" w:hAnsi="Times New Roman" w:cs="Times New Roman"/>
          <w:iCs/>
          <w:vertAlign w:val="superscript"/>
        </w:rPr>
        <w:t>opx</w:t>
      </w:r>
      <w:proofErr w:type="spellEnd"/>
      <w:r>
        <w:rPr>
          <w:rFonts w:ascii="Times New Roman" w:hAnsi="Times New Roman" w:cs="Times New Roman"/>
          <w:iCs/>
          <w:vertAlign w:val="superscript"/>
        </w:rPr>
        <w:t>-melt</w:t>
      </w:r>
      <w:r>
        <w:rPr>
          <w:rFonts w:ascii="Times New Roman" w:hAnsi="Times New Roman" w:cs="Times New Roman"/>
          <w:iCs/>
        </w:rPr>
        <w:t xml:space="preserve"> of this study (pigeonite CHV-E281/82, orthopyroxene CHV-E421) against predicted </w:t>
      </w:r>
      <w:proofErr w:type="spellStart"/>
      <w:r>
        <w:rPr>
          <w:rFonts w:ascii="Times New Roman" w:hAnsi="Times New Roman" w:cs="Times New Roman"/>
          <w:iCs/>
        </w:rPr>
        <w:t>D</w:t>
      </w:r>
      <w:r>
        <w:rPr>
          <w:rFonts w:ascii="Times New Roman" w:hAnsi="Times New Roman" w:cs="Times New Roman"/>
          <w:iCs/>
          <w:vertAlign w:val="superscript"/>
        </w:rPr>
        <w:t>px</w:t>
      </w:r>
      <w:proofErr w:type="spellEnd"/>
      <w:r>
        <w:rPr>
          <w:rFonts w:ascii="Times New Roman" w:hAnsi="Times New Roman" w:cs="Times New Roman"/>
          <w:iCs/>
          <w:vertAlign w:val="superscript"/>
        </w:rPr>
        <w:t>-melt</w:t>
      </w:r>
      <w:r>
        <w:rPr>
          <w:rFonts w:ascii="Times New Roman" w:hAnsi="Times New Roman" w:cs="Times New Roman"/>
          <w:iCs/>
        </w:rPr>
        <w:t xml:space="preserve"> based on </w:t>
      </w:r>
      <w:r w:rsidR="00F97DAE">
        <w:rPr>
          <w:rFonts w:ascii="Times New Roman" w:hAnsi="Times New Roman" w:cs="Times New Roman"/>
          <w:iCs/>
        </w:rPr>
        <w:t>a</w:t>
      </w:r>
      <w:r>
        <w:rPr>
          <w:rFonts w:ascii="Times New Roman" w:hAnsi="Times New Roman" w:cs="Times New Roman"/>
          <w:iCs/>
        </w:rPr>
        <w:t xml:space="preserve"> model including Fe and Mg on the M1 site, Ca and Mg on M2 site, and Al on the tetrahedral site of the pyroxene, as developed by </w:t>
      </w:r>
      <w:r w:rsidR="00DE5251">
        <w:rPr>
          <w:rFonts w:ascii="Times New Roman" w:hAnsi="Times New Roman" w:cs="Times New Roman"/>
          <w:iCs/>
        </w:rPr>
        <w:fldChar w:fldCharType="begin"/>
      </w:r>
      <w:r w:rsidR="00DE5251">
        <w:rPr>
          <w:rFonts w:ascii="Times New Roman" w:hAnsi="Times New Roman" w:cs="Times New Roman"/>
          <w:iCs/>
        </w:rPr>
        <w:instrText xml:space="preserve"> ADDIN ZOTERO_ITEM CSL_CITATION {"citationID":"YZWoCYu5","properties":{"formattedCitation":"(Sun and Liang 2013)","plainCitation":"(Sun and Liang 2013)","noteIndex":0},"citationItems":[{"id":3427,"uris":["http://zotero.org/users/7979564/items/EVVWA9V8"],"itemData":{"id":3427,"type":"article-journal","abstract":"The abundances and distribution of incompatible trace elements in low-Ca pyroxene are important to the interpretation of the thermal and chemical evolution of the lunar magma ocean and cumulate mantle. We conducted high pressure (2GPa) and high temperature (1340–1450°C) experiments to constrain trace elements partitioning between low-Ca pyroxene and a wide range of lunar picritic melt compositions (TiO2=1.6–16.6wt%) under reducing conditions imposed by graphite-lined molybdenum capsules. We show that addition of TiO2 in the melt decreases rare earth element (REE) and Y partition coefficients in low-Ca pyroxene and quantified this effect through a parameterized lattice strain model. Together with published high quality partitioning data of tetravalent high field strength elements (HFSEs) in the literature, we also developed a parameterized lattice strain model for Ti, Hf and Zr partitioning in low-Ca pyroxene. Partition coefficients of REE and HFSE are positively correlated with Al and Ca abundances in low-Ca pyroxene and negatively correlated with temperature. HFSE partition coefficients show an inverse correlation with Fe content in low-Ca pyroxene. As examples of lunar applications, we estimated REE and HFSE partition coefficients in low-Ca pyroxene close to the multiple saturation points of lunar picritic melts, and found small variations of these partition coefficients in low-Ca pyroxene from individual lunar picritic melts. Constant REE and HFSE partition coefficients can be used in melting models exploring the petrogenesis of individual picritic melts. On the other hand, large variations in estimated REE and HFSE partition coefficients for low-Ca pyroxene are expected during lunar magma ocean crystallization, underscoring the significance of temperature-composition dependent REE and HFSE partition coefficients for understanding lunar magma ocean evolution.","container-title":"Geochimica et Cosmochimica Acta","DOI":"10.1016/j.gca.2013.05.036","ISSN":"0016-7037","journalAbbreviation":"Geochim Cosmochim Ac","language":"en","page":"340-358","source":"ScienceDirect","title":"Distribution of REE and HFSE between low-Ca pyroxene and lunar picritic melts around multiple saturation points","volume":"119","author":[{"family":"Sun","given":"Chenguang"},{"family":"Liang","given":"Yan"}],"issued":{"date-parts":[["2013",10,15]]}}}],"schema":"https://github.com/citation-style-language/schema/raw/master/csl-citation.json"} </w:instrText>
      </w:r>
      <w:r w:rsidR="00DE5251">
        <w:rPr>
          <w:rFonts w:ascii="Times New Roman" w:hAnsi="Times New Roman" w:cs="Times New Roman"/>
          <w:iCs/>
        </w:rPr>
        <w:fldChar w:fldCharType="separate"/>
      </w:r>
      <w:r w:rsidR="00DE5251" w:rsidRPr="00DE5251">
        <w:rPr>
          <w:rFonts w:ascii="Times New Roman" w:hAnsi="Times New Roman" w:cs="Times New Roman"/>
        </w:rPr>
        <w:t xml:space="preserve">Sun and Liang </w:t>
      </w:r>
      <w:r w:rsidR="00F97DAE">
        <w:rPr>
          <w:rFonts w:ascii="Times New Roman" w:hAnsi="Times New Roman" w:cs="Times New Roman"/>
        </w:rPr>
        <w:t>(</w:t>
      </w:r>
      <w:r w:rsidR="00DE5251" w:rsidRPr="00DE5251">
        <w:rPr>
          <w:rFonts w:ascii="Times New Roman" w:hAnsi="Times New Roman" w:cs="Times New Roman"/>
        </w:rPr>
        <w:t>2013)</w:t>
      </w:r>
      <w:r w:rsidR="00DE5251">
        <w:rPr>
          <w:rFonts w:ascii="Times New Roman" w:hAnsi="Times New Roman" w:cs="Times New Roman"/>
          <w:iCs/>
        </w:rPr>
        <w:fldChar w:fldCharType="end"/>
      </w:r>
      <w:r>
        <w:rPr>
          <w:rFonts w:ascii="Times New Roman" w:hAnsi="Times New Roman" w:cs="Times New Roman"/>
          <w:iCs/>
        </w:rPr>
        <w:t xml:space="preserve">. </w:t>
      </w:r>
      <w:r w:rsidR="00AE10F8">
        <w:rPr>
          <w:rFonts w:ascii="Times New Roman" w:hAnsi="Times New Roman" w:cs="Times New Roman"/>
          <w:iCs/>
        </w:rPr>
        <w:t xml:space="preserve">The data used for calibrating the model are shown in yellow </w:t>
      </w:r>
      <w:r w:rsidR="00AE10F8">
        <w:rPr>
          <w:rFonts w:ascii="Times New Roman" w:hAnsi="Times New Roman" w:cs="Times New Roman"/>
          <w:iCs/>
        </w:rPr>
        <w:fldChar w:fldCharType="begin"/>
      </w:r>
      <w:r w:rsidR="00AE10F8">
        <w:rPr>
          <w:rFonts w:ascii="Times New Roman" w:hAnsi="Times New Roman" w:cs="Times New Roman"/>
          <w:iCs/>
        </w:rPr>
        <w:instrText xml:space="preserve"> ADDIN ZOTERO_ITEM CSL_CITATION {"citationID":"Gv6zok6p","properties":{"formattedCitation":"(Sun and Liang 2013)","plainCitation":"(Sun and Liang 2013)","noteIndex":0},"citationItems":[{"id":3427,"uris":["http://zotero.org/users/7979564/items/EVVWA9V8"],"itemData":{"id":3427,"type":"article-journal","abstract":"The abundances and distribution of incompatible trace elements in low-Ca pyroxene are important to the interpretation of the thermal and chemical evolution of the lunar magma ocean and cumulate mantle. We conducted high pressure (2GPa) and high temperature (1340–1450°C) experiments to constrain trace elements partitioning between low-Ca pyroxene and a wide range of lunar picritic melt compositions (TiO2=1.6–16.6wt%) under reducing conditions imposed by graphite-lined molybdenum capsules. We show that addition of TiO2 in the melt decreases rare earth element (REE) and Y partition coefficients in low-Ca pyroxene and quantified this effect through a parameterized lattice strain model. Together with published high quality partitioning data of tetravalent high field strength elements (HFSEs) in the literature, we also developed a parameterized lattice strain model for Ti, Hf and Zr partitioning in low-Ca pyroxene. Partition coefficients of REE and HFSE are positively correlated with Al and Ca abundances in low-Ca pyroxene and negatively correlated with temperature. HFSE partition coefficients show an inverse correlation with Fe content in low-Ca pyroxene. As examples of lunar applications, we estimated REE and HFSE partition coefficients in low-Ca pyroxene close to the multiple saturation points of lunar picritic melts, and found small variations of these partition coefficients in low-Ca pyroxene from individual lunar picritic melts. Constant REE and HFSE partition coefficients can be used in melting models exploring the petrogenesis of individual picritic melts. On the other hand, large variations in estimated REE and HFSE partition coefficients for low-Ca pyroxene are expected during lunar magma ocean crystallization, underscoring the significance of temperature-composition dependent REE and HFSE partition coefficients for understanding lunar magma ocean evolution.","container-title":"Geochimica et Cosmochimica Acta","DOI":"10.1016/j.gca.2013.05.036","ISSN":"0016-7037","journalAbbreviation":"Geochim Cosmochim Ac","language":"en","page":"340-358","source":"ScienceDirect","title":"Distribution of REE and HFSE between low-Ca pyroxene and lunar picritic melts around multiple saturation points","volume":"119","author":[{"family":"Sun","given":"Chenguang"},{"family":"Liang","given":"Yan"}],"issued":{"date-parts":[["2013",10,15]]}}}],"schema":"https://github.com/citation-style-language/schema/raw/master/csl-citation.json"} </w:instrText>
      </w:r>
      <w:r w:rsidR="00AE10F8">
        <w:rPr>
          <w:rFonts w:ascii="Times New Roman" w:hAnsi="Times New Roman" w:cs="Times New Roman"/>
          <w:iCs/>
        </w:rPr>
        <w:fldChar w:fldCharType="separate"/>
      </w:r>
      <w:r w:rsidR="00AE10F8" w:rsidRPr="00DE5251">
        <w:rPr>
          <w:rFonts w:ascii="Times New Roman" w:hAnsi="Times New Roman" w:cs="Times New Roman"/>
        </w:rPr>
        <w:t>(Sun and Liang 2013)</w:t>
      </w:r>
      <w:r w:rsidR="00AE10F8">
        <w:rPr>
          <w:rFonts w:ascii="Times New Roman" w:hAnsi="Times New Roman" w:cs="Times New Roman"/>
          <w:iCs/>
        </w:rPr>
        <w:fldChar w:fldCharType="end"/>
      </w:r>
      <w:r w:rsidR="00AE10F8">
        <w:rPr>
          <w:rFonts w:ascii="Times New Roman" w:hAnsi="Times New Roman" w:cs="Times New Roman"/>
          <w:iCs/>
        </w:rPr>
        <w:t xml:space="preserve">. </w:t>
      </w:r>
      <w:r>
        <w:rPr>
          <w:rFonts w:ascii="Times New Roman" w:hAnsi="Times New Roman" w:cs="Times New Roman"/>
          <w:iCs/>
        </w:rPr>
        <w:t xml:space="preserve">The predicted </w:t>
      </w:r>
      <w:proofErr w:type="spellStart"/>
      <w:r>
        <w:rPr>
          <w:rFonts w:ascii="Times New Roman" w:hAnsi="Times New Roman" w:cs="Times New Roman"/>
          <w:iCs/>
        </w:rPr>
        <w:t>D</w:t>
      </w:r>
      <w:r>
        <w:rPr>
          <w:rFonts w:ascii="Times New Roman" w:hAnsi="Times New Roman" w:cs="Times New Roman"/>
          <w:iCs/>
          <w:vertAlign w:val="superscript"/>
        </w:rPr>
        <w:t>px</w:t>
      </w:r>
      <w:proofErr w:type="spellEnd"/>
      <w:r>
        <w:rPr>
          <w:rFonts w:ascii="Times New Roman" w:hAnsi="Times New Roman" w:cs="Times New Roman"/>
          <w:iCs/>
          <w:vertAlign w:val="superscript"/>
        </w:rPr>
        <w:t>-melt</w:t>
      </w:r>
      <w:r>
        <w:rPr>
          <w:rFonts w:ascii="Times New Roman" w:hAnsi="Times New Roman" w:cs="Times New Roman"/>
          <w:iCs/>
        </w:rPr>
        <w:t xml:space="preserve"> overestimate compatibility.</w:t>
      </w:r>
    </w:p>
    <w:p w:rsidR="007C5E03" w:rsidRDefault="007C5E03" w:rsidP="007C5E03">
      <w:pPr>
        <w:spacing w:line="480" w:lineRule="auto"/>
        <w:rPr>
          <w:rFonts w:ascii="Times New Roman" w:hAnsi="Times New Roman" w:cs="Times New Roman"/>
          <w:iCs/>
        </w:rPr>
      </w:pPr>
      <w:r>
        <w:rPr>
          <w:rFonts w:ascii="Times New Roman" w:hAnsi="Times New Roman" w:cs="Times New Roman"/>
          <w:iCs/>
          <w:noProof/>
        </w:rPr>
        <w:drawing>
          <wp:inline distT="0" distB="0" distL="0" distR="0" wp14:anchorId="499F2139" wp14:editId="78CA6058">
            <wp:extent cx="5753100" cy="3784600"/>
            <wp:effectExtent l="0" t="0" r="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784600"/>
                    </a:xfrm>
                    <a:prstGeom prst="rect">
                      <a:avLst/>
                    </a:prstGeom>
                    <a:noFill/>
                    <a:ln>
                      <a:noFill/>
                    </a:ln>
                  </pic:spPr>
                </pic:pic>
              </a:graphicData>
            </a:graphic>
          </wp:inline>
        </w:drawing>
      </w:r>
    </w:p>
    <w:p w:rsidR="007C5E03" w:rsidRDefault="007C5E03" w:rsidP="007C5E03">
      <w:pPr>
        <w:spacing w:line="276" w:lineRule="auto"/>
        <w:rPr>
          <w:rFonts w:ascii="Times New Roman" w:hAnsi="Times New Roman" w:cs="Times New Roman"/>
          <w:iCs/>
        </w:rPr>
      </w:pPr>
      <w:bookmarkStart w:id="0" w:name="_Hlk155952984"/>
      <w:r w:rsidRPr="00F7081C">
        <w:rPr>
          <w:rFonts w:ascii="Times New Roman" w:hAnsi="Times New Roman" w:cs="Times New Roman"/>
          <w:b/>
          <w:iCs/>
        </w:rPr>
        <w:lastRenderedPageBreak/>
        <w:t>Figure S</w:t>
      </w:r>
      <w:r>
        <w:rPr>
          <w:rFonts w:ascii="Times New Roman" w:hAnsi="Times New Roman" w:cs="Times New Roman"/>
          <w:b/>
          <w:iCs/>
        </w:rPr>
        <w:t>6</w:t>
      </w:r>
      <w:r w:rsidRPr="00F7081C">
        <w:rPr>
          <w:rFonts w:ascii="Times New Roman" w:hAnsi="Times New Roman" w:cs="Times New Roman"/>
          <w:b/>
          <w:iCs/>
        </w:rPr>
        <w:t xml:space="preserve"> </w:t>
      </w:r>
      <w:proofErr w:type="spellStart"/>
      <w:r w:rsidRPr="00F7081C">
        <w:rPr>
          <w:rFonts w:ascii="Times New Roman" w:hAnsi="Times New Roman" w:cs="Times New Roman"/>
          <w:iCs/>
        </w:rPr>
        <w:t>Onuma</w:t>
      </w:r>
      <w:proofErr w:type="spellEnd"/>
      <w:r w:rsidRPr="00F7081C">
        <w:rPr>
          <w:rFonts w:ascii="Times New Roman" w:hAnsi="Times New Roman" w:cs="Times New Roman"/>
          <w:iCs/>
        </w:rPr>
        <w:t xml:space="preserve"> diagrams for (a) plagioclase 3+ and 2+ ions and (b) for olivine 3+ ions. </w:t>
      </w:r>
      <w:r>
        <w:rPr>
          <w:rFonts w:ascii="Times New Roman" w:hAnsi="Times New Roman" w:cs="Times New Roman"/>
          <w:iCs/>
        </w:rPr>
        <w:t>Note large errors in (a) for 3+ ions resulting from very low abundances of REE in plagioclase, due to low compatibilities. Fit parameters for r</w:t>
      </w:r>
      <w:r w:rsidRPr="00F7081C">
        <w:rPr>
          <w:rFonts w:ascii="Times New Roman" w:hAnsi="Times New Roman" w:cs="Times New Roman"/>
          <w:iCs/>
          <w:vertAlign w:val="subscript"/>
        </w:rPr>
        <w:t>0</w:t>
      </w:r>
      <w:r>
        <w:rPr>
          <w:rFonts w:ascii="Times New Roman" w:hAnsi="Times New Roman" w:cs="Times New Roman"/>
          <w:iCs/>
        </w:rPr>
        <w:t>, D</w:t>
      </w:r>
      <w:r w:rsidRPr="00F7081C">
        <w:rPr>
          <w:rFonts w:ascii="Times New Roman" w:hAnsi="Times New Roman" w:cs="Times New Roman"/>
          <w:iCs/>
          <w:vertAlign w:val="subscript"/>
        </w:rPr>
        <w:t>0</w:t>
      </w:r>
      <w:r>
        <w:rPr>
          <w:rFonts w:ascii="Times New Roman" w:hAnsi="Times New Roman" w:cs="Times New Roman"/>
          <w:iCs/>
        </w:rPr>
        <w:t>, and E can be found in the supplementary tables</w:t>
      </w:r>
    </w:p>
    <w:bookmarkEnd w:id="0"/>
    <w:p w:rsidR="001C2BCF" w:rsidRDefault="001C2BCF" w:rsidP="00E00EF9">
      <w:pPr>
        <w:spacing w:line="480" w:lineRule="auto"/>
        <w:rPr>
          <w:rFonts w:ascii="Times New Roman" w:hAnsi="Times New Roman" w:cs="Times New Roman"/>
          <w:iCs/>
        </w:rPr>
      </w:pPr>
    </w:p>
    <w:p w:rsidR="00184D78" w:rsidRDefault="00184D78" w:rsidP="00E00EF9">
      <w:pPr>
        <w:spacing w:line="480" w:lineRule="auto"/>
        <w:rPr>
          <w:rFonts w:ascii="Times New Roman" w:hAnsi="Times New Roman" w:cs="Times New Roman"/>
          <w:iCs/>
        </w:rPr>
      </w:pPr>
      <w:r>
        <w:rPr>
          <w:noProof/>
        </w:rPr>
        <w:drawing>
          <wp:inline distT="0" distB="0" distL="0" distR="0" wp14:anchorId="6A86EC40" wp14:editId="55223807">
            <wp:extent cx="5238750" cy="44767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6"/>
                    <pic:cNvPicPr>
                      <a:picLocks noChangeAspect="1" noChangeArrowheads="1"/>
                    </pic:cNvPicPr>
                  </pic:nvPicPr>
                  <pic:blipFill>
                    <a:blip r:embed="rId11"/>
                    <a:stretch>
                      <a:fillRect/>
                    </a:stretch>
                  </pic:blipFill>
                  <pic:spPr bwMode="auto">
                    <a:xfrm>
                      <a:off x="0" y="0"/>
                      <a:ext cx="5238750" cy="4476750"/>
                    </a:xfrm>
                    <a:prstGeom prst="rect">
                      <a:avLst/>
                    </a:prstGeom>
                  </pic:spPr>
                </pic:pic>
              </a:graphicData>
            </a:graphic>
          </wp:inline>
        </w:drawing>
      </w:r>
    </w:p>
    <w:p w:rsidR="00184D78" w:rsidRDefault="00184D78" w:rsidP="00184D78">
      <w:pPr>
        <w:spacing w:line="240" w:lineRule="auto"/>
        <w:rPr>
          <w:rFonts w:ascii="Times New Roman" w:hAnsi="Times New Roman" w:cs="Times New Roman"/>
        </w:rPr>
      </w:pPr>
      <w:r w:rsidRPr="00184D78">
        <w:rPr>
          <w:rFonts w:ascii="Times New Roman" w:hAnsi="Times New Roman" w:cs="Times New Roman"/>
          <w:b/>
          <w:iCs/>
        </w:rPr>
        <w:t>Figure S7</w:t>
      </w:r>
      <w:r>
        <w:rPr>
          <w:rFonts w:ascii="Times New Roman" w:hAnsi="Times New Roman" w:cs="Times New Roman"/>
          <w:iCs/>
        </w:rPr>
        <w:t xml:space="preserve"> </w:t>
      </w:r>
      <w:r>
        <w:rPr>
          <w:rFonts w:ascii="Times New Roman" w:hAnsi="Times New Roman" w:cs="Times New Roman"/>
        </w:rPr>
        <w:t xml:space="preserve">Correlation matrix (Pearson correlation) depicting the linear correlations between the chemical composition of the clinopyroxene (i.e., Al on M1 or the tetrahedral site, Ti on M1, Fe and Mg on M1 or M2, </w:t>
      </w:r>
      <w:proofErr w:type="spellStart"/>
      <w:r>
        <w:rPr>
          <w:rFonts w:ascii="Times New Roman" w:hAnsi="Times New Roman" w:cs="Times New Roman"/>
        </w:rPr>
        <w:t>Q</w:t>
      </w:r>
      <w:r>
        <w:rPr>
          <w:rFonts w:ascii="Times New Roman" w:hAnsi="Times New Roman" w:cs="Times New Roman"/>
          <w:vertAlign w:val="subscript"/>
        </w:rPr>
        <w:t>TiSi</w:t>
      </w:r>
      <w:proofErr w:type="spellEnd"/>
      <w:r>
        <w:rPr>
          <w:rFonts w:ascii="Times New Roman" w:hAnsi="Times New Roman" w:cs="Times New Roman"/>
        </w:rPr>
        <w:t xml:space="preserve"> </w:t>
      </w:r>
      <w:r>
        <w:rPr>
          <w:rFonts w:ascii="Times New Roman" w:hAnsi="Times New Roman" w:cs="Times New Roman"/>
          <w:iCs/>
        </w:rPr>
        <w:t>([TiO</w:t>
      </w:r>
      <w:r>
        <w:rPr>
          <w:rFonts w:ascii="Times New Roman" w:hAnsi="Times New Roman" w:cs="Times New Roman"/>
          <w:iCs/>
          <w:vertAlign w:val="subscript"/>
        </w:rPr>
        <w:t>2</w:t>
      </w:r>
      <w:r>
        <w:rPr>
          <w:rFonts w:ascii="Times New Roman" w:hAnsi="Times New Roman" w:cs="Times New Roman"/>
          <w:iCs/>
          <w:vertAlign w:val="superscript"/>
        </w:rPr>
        <w:t>mineral</w:t>
      </w:r>
      <w:r>
        <w:rPr>
          <w:rFonts w:ascii="Times New Roman" w:hAnsi="Times New Roman" w:cs="Times New Roman"/>
          <w:iCs/>
        </w:rPr>
        <w:t>*SiO</w:t>
      </w:r>
      <w:r>
        <w:rPr>
          <w:rFonts w:ascii="Times New Roman" w:hAnsi="Times New Roman" w:cs="Times New Roman"/>
          <w:iCs/>
          <w:vertAlign w:val="subscript"/>
        </w:rPr>
        <w:t>2</w:t>
      </w:r>
      <w:r>
        <w:rPr>
          <w:rFonts w:ascii="Times New Roman" w:hAnsi="Times New Roman" w:cs="Times New Roman"/>
          <w:iCs/>
          <w:vertAlign w:val="superscript"/>
        </w:rPr>
        <w:t>melt</w:t>
      </w:r>
      <w:r>
        <w:rPr>
          <w:rFonts w:ascii="Times New Roman" w:hAnsi="Times New Roman" w:cs="Times New Roman"/>
          <w:iCs/>
        </w:rPr>
        <w:t>]/[TiO</w:t>
      </w:r>
      <w:r>
        <w:rPr>
          <w:rFonts w:ascii="Times New Roman" w:hAnsi="Times New Roman" w:cs="Times New Roman"/>
          <w:iCs/>
          <w:vertAlign w:val="subscript"/>
        </w:rPr>
        <w:t>2</w:t>
      </w:r>
      <w:r>
        <w:rPr>
          <w:rFonts w:ascii="Times New Roman" w:hAnsi="Times New Roman" w:cs="Times New Roman"/>
          <w:iCs/>
          <w:vertAlign w:val="superscript"/>
        </w:rPr>
        <w:t>melt</w:t>
      </w:r>
      <w:r>
        <w:rPr>
          <w:rFonts w:ascii="Times New Roman" w:hAnsi="Times New Roman" w:cs="Times New Roman"/>
          <w:iCs/>
        </w:rPr>
        <w:t>xSiO</w:t>
      </w:r>
      <w:r>
        <w:rPr>
          <w:rFonts w:ascii="Times New Roman" w:hAnsi="Times New Roman" w:cs="Times New Roman"/>
          <w:iCs/>
          <w:vertAlign w:val="subscript"/>
        </w:rPr>
        <w:t>2</w:t>
      </w:r>
      <w:r>
        <w:rPr>
          <w:rFonts w:ascii="Times New Roman" w:hAnsi="Times New Roman" w:cs="Times New Roman"/>
          <w:iCs/>
          <w:vertAlign w:val="superscript"/>
        </w:rPr>
        <w:t>mineral</w:t>
      </w:r>
      <w:r>
        <w:rPr>
          <w:rFonts w:ascii="Times New Roman" w:hAnsi="Times New Roman" w:cs="Times New Roman"/>
          <w:iCs/>
        </w:rPr>
        <w:t>])</w:t>
      </w:r>
      <w:r>
        <w:rPr>
          <w:rFonts w:ascii="Times New Roman" w:hAnsi="Times New Roman" w:cs="Times New Roman"/>
        </w:rPr>
        <w:t xml:space="preserve">) and the </w:t>
      </w:r>
      <w:proofErr w:type="spellStart"/>
      <w:r>
        <w:rPr>
          <w:rFonts w:ascii="Times New Roman" w:hAnsi="Times New Roman" w:cs="Times New Roman"/>
        </w:rPr>
        <w:t>D</w:t>
      </w:r>
      <w:r>
        <w:rPr>
          <w:rFonts w:ascii="Times New Roman" w:hAnsi="Times New Roman" w:cs="Times New Roman"/>
          <w:vertAlign w:val="superscript"/>
        </w:rPr>
        <w:t>cpx</w:t>
      </w:r>
      <w:proofErr w:type="spellEnd"/>
      <w:r>
        <w:rPr>
          <w:rFonts w:ascii="Times New Roman" w:hAnsi="Times New Roman" w:cs="Times New Roman"/>
          <w:vertAlign w:val="superscript"/>
        </w:rPr>
        <w:t xml:space="preserve">-melt </w:t>
      </w:r>
      <w:r>
        <w:rPr>
          <w:rFonts w:ascii="Times New Roman" w:hAnsi="Times New Roman" w:cs="Times New Roman"/>
        </w:rPr>
        <w:t xml:space="preserve">(La, </w:t>
      </w:r>
      <w:proofErr w:type="spellStart"/>
      <w:r>
        <w:rPr>
          <w:rFonts w:ascii="Times New Roman" w:hAnsi="Times New Roman" w:cs="Times New Roman"/>
        </w:rPr>
        <w:t>Sm</w:t>
      </w:r>
      <w:proofErr w:type="spellEnd"/>
      <w:r>
        <w:rPr>
          <w:rFonts w:ascii="Times New Roman" w:hAnsi="Times New Roman" w:cs="Times New Roman"/>
        </w:rPr>
        <w:t xml:space="preserve">, Nd, Lu, Hf, </w:t>
      </w:r>
      <w:proofErr w:type="spellStart"/>
      <w:r>
        <w:rPr>
          <w:rFonts w:ascii="Times New Roman" w:hAnsi="Times New Roman" w:cs="Times New Roman"/>
        </w:rPr>
        <w:t>Zr</w:t>
      </w:r>
      <w:proofErr w:type="spellEnd"/>
      <w:r>
        <w:rPr>
          <w:rFonts w:ascii="Times New Roman" w:hAnsi="Times New Roman" w:cs="Times New Roman"/>
        </w:rPr>
        <w:t>, Ti, Sr, U, Th). The color scale bar on the right-hand side indicates the correlation: blue indicates a positive correlation (0&lt;R</w:t>
      </w:r>
      <w:r>
        <w:rPr>
          <w:rFonts w:ascii="Times New Roman" w:hAnsi="Times New Roman" w:cs="Times New Roman"/>
          <w:vertAlign w:val="superscript"/>
        </w:rPr>
        <w:t>2</w:t>
      </w:r>
      <w:r>
        <w:rPr>
          <w:rFonts w:ascii="Times New Roman" w:hAnsi="Times New Roman" w:cs="Times New Roman"/>
        </w:rPr>
        <w:t>&lt;1) and brown indicates a negative correlation (1&gt;R</w:t>
      </w:r>
      <w:r>
        <w:rPr>
          <w:rFonts w:ascii="Times New Roman" w:hAnsi="Times New Roman" w:cs="Times New Roman"/>
          <w:vertAlign w:val="superscript"/>
        </w:rPr>
        <w:t>2</w:t>
      </w:r>
      <w:r>
        <w:rPr>
          <w:rFonts w:ascii="Times New Roman" w:hAnsi="Times New Roman" w:cs="Times New Roman"/>
        </w:rPr>
        <w:t xml:space="preserve">&gt;–1). The white color and the palest blueish and brownish colors indicate no or very weak correlations. Note that the diagonal (top left to bottom right) of deep blue squares are self-correlations. An example for strong correlations is shown in the four dark blue fields (surrounded by a black dotted line), indicating very strong correlations between </w:t>
      </w:r>
      <w:proofErr w:type="spellStart"/>
      <w:r>
        <w:rPr>
          <w:rFonts w:ascii="Times New Roman" w:hAnsi="Times New Roman" w:cs="Times New Roman"/>
        </w:rPr>
        <w:t>Q</w:t>
      </w:r>
      <w:r>
        <w:rPr>
          <w:rFonts w:ascii="Times New Roman" w:hAnsi="Times New Roman" w:cs="Times New Roman"/>
          <w:vertAlign w:val="subscript"/>
        </w:rPr>
        <w:t>TiSi</w:t>
      </w:r>
      <w:proofErr w:type="spellEnd"/>
      <w:r>
        <w:rPr>
          <w:rFonts w:ascii="Times New Roman" w:hAnsi="Times New Roman" w:cs="Times New Roman"/>
        </w:rPr>
        <w:t xml:space="preserve"> and D</w:t>
      </w:r>
      <w:r>
        <w:rPr>
          <w:rFonts w:ascii="Times New Roman" w:hAnsi="Times New Roman" w:cs="Times New Roman"/>
          <w:vertAlign w:val="subscript"/>
        </w:rPr>
        <w:t>HFSE</w:t>
      </w:r>
      <w:r>
        <w:rPr>
          <w:rFonts w:ascii="Times New Roman" w:hAnsi="Times New Roman" w:cs="Times New Roman"/>
        </w:rPr>
        <w:t xml:space="preserve"> (Fig. </w:t>
      </w:r>
      <w:r w:rsidR="0089137F">
        <w:rPr>
          <w:rFonts w:ascii="Times New Roman" w:hAnsi="Times New Roman" w:cs="Times New Roman"/>
        </w:rPr>
        <w:t>4</w:t>
      </w:r>
      <w:r>
        <w:rPr>
          <w:rFonts w:ascii="Times New Roman" w:hAnsi="Times New Roman" w:cs="Times New Roman"/>
        </w:rPr>
        <w:t xml:space="preserve"> a, b)</w:t>
      </w:r>
    </w:p>
    <w:p w:rsidR="00184D78" w:rsidRPr="00F7081C" w:rsidRDefault="00184D78" w:rsidP="00E00EF9">
      <w:pPr>
        <w:spacing w:line="480" w:lineRule="auto"/>
        <w:rPr>
          <w:rFonts w:ascii="Times New Roman" w:hAnsi="Times New Roman" w:cs="Times New Roman"/>
          <w:iCs/>
        </w:rPr>
      </w:pPr>
      <w:bookmarkStart w:id="1" w:name="_GoBack"/>
      <w:bookmarkEnd w:id="1"/>
    </w:p>
    <w:p w:rsidR="00DE5251" w:rsidRPr="00DE5251" w:rsidRDefault="000717C2" w:rsidP="00DE5251">
      <w:pPr>
        <w:spacing w:line="480" w:lineRule="auto"/>
        <w:rPr>
          <w:rFonts w:ascii="Times New Roman" w:hAnsi="Times New Roman" w:cs="Times New Roman"/>
          <w:iCs/>
        </w:rPr>
      </w:pPr>
      <w:r>
        <w:rPr>
          <w:rFonts w:ascii="Times New Roman" w:hAnsi="Times New Roman" w:cs="Times New Roman"/>
          <w:iCs/>
        </w:rPr>
        <w:t>References:</w:t>
      </w:r>
    </w:p>
    <w:p w:rsidR="00FF11D2" w:rsidRPr="00FF11D2" w:rsidRDefault="000717C2" w:rsidP="00FF11D2">
      <w:pPr>
        <w:pStyle w:val="Literaturverzeichnis"/>
        <w:rPr>
          <w:rFonts w:ascii="Times New Roman" w:hAnsi="Times New Roman" w:cs="Times New Roman"/>
        </w:rPr>
      </w:pPr>
      <w:r>
        <w:rPr>
          <w:iCs/>
        </w:rPr>
        <w:fldChar w:fldCharType="begin"/>
      </w:r>
      <w:r w:rsidR="004E094E">
        <w:rPr>
          <w:iCs/>
        </w:rPr>
        <w:instrText xml:space="preserve"> ADDIN ZOTERO_BIBL {"uncited":[],"omitted":[],"custom":[]} CSL_BIBLIOGRAPHY </w:instrText>
      </w:r>
      <w:r>
        <w:rPr>
          <w:iCs/>
        </w:rPr>
        <w:fldChar w:fldCharType="separate"/>
      </w:r>
      <w:r w:rsidR="00FF11D2" w:rsidRPr="00FF11D2">
        <w:rPr>
          <w:rFonts w:ascii="Times New Roman" w:hAnsi="Times New Roman" w:cs="Times New Roman"/>
        </w:rPr>
        <w:t>Brophy JG, Ota T, Kunihro T, et al (2011) In situ ion-microprobe determination of trace element partition coefficients for hornblende, plagioclase, orthopyroxene, and apatite in equilibrium with natural rhyolitic glass, Little Glass Mountain Rhyolite, California. American Mineralogist 96:1838–1850. https://doi.org/10.2138/am.2011.3857</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lastRenderedPageBreak/>
        <w:t>Dygert N, Draper DS, Rapp JF, et al (2020) Experimental determinations of trace element partitioning between plagioclase, pigeonite, olivine, and lunar basaltic melts and an fO2 dependent model for plagioclase-melt Eu partitioning. Geochim Cosmochim Ac 279:258–280. https://doi.org/10.1016/j.gca.2020.03.037</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Dygert N, Liang Y, Hess P (2013) The importance of melt TiO2 in affecting major and trace element partitioning between Fe–Ti oxides and lunar picritic glass melts. Geochim Cosmochim Ac 106:134–151. https://doi.org/10.1016/j.gca.2012.12.005</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Dygert N, Liang Y, Sun C, Hess P (2014) An experimental study of trace element partitioning between augite and Fe-rich basalts. Geochim Cosmochim Ac 132:170–186. https://doi.org/10.1016/j.gca.2014.01.042</w:t>
      </w:r>
    </w:p>
    <w:p w:rsidR="00FF11D2" w:rsidRPr="00FF11D2" w:rsidRDefault="00FF11D2" w:rsidP="00FF11D2">
      <w:pPr>
        <w:pStyle w:val="Literaturverzeichnis"/>
        <w:rPr>
          <w:rFonts w:ascii="Times New Roman" w:hAnsi="Times New Roman" w:cs="Times New Roman"/>
          <w:lang w:val="pt-PT"/>
        </w:rPr>
      </w:pPr>
      <w:r w:rsidRPr="00FF11D2">
        <w:rPr>
          <w:rFonts w:ascii="Times New Roman" w:hAnsi="Times New Roman" w:cs="Times New Roman"/>
        </w:rPr>
        <w:t xml:space="preserve">Dygert N, Liang Y, Sun C, Hess P (2015) Corrigendum to ‘An experimental study of trace element partitioning between augite and Fe-rich basalts’ [Geochim. </w:t>
      </w:r>
      <w:r w:rsidRPr="00FF11D2">
        <w:rPr>
          <w:rFonts w:ascii="Times New Roman" w:hAnsi="Times New Roman" w:cs="Times New Roman"/>
          <w:lang w:val="pt-PT"/>
        </w:rPr>
        <w:t>Cosmochim. Acta 132 (2014) 170–186]. Geochim Cosmochim Ac 149:281–283. https://doi.org/10.1016/j.gca.2014.09.013</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Elardo SM, Draper DS, Shearer CK (2011) Lunar Magma Ocean crystallization revisited: Bulk composition, early cumulate mineralogy, and the source regions of the highlands Mg-suite. Geochim Cosmochim Ac 75:3024–3045. https://doi.org/10.1016/j.gca.2011.02.033</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Fedele L, Lustrino M, Melluso L, et al (2015) Trace-element partitioning between plagioclase, alkali feldspar, Ti-magnetite, biotite, apatite, and evolved potassic liquids from Campi Flegrei (Southern Italy). American Mineralogist 100:233–249. https://doi.org/10.2138/am-2015-4995</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Johnson TE, Morrissey LJ, Nemchin AA, et al (2021) The phases of the Moon: Modelling crystallisation of the lunar magma ocean through equilibrium thermodynamics. Earth Planet Sci Lett 556:116721. https://doi.org/10.1016/j.epsl.2020.116721</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Klemme S, Günther D, Hametner K, et al (2006) The partitioning of trace elements between ilmenite, ulvospinel, armalcolite and silicate melts with implications for the early differentiation of the moon. Chem Geol 234:251–263. https://doi.org/10.1016/j.chemgeo.2006.05.005</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McDade P, Blundy JD, Wood BJ (2003) Trace element partitioning on the Tinaquillo Lherzolite solidus at 1.5GPa. Phys Earth Planet In 139:129–147. https://doi.org/10.1016/S0031-9201(03)00149-3</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Nash WP, Crecraft HR (1985) Partition coefficients for trace elements in silicic magmas. Geochimica et Cosmochimica Acta 49:2309–2322. https://doi.org/10.1016/0016-7037(85)90231-5</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Neumann H, Mead J, Vitaliano CJ (1954) Trace element variation during fractional crystallization as calculated from the distribution law. Geochim Cosmochim Ac 6:90–99. https://doi.org/10.1016/0016-7037(54)90018-6</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Prowatke S, Klemme S (2006) Trace element partitioning between apatite and silicate melts. Geochim Cosmochim Ac 70:4513–4527</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Shaw DM (1970) Trace element fractionation during anatexis. Geochimica et Cosmochimica Acta 34:237–243. https://doi.org/10.1016/0016-7037(70)90009-8</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Snape JF, Nemchin AA, Johnson T, et al (2022) Experimental constraints on the long-lived radiogenic isotope evolution of the Moon. Geochim Cosmochim Ac 326:119–148. https://doi.org/10.1016/j.gca.2022.04.008</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t>Sun C, Liang Y (2013) Distribution of REE and HFSE between low-Ca pyroxene and lunar picritic melts around multiple saturation points. Geochim Cosmochim Ac 119:340–358. https://doi.org/10.1016/j.gca.2013.05.036</w:t>
      </w:r>
    </w:p>
    <w:p w:rsidR="00FF11D2" w:rsidRPr="00FF11D2" w:rsidRDefault="00FF11D2" w:rsidP="00FF11D2">
      <w:pPr>
        <w:pStyle w:val="Literaturverzeichnis"/>
        <w:rPr>
          <w:rFonts w:ascii="Times New Roman" w:hAnsi="Times New Roman" w:cs="Times New Roman"/>
        </w:rPr>
      </w:pPr>
      <w:r w:rsidRPr="00FF11D2">
        <w:rPr>
          <w:rFonts w:ascii="Times New Roman" w:hAnsi="Times New Roman" w:cs="Times New Roman"/>
        </w:rPr>
        <w:lastRenderedPageBreak/>
        <w:t>Wijbrans CH, Klemme S, Berndt J, Vollmer C (2015) Experimental determination of trace element partition coefficients between spinel and silicate melt: the influence of chemical composition and oxygen fugacity. Contrib Mineral Petrol 169:45. https://doi.org/10.1007/s00410-015-1128-5</w:t>
      </w:r>
    </w:p>
    <w:p w:rsidR="00C73604" w:rsidRPr="000717C2" w:rsidRDefault="000717C2" w:rsidP="000717C2">
      <w:pPr>
        <w:spacing w:line="480" w:lineRule="auto"/>
        <w:rPr>
          <w:rFonts w:ascii="Times New Roman" w:hAnsi="Times New Roman" w:cs="Times New Roman"/>
          <w:iCs/>
        </w:rPr>
      </w:pPr>
      <w:r>
        <w:rPr>
          <w:rFonts w:ascii="Times New Roman" w:hAnsi="Times New Roman" w:cs="Times New Roman"/>
          <w:iCs/>
        </w:rPr>
        <w:fldChar w:fldCharType="end"/>
      </w:r>
    </w:p>
    <w:sectPr w:rsidR="00C73604" w:rsidRPr="000717C2" w:rsidSect="009B62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366920"/>
    <w:multiLevelType w:val="hybridMultilevel"/>
    <w:tmpl w:val="9B9EADCA"/>
    <w:lvl w:ilvl="0" w:tplc="1E26DCF8">
      <w:start w:val="1"/>
      <w:numFmt w:val="decimal"/>
      <w:lvlText w:val="(%1)"/>
      <w:lvlJc w:val="left"/>
      <w:pPr>
        <w:ind w:left="720" w:hanging="360"/>
      </w:pPr>
      <w:rPr>
        <w:rFonts w:eastAsiaTheme="minorEastAsia"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4B"/>
    <w:rsid w:val="00046E0E"/>
    <w:rsid w:val="000717C2"/>
    <w:rsid w:val="0015305C"/>
    <w:rsid w:val="00184D78"/>
    <w:rsid w:val="001A192F"/>
    <w:rsid w:val="001A1A49"/>
    <w:rsid w:val="001A42D9"/>
    <w:rsid w:val="001C2BCF"/>
    <w:rsid w:val="001C2C5C"/>
    <w:rsid w:val="00251F4B"/>
    <w:rsid w:val="002A506E"/>
    <w:rsid w:val="0034302C"/>
    <w:rsid w:val="003C00AE"/>
    <w:rsid w:val="00454C13"/>
    <w:rsid w:val="004B37F3"/>
    <w:rsid w:val="004E094E"/>
    <w:rsid w:val="004F3EFD"/>
    <w:rsid w:val="005349C5"/>
    <w:rsid w:val="0056294B"/>
    <w:rsid w:val="006C133B"/>
    <w:rsid w:val="00707C46"/>
    <w:rsid w:val="00737983"/>
    <w:rsid w:val="007C1AA3"/>
    <w:rsid w:val="007C5E03"/>
    <w:rsid w:val="007E074F"/>
    <w:rsid w:val="00803B29"/>
    <w:rsid w:val="0089137F"/>
    <w:rsid w:val="00894D0A"/>
    <w:rsid w:val="00923DA3"/>
    <w:rsid w:val="009264A8"/>
    <w:rsid w:val="00987E0B"/>
    <w:rsid w:val="009B628F"/>
    <w:rsid w:val="009E74EA"/>
    <w:rsid w:val="00A478A4"/>
    <w:rsid w:val="00A71DDA"/>
    <w:rsid w:val="00AE10F8"/>
    <w:rsid w:val="00BA0CE7"/>
    <w:rsid w:val="00C013B0"/>
    <w:rsid w:val="00C55AE4"/>
    <w:rsid w:val="00C73604"/>
    <w:rsid w:val="00CA0E47"/>
    <w:rsid w:val="00CE0BDC"/>
    <w:rsid w:val="00D077F6"/>
    <w:rsid w:val="00D44978"/>
    <w:rsid w:val="00D7671A"/>
    <w:rsid w:val="00D97743"/>
    <w:rsid w:val="00DE5251"/>
    <w:rsid w:val="00E00EF9"/>
    <w:rsid w:val="00EB41EA"/>
    <w:rsid w:val="00EB6A19"/>
    <w:rsid w:val="00EE0CF4"/>
    <w:rsid w:val="00F7081C"/>
    <w:rsid w:val="00F8528F"/>
    <w:rsid w:val="00F97DAE"/>
    <w:rsid w:val="00FF11D2"/>
    <w:rsid w:val="00FF15A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04C25"/>
  <w15:chartTrackingRefBased/>
  <w15:docId w15:val="{2531600D-E1F4-43E5-A175-35868D431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251F4B"/>
    <w:rPr>
      <w:sz w:val="16"/>
      <w:szCs w:val="16"/>
    </w:rPr>
  </w:style>
  <w:style w:type="paragraph" w:styleId="Kommentartext">
    <w:name w:val="annotation text"/>
    <w:basedOn w:val="Standard"/>
    <w:link w:val="KommentartextZchn"/>
    <w:uiPriority w:val="99"/>
    <w:semiHidden/>
    <w:unhideWhenUsed/>
    <w:rsid w:val="00251F4B"/>
    <w:pPr>
      <w:suppressAutoHyphens/>
      <w:spacing w:line="240" w:lineRule="auto"/>
    </w:pPr>
    <w:rPr>
      <w:sz w:val="20"/>
      <w:szCs w:val="20"/>
    </w:rPr>
  </w:style>
  <w:style w:type="character" w:customStyle="1" w:styleId="KommentartextZchn">
    <w:name w:val="Kommentartext Zchn"/>
    <w:basedOn w:val="Absatz-Standardschriftart"/>
    <w:link w:val="Kommentartext"/>
    <w:uiPriority w:val="99"/>
    <w:semiHidden/>
    <w:rsid w:val="00251F4B"/>
    <w:rPr>
      <w:sz w:val="20"/>
      <w:szCs w:val="20"/>
    </w:rPr>
  </w:style>
  <w:style w:type="paragraph" w:styleId="Sprechblasentext">
    <w:name w:val="Balloon Text"/>
    <w:basedOn w:val="Standard"/>
    <w:link w:val="SprechblasentextZchn"/>
    <w:uiPriority w:val="99"/>
    <w:semiHidden/>
    <w:unhideWhenUsed/>
    <w:rsid w:val="00251F4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51F4B"/>
    <w:rPr>
      <w:rFonts w:ascii="Segoe UI" w:hAnsi="Segoe UI" w:cs="Segoe UI"/>
      <w:sz w:val="18"/>
      <w:szCs w:val="18"/>
    </w:rPr>
  </w:style>
  <w:style w:type="paragraph" w:styleId="Literaturverzeichnis">
    <w:name w:val="Bibliography"/>
    <w:basedOn w:val="Standard"/>
    <w:next w:val="Standard"/>
    <w:uiPriority w:val="37"/>
    <w:unhideWhenUsed/>
    <w:rsid w:val="000717C2"/>
    <w:pPr>
      <w:spacing w:after="240" w:line="240" w:lineRule="auto"/>
      <w:ind w:left="720" w:hanging="720"/>
    </w:pPr>
  </w:style>
  <w:style w:type="character" w:styleId="Platzhaltertext">
    <w:name w:val="Placeholder Text"/>
    <w:basedOn w:val="Absatz-Standardschriftart"/>
    <w:uiPriority w:val="99"/>
    <w:semiHidden/>
    <w:rsid w:val="00D7671A"/>
    <w:rPr>
      <w:color w:val="808080"/>
    </w:rPr>
  </w:style>
  <w:style w:type="paragraph" w:styleId="Listenabsatz">
    <w:name w:val="List Paragraph"/>
    <w:basedOn w:val="Standard"/>
    <w:uiPriority w:val="34"/>
    <w:qFormat/>
    <w:rsid w:val="009E74EA"/>
    <w:pPr>
      <w:ind w:left="720"/>
      <w:contextualSpacing/>
    </w:pPr>
  </w:style>
  <w:style w:type="character" w:customStyle="1" w:styleId="code">
    <w:name w:val="code"/>
    <w:basedOn w:val="Absatz-Standardschriftart"/>
    <w:qFormat/>
    <w:rsid w:val="00E00EF9"/>
  </w:style>
  <w:style w:type="paragraph" w:styleId="StandardWeb">
    <w:name w:val="Normal (Web)"/>
    <w:basedOn w:val="Standard"/>
    <w:uiPriority w:val="99"/>
    <w:semiHidden/>
    <w:unhideWhenUsed/>
    <w:rsid w:val="001C2BCF"/>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38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Sun &amp; Liang2012</a:t>
            </a:r>
          </a:p>
        </c:rich>
      </c:tx>
      <c:overlay val="0"/>
      <c:spPr>
        <a:noFill/>
        <a:ln>
          <a:noFill/>
        </a:ln>
        <a:effectLst/>
      </c:spPr>
    </c:title>
    <c:autoTitleDeleted val="0"/>
    <c:plotArea>
      <c:layout/>
      <c:scatterChart>
        <c:scatterStyle val="lineMarker"/>
        <c:varyColors val="0"/>
        <c:ser>
          <c:idx val="1"/>
          <c:order val="0"/>
          <c:tx>
            <c:strRef>
              <c:f>Tabelle1!$A$3</c:f>
              <c:strCache>
                <c:ptCount val="1"/>
                <c:pt idx="0">
                  <c:v>CHV-E154 cpx</c:v>
                </c:pt>
              </c:strCache>
            </c:strRef>
          </c:tx>
          <c:spPr>
            <a:ln w="28575">
              <a:noFill/>
            </a:ln>
          </c:spPr>
          <c:marker>
            <c:spPr>
              <a:noFill/>
              <a:ln w="12700">
                <a:solidFill>
                  <a:schemeClr val="accent4">
                    <a:lumMod val="60000"/>
                    <a:lumOff val="40000"/>
                  </a:schemeClr>
                </a:solidFill>
              </a:ln>
            </c:spPr>
          </c:marker>
          <c:errBars>
            <c:errDir val="x"/>
            <c:errBarType val="both"/>
            <c:errValType val="cust"/>
            <c:noEndCap val="0"/>
            <c:plus>
              <c:numRef>
                <c:f>Tabelle1!$R$16:$AF$16</c:f>
                <c:numCache>
                  <c:formatCode>General</c:formatCode>
                  <c:ptCount val="15"/>
                  <c:pt idx="0">
                    <c:v>1.0695837317810696E-2</c:v>
                  </c:pt>
                  <c:pt idx="1">
                    <c:v>1.8923015522708857E-2</c:v>
                  </c:pt>
                  <c:pt idx="2">
                    <c:v>2.960113308781942E-2</c:v>
                  </c:pt>
                  <c:pt idx="3">
                    <c:v>3.0936556389712752E-2</c:v>
                  </c:pt>
                  <c:pt idx="4">
                    <c:v>5.6561678919137749E-2</c:v>
                  </c:pt>
                  <c:pt idx="5">
                    <c:v>2.5057741238552211E-2</c:v>
                  </c:pt>
                  <c:pt idx="6">
                    <c:v>5.8329943124289164E-2</c:v>
                  </c:pt>
                  <c:pt idx="7">
                    <c:v>5.4997362472063924E-2</c:v>
                  </c:pt>
                  <c:pt idx="8">
                    <c:v>5.5186451099662075E-2</c:v>
                  </c:pt>
                  <c:pt idx="9">
                    <c:v>5.1087494922567644E-2</c:v>
                  </c:pt>
                  <c:pt idx="10">
                    <c:v>5.6863188770139385E-2</c:v>
                  </c:pt>
                  <c:pt idx="11">
                    <c:v>5.1935835900358572E-2</c:v>
                  </c:pt>
                  <c:pt idx="12">
                    <c:v>5.1108057803433568E-2</c:v>
                  </c:pt>
                  <c:pt idx="13">
                    <c:v>5.4160845477981369E-2</c:v>
                  </c:pt>
                  <c:pt idx="14">
                    <c:v>4.9237663643826493E-2</c:v>
                  </c:pt>
                </c:numCache>
              </c:numRef>
            </c:plus>
            <c:minus>
              <c:numRef>
                <c:f>Tabelle1!$R$16:$AF$16</c:f>
                <c:numCache>
                  <c:formatCode>General</c:formatCode>
                  <c:ptCount val="15"/>
                  <c:pt idx="0">
                    <c:v>1.0695837317810696E-2</c:v>
                  </c:pt>
                  <c:pt idx="1">
                    <c:v>1.8923015522708857E-2</c:v>
                  </c:pt>
                  <c:pt idx="2">
                    <c:v>2.960113308781942E-2</c:v>
                  </c:pt>
                  <c:pt idx="3">
                    <c:v>3.0936556389712752E-2</c:v>
                  </c:pt>
                  <c:pt idx="4">
                    <c:v>5.6561678919137749E-2</c:v>
                  </c:pt>
                  <c:pt idx="5">
                    <c:v>2.5057741238552211E-2</c:v>
                  </c:pt>
                  <c:pt idx="6">
                    <c:v>5.8329943124289164E-2</c:v>
                  </c:pt>
                  <c:pt idx="7">
                    <c:v>5.4997362472063924E-2</c:v>
                  </c:pt>
                  <c:pt idx="8">
                    <c:v>5.5186451099662075E-2</c:v>
                  </c:pt>
                  <c:pt idx="9">
                    <c:v>5.1087494922567644E-2</c:v>
                  </c:pt>
                  <c:pt idx="10">
                    <c:v>5.6863188770139385E-2</c:v>
                  </c:pt>
                  <c:pt idx="11">
                    <c:v>5.1935835900358572E-2</c:v>
                  </c:pt>
                  <c:pt idx="12">
                    <c:v>5.1108057803433568E-2</c:v>
                  </c:pt>
                  <c:pt idx="13">
                    <c:v>5.4160845477981369E-2</c:v>
                  </c:pt>
                  <c:pt idx="14">
                    <c:v>4.9237663643826493E-2</c:v>
                  </c:pt>
                </c:numCache>
              </c:numRef>
            </c:minus>
          </c:errBars>
          <c:errBars>
            <c:errDir val="y"/>
            <c:errBarType val="both"/>
            <c:errValType val="fixedVal"/>
            <c:noEndCap val="0"/>
            <c:val val="0"/>
          </c:errBars>
          <c:xVal>
            <c:numRef>
              <c:f>Tabelle1!$B$16:$P$16</c:f>
              <c:numCache>
                <c:formatCode>General</c:formatCode>
                <c:ptCount val="15"/>
                <c:pt idx="0">
                  <c:v>7.0236023493582767E-2</c:v>
                </c:pt>
                <c:pt idx="1">
                  <c:v>0.11570507640647165</c:v>
                </c:pt>
                <c:pt idx="2">
                  <c:v>0.16962094395280236</c:v>
                </c:pt>
                <c:pt idx="3">
                  <c:v>0.21905957608546225</c:v>
                </c:pt>
                <c:pt idx="4">
                  <c:v>0.3087154357717885</c:v>
                </c:pt>
                <c:pt idx="5">
                  <c:v>0.19093353822512485</c:v>
                </c:pt>
                <c:pt idx="6">
                  <c:v>0.34622563251762756</c:v>
                </c:pt>
                <c:pt idx="7">
                  <c:v>0.3559115019542155</c:v>
                </c:pt>
                <c:pt idx="8">
                  <c:v>0.36130247578040897</c:v>
                </c:pt>
                <c:pt idx="9">
                  <c:v>0.3276483730395735</c:v>
                </c:pt>
                <c:pt idx="10">
                  <c:v>0.34994150580763772</c:v>
                </c:pt>
                <c:pt idx="11">
                  <c:v>0.34198741224885026</c:v>
                </c:pt>
                <c:pt idx="12">
                  <c:v>0.31828430319948464</c:v>
                </c:pt>
                <c:pt idx="13">
                  <c:v>0.3083804143126177</c:v>
                </c:pt>
                <c:pt idx="14">
                  <c:v>0.329308909242298</c:v>
                </c:pt>
              </c:numCache>
            </c:numRef>
          </c:xVal>
          <c:yVal>
            <c:numRef>
              <c:f>Tabelle1!$B$3:$P$3</c:f>
              <c:numCache>
                <c:formatCode>General</c:formatCode>
                <c:ptCount val="15"/>
                <c:pt idx="0">
                  <c:v>0.10458373520138112</c:v>
                </c:pt>
                <c:pt idx="1">
                  <c:v>0.16948582939340415</c:v>
                </c:pt>
                <c:pt idx="2">
                  <c:v>0.25268538917270394</c:v>
                </c:pt>
                <c:pt idx="3">
                  <c:v>0.34737388909494887</c:v>
                </c:pt>
                <c:pt idx="4">
                  <c:v>0.50327793328226345</c:v>
                </c:pt>
                <c:pt idx="5">
                  <c:v>0.54934112271130364</c:v>
                </c:pt>
                <c:pt idx="6">
                  <c:v>0.57454487294781575</c:v>
                </c:pt>
                <c:pt idx="7">
                  <c:v>0.57636471061309047</c:v>
                </c:pt>
                <c:pt idx="8">
                  <c:v>0.55514490973958242</c:v>
                </c:pt>
                <c:pt idx="9">
                  <c:v>0.53185535253651495</c:v>
                </c:pt>
                <c:pt idx="10">
                  <c:v>0.51769496415945315</c:v>
                </c:pt>
                <c:pt idx="11">
                  <c:v>0.47171269607231892</c:v>
                </c:pt>
                <c:pt idx="12">
                  <c:v>0.4233849503082191</c:v>
                </c:pt>
                <c:pt idx="13">
                  <c:v>0.37699860914207189</c:v>
                </c:pt>
                <c:pt idx="14">
                  <c:v>0.33510985536134497</c:v>
                </c:pt>
              </c:numCache>
            </c:numRef>
          </c:yVal>
          <c:smooth val="0"/>
          <c:extLst>
            <c:ext xmlns:c16="http://schemas.microsoft.com/office/drawing/2014/chart" uri="{C3380CC4-5D6E-409C-BE32-E72D297353CC}">
              <c16:uniqueId val="{00000000-3B0C-4A4E-B798-6948CF1E298E}"/>
            </c:ext>
          </c:extLst>
        </c:ser>
        <c:ser>
          <c:idx val="2"/>
          <c:order val="1"/>
          <c:tx>
            <c:strRef>
              <c:f>Tabelle1!$A$4</c:f>
              <c:strCache>
                <c:ptCount val="1"/>
                <c:pt idx="0">
                  <c:v>CHV-E156 cpx</c:v>
                </c:pt>
              </c:strCache>
            </c:strRef>
          </c:tx>
          <c:spPr>
            <a:ln w="28575" cap="rnd">
              <a:noFill/>
              <a:round/>
            </a:ln>
            <a:effectLst/>
          </c:spPr>
          <c:marker>
            <c:symbol val="square"/>
            <c:size val="7"/>
            <c:spPr>
              <a:noFill/>
              <a:ln w="12700"/>
            </c:spPr>
          </c:marker>
          <c:errBars>
            <c:errDir val="x"/>
            <c:errBarType val="both"/>
            <c:errValType val="cust"/>
            <c:noEndCap val="0"/>
            <c:plus>
              <c:numRef>
                <c:f>Tabelle1!$R$18:$AF$18</c:f>
                <c:numCache>
                  <c:formatCode>General</c:formatCode>
                  <c:ptCount val="15"/>
                  <c:pt idx="0">
                    <c:v>8.8069745956744962E-3</c:v>
                  </c:pt>
                  <c:pt idx="1">
                    <c:v>1.4395070805558163E-2</c:v>
                  </c:pt>
                  <c:pt idx="2">
                    <c:v>2.0773730655666959E-2</c:v>
                  </c:pt>
                  <c:pt idx="3">
                    <c:v>2.2639542911800561E-2</c:v>
                  </c:pt>
                  <c:pt idx="4">
                    <c:v>3.7881948393446475E-2</c:v>
                  </c:pt>
                  <c:pt idx="5">
                    <c:v>2.7315887068825533E-2</c:v>
                  </c:pt>
                  <c:pt idx="6">
                    <c:v>4.4778609116555228E-2</c:v>
                  </c:pt>
                  <c:pt idx="7">
                    <c:v>3.2539816781077313E-2</c:v>
                  </c:pt>
                  <c:pt idx="8">
                    <c:v>3.3196442002683971E-2</c:v>
                  </c:pt>
                  <c:pt idx="9">
                    <c:v>3.0492374513094351E-2</c:v>
                  </c:pt>
                  <c:pt idx="10">
                    <c:v>3.5153490722315196E-2</c:v>
                  </c:pt>
                  <c:pt idx="11">
                    <c:v>3.1213717440613069E-2</c:v>
                  </c:pt>
                  <c:pt idx="12">
                    <c:v>2.6522350270125856E-2</c:v>
                  </c:pt>
                  <c:pt idx="13">
                    <c:v>4.0108732053177311E-2</c:v>
                  </c:pt>
                  <c:pt idx="14">
                    <c:v>3.0980465595858583E-2</c:v>
                  </c:pt>
                </c:numCache>
              </c:numRef>
            </c:plus>
            <c:minus>
              <c:numRef>
                <c:f>Tabelle1!$R$18:$AF$18</c:f>
                <c:numCache>
                  <c:formatCode>General</c:formatCode>
                  <c:ptCount val="15"/>
                  <c:pt idx="0">
                    <c:v>8.8069745956744962E-3</c:v>
                  </c:pt>
                  <c:pt idx="1">
                    <c:v>1.4395070805558163E-2</c:v>
                  </c:pt>
                  <c:pt idx="2">
                    <c:v>2.0773730655666959E-2</c:v>
                  </c:pt>
                  <c:pt idx="3">
                    <c:v>2.2639542911800561E-2</c:v>
                  </c:pt>
                  <c:pt idx="4">
                    <c:v>3.7881948393446475E-2</c:v>
                  </c:pt>
                  <c:pt idx="5">
                    <c:v>2.7315887068825533E-2</c:v>
                  </c:pt>
                  <c:pt idx="6">
                    <c:v>4.4778609116555228E-2</c:v>
                  </c:pt>
                  <c:pt idx="7">
                    <c:v>3.2539816781077313E-2</c:v>
                  </c:pt>
                  <c:pt idx="8">
                    <c:v>3.3196442002683971E-2</c:v>
                  </c:pt>
                  <c:pt idx="9">
                    <c:v>3.0492374513094351E-2</c:v>
                  </c:pt>
                  <c:pt idx="10">
                    <c:v>3.5153490722315196E-2</c:v>
                  </c:pt>
                  <c:pt idx="11">
                    <c:v>3.1213717440613069E-2</c:v>
                  </c:pt>
                  <c:pt idx="12">
                    <c:v>2.6522350270125856E-2</c:v>
                  </c:pt>
                  <c:pt idx="13">
                    <c:v>4.0108732053177311E-2</c:v>
                  </c:pt>
                  <c:pt idx="14">
                    <c:v>3.0980465595858583E-2</c:v>
                  </c:pt>
                </c:numCache>
              </c:numRef>
            </c:minus>
            <c:spPr>
              <a:noFill/>
              <a:ln w="9525" cap="flat" cmpd="sng" algn="ctr">
                <a:solidFill>
                  <a:schemeClr val="tx1">
                    <a:lumMod val="65000"/>
                    <a:lumOff val="35000"/>
                  </a:schemeClr>
                </a:solidFill>
                <a:round/>
              </a:ln>
              <a:effectLst/>
            </c:spPr>
          </c:errBars>
          <c:errBars>
            <c:errDir val="y"/>
            <c:errBarType val="both"/>
            <c:errValType val="fixedVal"/>
            <c:noEndCap val="0"/>
            <c:val val="0"/>
            <c:spPr>
              <a:noFill/>
              <a:ln w="9525" cap="flat" cmpd="sng" algn="ctr">
                <a:solidFill>
                  <a:schemeClr val="tx1">
                    <a:lumMod val="65000"/>
                    <a:lumOff val="35000"/>
                  </a:schemeClr>
                </a:solidFill>
                <a:round/>
              </a:ln>
              <a:effectLst/>
            </c:spPr>
          </c:errBars>
          <c:xVal>
            <c:numRef>
              <c:f>Tabelle1!$B$17:$P$17</c:f>
              <c:numCache>
                <c:formatCode>General</c:formatCode>
                <c:ptCount val="15"/>
                <c:pt idx="0">
                  <c:v>7.3182382726664733E-2</c:v>
                </c:pt>
                <c:pt idx="1">
                  <c:v>0.11974232663887836</c:v>
                </c:pt>
                <c:pt idx="2">
                  <c:v>0.16924265842349306</c:v>
                </c:pt>
                <c:pt idx="3">
                  <c:v>0.22221050856034408</c:v>
                </c:pt>
                <c:pt idx="4">
                  <c:v>0.31501354448843505</c:v>
                </c:pt>
                <c:pt idx="5">
                  <c:v>0.2056233062330623</c:v>
                </c:pt>
                <c:pt idx="6">
                  <c:v>0.3532686781609195</c:v>
                </c:pt>
                <c:pt idx="7">
                  <c:v>0.36260519575557992</c:v>
                </c:pt>
                <c:pt idx="8">
                  <c:v>0.35665956943458721</c:v>
                </c:pt>
                <c:pt idx="9">
                  <c:v>0.32831503016691727</c:v>
                </c:pt>
                <c:pt idx="10">
                  <c:v>0.34683213585891576</c:v>
                </c:pt>
                <c:pt idx="11">
                  <c:v>0.3305702313718345</c:v>
                </c:pt>
                <c:pt idx="12">
                  <c:v>0.31401416325009318</c:v>
                </c:pt>
                <c:pt idx="13">
                  <c:v>0.32137118371719342</c:v>
                </c:pt>
                <c:pt idx="14">
                  <c:v>0.33293095123128924</c:v>
                </c:pt>
              </c:numCache>
            </c:numRef>
          </c:xVal>
          <c:yVal>
            <c:numRef>
              <c:f>Tabelle1!$B$4:$P$4</c:f>
              <c:numCache>
                <c:formatCode>General</c:formatCode>
                <c:ptCount val="15"/>
                <c:pt idx="0">
                  <c:v>0.10209590548443663</c:v>
                </c:pt>
                <c:pt idx="1">
                  <c:v>0.16566716870824086</c:v>
                </c:pt>
                <c:pt idx="2">
                  <c:v>0.24739417604928018</c:v>
                </c:pt>
                <c:pt idx="3">
                  <c:v>0.34076543291113087</c:v>
                </c:pt>
                <c:pt idx="4">
                  <c:v>0.49579078148205341</c:v>
                </c:pt>
                <c:pt idx="5">
                  <c:v>0.54231759867140494</c:v>
                </c:pt>
                <c:pt idx="6">
                  <c:v>0.56849992393206294</c:v>
                </c:pt>
                <c:pt idx="7">
                  <c:v>0.5717029927251972</c:v>
                </c:pt>
                <c:pt idx="8">
                  <c:v>0.55209745000317711</c:v>
                </c:pt>
                <c:pt idx="9">
                  <c:v>0.52982920947285073</c:v>
                </c:pt>
                <c:pt idx="10">
                  <c:v>0.51616938369920107</c:v>
                </c:pt>
                <c:pt idx="11">
                  <c:v>0.47147814231091228</c:v>
                </c:pt>
                <c:pt idx="12">
                  <c:v>0.42415829135508742</c:v>
                </c:pt>
                <c:pt idx="13">
                  <c:v>0.37850491533040764</c:v>
                </c:pt>
                <c:pt idx="14">
                  <c:v>0.33711521308669112</c:v>
                </c:pt>
              </c:numCache>
            </c:numRef>
          </c:yVal>
          <c:smooth val="0"/>
          <c:extLst>
            <c:ext xmlns:c16="http://schemas.microsoft.com/office/drawing/2014/chart" uri="{C3380CC4-5D6E-409C-BE32-E72D297353CC}">
              <c16:uniqueId val="{00000001-3B0C-4A4E-B798-6948CF1E298E}"/>
            </c:ext>
          </c:extLst>
        </c:ser>
        <c:ser>
          <c:idx val="3"/>
          <c:order val="2"/>
          <c:tx>
            <c:strRef>
              <c:f>Tabelle1!$A$5</c:f>
              <c:strCache>
                <c:ptCount val="1"/>
                <c:pt idx="0">
                  <c:v>CHV-E155 cpx</c:v>
                </c:pt>
              </c:strCache>
            </c:strRef>
          </c:tx>
          <c:spPr>
            <a:ln w="28575" cap="rnd">
              <a:noFill/>
              <a:round/>
            </a:ln>
            <a:effectLst/>
          </c:spPr>
          <c:marker>
            <c:symbol val="square"/>
            <c:size val="7"/>
            <c:spPr>
              <a:noFill/>
              <a:ln w="12700"/>
            </c:spPr>
          </c:marker>
          <c:errBars>
            <c:errDir val="x"/>
            <c:errBarType val="both"/>
            <c:errValType val="cust"/>
            <c:noEndCap val="0"/>
            <c:plus>
              <c:numRef>
                <c:f>Tabelle1!$R$18:$AF$18</c:f>
                <c:numCache>
                  <c:formatCode>General</c:formatCode>
                  <c:ptCount val="15"/>
                  <c:pt idx="0">
                    <c:v>8.8069745956744962E-3</c:v>
                  </c:pt>
                  <c:pt idx="1">
                    <c:v>1.4395070805558163E-2</c:v>
                  </c:pt>
                  <c:pt idx="2">
                    <c:v>2.0773730655666959E-2</c:v>
                  </c:pt>
                  <c:pt idx="3">
                    <c:v>2.2639542911800561E-2</c:v>
                  </c:pt>
                  <c:pt idx="4">
                    <c:v>3.7881948393446475E-2</c:v>
                  </c:pt>
                  <c:pt idx="5">
                    <c:v>2.7315887068825533E-2</c:v>
                  </c:pt>
                  <c:pt idx="6">
                    <c:v>4.4778609116555228E-2</c:v>
                  </c:pt>
                  <c:pt idx="7">
                    <c:v>3.2539816781077313E-2</c:v>
                  </c:pt>
                  <c:pt idx="8">
                    <c:v>3.3196442002683971E-2</c:v>
                  </c:pt>
                  <c:pt idx="9">
                    <c:v>3.0492374513094351E-2</c:v>
                  </c:pt>
                  <c:pt idx="10">
                    <c:v>3.5153490722315196E-2</c:v>
                  </c:pt>
                  <c:pt idx="11">
                    <c:v>3.1213717440613069E-2</c:v>
                  </c:pt>
                  <c:pt idx="12">
                    <c:v>2.6522350270125856E-2</c:v>
                  </c:pt>
                  <c:pt idx="13">
                    <c:v>4.0108732053177311E-2</c:v>
                  </c:pt>
                  <c:pt idx="14">
                    <c:v>3.0980465595858583E-2</c:v>
                  </c:pt>
                </c:numCache>
              </c:numRef>
            </c:plus>
            <c:minus>
              <c:numRef>
                <c:f>Tabelle1!$R$18:$AF$18</c:f>
                <c:numCache>
                  <c:formatCode>General</c:formatCode>
                  <c:ptCount val="15"/>
                  <c:pt idx="0">
                    <c:v>8.8069745956744962E-3</c:v>
                  </c:pt>
                  <c:pt idx="1">
                    <c:v>1.4395070805558163E-2</c:v>
                  </c:pt>
                  <c:pt idx="2">
                    <c:v>2.0773730655666959E-2</c:v>
                  </c:pt>
                  <c:pt idx="3">
                    <c:v>2.2639542911800561E-2</c:v>
                  </c:pt>
                  <c:pt idx="4">
                    <c:v>3.7881948393446475E-2</c:v>
                  </c:pt>
                  <c:pt idx="5">
                    <c:v>2.7315887068825533E-2</c:v>
                  </c:pt>
                  <c:pt idx="6">
                    <c:v>4.4778609116555228E-2</c:v>
                  </c:pt>
                  <c:pt idx="7">
                    <c:v>3.2539816781077313E-2</c:v>
                  </c:pt>
                  <c:pt idx="8">
                    <c:v>3.3196442002683971E-2</c:v>
                  </c:pt>
                  <c:pt idx="9">
                    <c:v>3.0492374513094351E-2</c:v>
                  </c:pt>
                  <c:pt idx="10">
                    <c:v>3.5153490722315196E-2</c:v>
                  </c:pt>
                  <c:pt idx="11">
                    <c:v>3.1213717440613069E-2</c:v>
                  </c:pt>
                  <c:pt idx="12">
                    <c:v>2.6522350270125856E-2</c:v>
                  </c:pt>
                  <c:pt idx="13">
                    <c:v>4.0108732053177311E-2</c:v>
                  </c:pt>
                  <c:pt idx="14">
                    <c:v>3.0980465595858583E-2</c:v>
                  </c:pt>
                </c:numCache>
              </c:numRef>
            </c:minus>
            <c:spPr>
              <a:noFill/>
              <a:ln w="9525" cap="flat" cmpd="sng" algn="ctr">
                <a:solidFill>
                  <a:schemeClr val="tx1">
                    <a:lumMod val="65000"/>
                    <a:lumOff val="35000"/>
                  </a:schemeClr>
                </a:solidFill>
                <a:round/>
              </a:ln>
              <a:effectLst/>
            </c:spPr>
          </c:errBars>
          <c:errBars>
            <c:errDir val="y"/>
            <c:errBarType val="both"/>
            <c:errValType val="fixedVal"/>
            <c:noEndCap val="0"/>
            <c:val val="0"/>
            <c:spPr>
              <a:noFill/>
              <a:ln w="9525" cap="flat" cmpd="sng" algn="ctr">
                <a:solidFill>
                  <a:schemeClr val="tx1">
                    <a:lumMod val="65000"/>
                    <a:lumOff val="35000"/>
                  </a:schemeClr>
                </a:solidFill>
                <a:round/>
              </a:ln>
              <a:effectLst/>
            </c:spPr>
          </c:errBars>
          <c:xVal>
            <c:numRef>
              <c:f>Tabelle1!$B$18:$P$18</c:f>
              <c:numCache>
                <c:formatCode>General</c:formatCode>
                <c:ptCount val="15"/>
                <c:pt idx="0">
                  <c:v>7.3261355218413329E-2</c:v>
                </c:pt>
                <c:pt idx="1">
                  <c:v>0.11707741200455718</c:v>
                </c:pt>
                <c:pt idx="2">
                  <c:v>0.16659605716545214</c:v>
                </c:pt>
                <c:pt idx="3">
                  <c:v>0.22556806909917745</c:v>
                </c:pt>
                <c:pt idx="4">
                  <c:v>0.32024388879565924</c:v>
                </c:pt>
                <c:pt idx="5">
                  <c:v>0.19061092856273576</c:v>
                </c:pt>
                <c:pt idx="6">
                  <c:v>0.36455303471010281</c:v>
                </c:pt>
                <c:pt idx="7">
                  <c:v>0.36749069643806481</c:v>
                </c:pt>
                <c:pt idx="8">
                  <c:v>0.36750550055005499</c:v>
                </c:pt>
                <c:pt idx="9">
                  <c:v>0.33578010307668277</c:v>
                </c:pt>
                <c:pt idx="10">
                  <c:v>0.35177271288382406</c:v>
                </c:pt>
                <c:pt idx="11">
                  <c:v>0.33573784341440432</c:v>
                </c:pt>
                <c:pt idx="12">
                  <c:v>0.32585632009699905</c:v>
                </c:pt>
                <c:pt idx="13">
                  <c:v>0.32737378118323618</c:v>
                </c:pt>
                <c:pt idx="14">
                  <c:v>0.34709950476689139</c:v>
                </c:pt>
              </c:numCache>
            </c:numRef>
          </c:xVal>
          <c:yVal>
            <c:numRef>
              <c:f>Tabelle1!$B$5:$P$5</c:f>
              <c:numCache>
                <c:formatCode>General</c:formatCode>
                <c:ptCount val="15"/>
                <c:pt idx="0">
                  <c:v>0.10620626469471638</c:v>
                </c:pt>
                <c:pt idx="1">
                  <c:v>0.17163660312197973</c:v>
                </c:pt>
                <c:pt idx="2">
                  <c:v>0.25500059708308459</c:v>
                </c:pt>
                <c:pt idx="3">
                  <c:v>0.34909731515242459</c:v>
                </c:pt>
                <c:pt idx="4">
                  <c:v>0.50126457772866562</c:v>
                </c:pt>
                <c:pt idx="5">
                  <c:v>0.54469296150370217</c:v>
                </c:pt>
                <c:pt idx="6">
                  <c:v>0.56693191617973981</c:v>
                </c:pt>
                <c:pt idx="7">
                  <c:v>0.56578672266076002</c:v>
                </c:pt>
                <c:pt idx="8">
                  <c:v>0.54195796449483302</c:v>
                </c:pt>
                <c:pt idx="9">
                  <c:v>0.51737837279866461</c:v>
                </c:pt>
                <c:pt idx="10">
                  <c:v>0.50268604588643229</c:v>
                </c:pt>
                <c:pt idx="11">
                  <c:v>0.45567664332825153</c:v>
                </c:pt>
                <c:pt idx="12">
                  <c:v>0.40699820798161895</c:v>
                </c:pt>
                <c:pt idx="13">
                  <c:v>0.36076259629484508</c:v>
                </c:pt>
                <c:pt idx="14">
                  <c:v>0.31934659896398143</c:v>
                </c:pt>
              </c:numCache>
            </c:numRef>
          </c:yVal>
          <c:smooth val="0"/>
          <c:extLst>
            <c:ext xmlns:c16="http://schemas.microsoft.com/office/drawing/2014/chart" uri="{C3380CC4-5D6E-409C-BE32-E72D297353CC}">
              <c16:uniqueId val="{00000002-3B0C-4A4E-B798-6948CF1E298E}"/>
            </c:ext>
          </c:extLst>
        </c:ser>
        <c:ser>
          <c:idx val="4"/>
          <c:order val="3"/>
          <c:tx>
            <c:strRef>
              <c:f>Tabelle1!$A$6</c:f>
              <c:strCache>
                <c:ptCount val="1"/>
                <c:pt idx="0">
                  <c:v>CHV-E157 cpx</c:v>
                </c:pt>
              </c:strCache>
            </c:strRef>
          </c:tx>
          <c:spPr>
            <a:ln w="28575" cap="rnd">
              <a:noFill/>
              <a:round/>
            </a:ln>
            <a:effectLst/>
          </c:spPr>
          <c:marker>
            <c:symbol val="square"/>
            <c:size val="7"/>
            <c:spPr>
              <a:noFill/>
              <a:ln w="12700"/>
            </c:spPr>
          </c:marker>
          <c:errBars>
            <c:errDir val="x"/>
            <c:errBarType val="both"/>
            <c:errValType val="cust"/>
            <c:noEndCap val="0"/>
            <c:plus>
              <c:numRef>
                <c:f>Tabelle1!$R$19:$AF$19</c:f>
                <c:numCache>
                  <c:formatCode>General</c:formatCode>
                  <c:ptCount val="15"/>
                  <c:pt idx="0">
                    <c:v>1.9769038212731054E-3</c:v>
                  </c:pt>
                  <c:pt idx="1">
                    <c:v>2.1250622243495871E-3</c:v>
                  </c:pt>
                  <c:pt idx="2">
                    <c:v>9.6170086717287141E-3</c:v>
                  </c:pt>
                  <c:pt idx="3">
                    <c:v>1.6604390437066203E-2</c:v>
                  </c:pt>
                  <c:pt idx="4">
                    <c:v>2.8118161970557262E-2</c:v>
                  </c:pt>
                  <c:pt idx="5">
                    <c:v>7.7994849154327112E-3</c:v>
                  </c:pt>
                  <c:pt idx="6">
                    <c:v>2.8031845961473973E-2</c:v>
                  </c:pt>
                  <c:pt idx="7">
                    <c:v>2.4863874608562844E-2</c:v>
                  </c:pt>
                  <c:pt idx="8">
                    <c:v>1.5266198866245237E-2</c:v>
                  </c:pt>
                  <c:pt idx="9">
                    <c:v>1.5145679329684594E-2</c:v>
                  </c:pt>
                  <c:pt idx="10">
                    <c:v>2.5590416738298535E-2</c:v>
                  </c:pt>
                  <c:pt idx="11">
                    <c:v>1.5411801366728758E-2</c:v>
                  </c:pt>
                  <c:pt idx="12">
                    <c:v>3.0827738141209489E-2</c:v>
                  </c:pt>
                  <c:pt idx="13">
                    <c:v>6.2263380507153066E-3</c:v>
                  </c:pt>
                  <c:pt idx="14">
                    <c:v>1.8092930000585105E-2</c:v>
                  </c:pt>
                </c:numCache>
              </c:numRef>
            </c:plus>
            <c:minus>
              <c:numRef>
                <c:f>Tabelle1!$R$19:$AF$19</c:f>
                <c:numCache>
                  <c:formatCode>General</c:formatCode>
                  <c:ptCount val="15"/>
                  <c:pt idx="0">
                    <c:v>1.9769038212731054E-3</c:v>
                  </c:pt>
                  <c:pt idx="1">
                    <c:v>2.1250622243495871E-3</c:v>
                  </c:pt>
                  <c:pt idx="2">
                    <c:v>9.6170086717287141E-3</c:v>
                  </c:pt>
                  <c:pt idx="3">
                    <c:v>1.6604390437066203E-2</c:v>
                  </c:pt>
                  <c:pt idx="4">
                    <c:v>2.8118161970557262E-2</c:v>
                  </c:pt>
                  <c:pt idx="5">
                    <c:v>7.7994849154327112E-3</c:v>
                  </c:pt>
                  <c:pt idx="6">
                    <c:v>2.8031845961473973E-2</c:v>
                  </c:pt>
                  <c:pt idx="7">
                    <c:v>2.4863874608562844E-2</c:v>
                  </c:pt>
                  <c:pt idx="8">
                    <c:v>1.5266198866245237E-2</c:v>
                  </c:pt>
                  <c:pt idx="9">
                    <c:v>1.5145679329684594E-2</c:v>
                  </c:pt>
                  <c:pt idx="10">
                    <c:v>2.5590416738298535E-2</c:v>
                  </c:pt>
                  <c:pt idx="11">
                    <c:v>1.5411801366728758E-2</c:v>
                  </c:pt>
                  <c:pt idx="12">
                    <c:v>3.0827738141209489E-2</c:v>
                  </c:pt>
                  <c:pt idx="13">
                    <c:v>6.2263380507153066E-3</c:v>
                  </c:pt>
                  <c:pt idx="14">
                    <c:v>1.8092930000585105E-2</c:v>
                  </c:pt>
                </c:numCache>
              </c:numRef>
            </c:minus>
            <c:spPr>
              <a:noFill/>
              <a:ln w="9525" cap="flat" cmpd="sng" algn="ctr">
                <a:solidFill>
                  <a:schemeClr val="tx1">
                    <a:lumMod val="65000"/>
                    <a:lumOff val="35000"/>
                  </a:schemeClr>
                </a:solidFill>
                <a:round/>
              </a:ln>
              <a:effectLst/>
            </c:spPr>
          </c:errBars>
          <c:errBars>
            <c:errDir val="y"/>
            <c:errBarType val="both"/>
            <c:errValType val="fixedVal"/>
            <c:noEndCap val="0"/>
            <c:val val="0"/>
            <c:spPr>
              <a:noFill/>
              <a:ln w="9525" cap="flat" cmpd="sng" algn="ctr">
                <a:solidFill>
                  <a:schemeClr val="tx1">
                    <a:lumMod val="65000"/>
                    <a:lumOff val="35000"/>
                  </a:schemeClr>
                </a:solidFill>
                <a:round/>
              </a:ln>
              <a:effectLst/>
            </c:spPr>
          </c:errBars>
          <c:xVal>
            <c:numRef>
              <c:f>Tabelle1!$B$19:$P$19</c:f>
              <c:numCache>
                <c:formatCode>General</c:formatCode>
                <c:ptCount val="15"/>
                <c:pt idx="0">
                  <c:v>7.5288589232812328E-2</c:v>
                </c:pt>
                <c:pt idx="1">
                  <c:v>0.11945328590151658</c:v>
                </c:pt>
                <c:pt idx="2">
                  <c:v>0.1644785731979192</c:v>
                </c:pt>
                <c:pt idx="3">
                  <c:v>0.2214905716851242</c:v>
                </c:pt>
                <c:pt idx="4">
                  <c:v>0.31186858316221761</c:v>
                </c:pt>
                <c:pt idx="5">
                  <c:v>0.1821571238348868</c:v>
                </c:pt>
                <c:pt idx="6">
                  <c:v>0.34647806829547079</c:v>
                </c:pt>
                <c:pt idx="7">
                  <c:v>0.3774933015778506</c:v>
                </c:pt>
                <c:pt idx="8">
                  <c:v>0.35769606737348675</c:v>
                </c:pt>
                <c:pt idx="9">
                  <c:v>0.32800395073922028</c:v>
                </c:pt>
                <c:pt idx="10">
                  <c:v>0.35251299826689769</c:v>
                </c:pt>
                <c:pt idx="11">
                  <c:v>0.33294443634242382</c:v>
                </c:pt>
                <c:pt idx="12">
                  <c:v>0.33054643177067777</c:v>
                </c:pt>
                <c:pt idx="13">
                  <c:v>0.31005110732538332</c:v>
                </c:pt>
                <c:pt idx="14">
                  <c:v>0.34108825225918088</c:v>
                </c:pt>
              </c:numCache>
            </c:numRef>
          </c:xVal>
          <c:yVal>
            <c:numRef>
              <c:f>Tabelle1!$B$6:$P$6</c:f>
              <c:numCache>
                <c:formatCode>General</c:formatCode>
                <c:ptCount val="15"/>
                <c:pt idx="0">
                  <c:v>9.8140104272314108E-2</c:v>
                </c:pt>
                <c:pt idx="1">
                  <c:v>0.15918032332711468</c:v>
                </c:pt>
                <c:pt idx="2">
                  <c:v>0.23757888159681842</c:v>
                </c:pt>
                <c:pt idx="3">
                  <c:v>0.32703299528549101</c:v>
                </c:pt>
                <c:pt idx="4">
                  <c:v>0.47514323658233054</c:v>
                </c:pt>
                <c:pt idx="5">
                  <c:v>0.51936536204539752</c:v>
                </c:pt>
                <c:pt idx="6">
                  <c:v>0.54402413775045544</c:v>
                </c:pt>
                <c:pt idx="7">
                  <c:v>0.54664161461919092</c:v>
                </c:pt>
                <c:pt idx="8">
                  <c:v>0.52743521437799334</c:v>
                </c:pt>
                <c:pt idx="9">
                  <c:v>0.50587691289220282</c:v>
                </c:pt>
                <c:pt idx="10">
                  <c:v>0.49269236647025788</c:v>
                </c:pt>
                <c:pt idx="11">
                  <c:v>0.44966566334441183</c:v>
                </c:pt>
                <c:pt idx="12">
                  <c:v>0.40422178075423704</c:v>
                </c:pt>
                <c:pt idx="13">
                  <c:v>0.36045408304421822</c:v>
                </c:pt>
                <c:pt idx="14">
                  <c:v>0.32082637740970738</c:v>
                </c:pt>
              </c:numCache>
            </c:numRef>
          </c:yVal>
          <c:smooth val="0"/>
          <c:extLst>
            <c:ext xmlns:c16="http://schemas.microsoft.com/office/drawing/2014/chart" uri="{C3380CC4-5D6E-409C-BE32-E72D297353CC}">
              <c16:uniqueId val="{00000003-3B0C-4A4E-B798-6948CF1E298E}"/>
            </c:ext>
          </c:extLst>
        </c:ser>
        <c:ser>
          <c:idx val="0"/>
          <c:order val="4"/>
          <c:tx>
            <c:strRef>
              <c:f>Tabelle1!$A$8</c:f>
              <c:strCache>
                <c:ptCount val="1"/>
                <c:pt idx="0">
                  <c:v>YPC 586 P cpx</c:v>
                </c:pt>
              </c:strCache>
            </c:strRef>
          </c:tx>
          <c:spPr>
            <a:ln w="28575">
              <a:noFill/>
            </a:ln>
          </c:spPr>
          <c:marker>
            <c:symbol val="diamond"/>
            <c:size val="7"/>
            <c:spPr>
              <a:noFill/>
              <a:ln w="12700">
                <a:solidFill>
                  <a:schemeClr val="accent6"/>
                </a:solidFill>
              </a:ln>
            </c:spPr>
          </c:marker>
          <c:errBars>
            <c:errDir val="x"/>
            <c:errBarType val="both"/>
            <c:errValType val="cust"/>
            <c:noEndCap val="0"/>
            <c:plus>
              <c:numRef>
                <c:f>Tabelle1!$R$21:$AF$21</c:f>
                <c:numCache>
                  <c:formatCode>General</c:formatCode>
                  <c:ptCount val="15"/>
                  <c:pt idx="0">
                    <c:v>4.0102861405628583E-3</c:v>
                  </c:pt>
                  <c:pt idx="1">
                    <c:v>9.0376295716870173E-3</c:v>
                  </c:pt>
                  <c:pt idx="2">
                    <c:v>1.3494980923535242E-2</c:v>
                  </c:pt>
                  <c:pt idx="3">
                    <c:v>1.2971856734936463E-2</c:v>
                  </c:pt>
                  <c:pt idx="4">
                    <c:v>1.6257343660605321E-2</c:v>
                  </c:pt>
                  <c:pt idx="5">
                    <c:v>1.4054996660942606E-2</c:v>
                  </c:pt>
                  <c:pt idx="6">
                    <c:v>2.2082563794613819E-2</c:v>
                  </c:pt>
                  <c:pt idx="7">
                    <c:v>2.057300637387979E-2</c:v>
                  </c:pt>
                  <c:pt idx="8">
                    <c:v>2.0090551851570888E-2</c:v>
                  </c:pt>
                  <c:pt idx="9">
                    <c:v>1.5693407420873114E-2</c:v>
                  </c:pt>
                  <c:pt idx="10">
                    <c:v>2.6224633023125127E-2</c:v>
                  </c:pt>
                  <c:pt idx="11">
                    <c:v>2.1400349795009852E-2</c:v>
                  </c:pt>
                  <c:pt idx="12">
                    <c:v>1.6006823937879756E-2</c:v>
                  </c:pt>
                  <c:pt idx="13">
                    <c:v>1.8360082174140858E-2</c:v>
                  </c:pt>
                  <c:pt idx="14">
                    <c:v>1.8178333421070454E-2</c:v>
                  </c:pt>
                </c:numCache>
              </c:numRef>
            </c:plus>
            <c:minus>
              <c:numRef>
                <c:f>Tabelle1!$R$21:$AF$21</c:f>
                <c:numCache>
                  <c:formatCode>General</c:formatCode>
                  <c:ptCount val="15"/>
                  <c:pt idx="0">
                    <c:v>4.0102861405628583E-3</c:v>
                  </c:pt>
                  <c:pt idx="1">
                    <c:v>9.0376295716870173E-3</c:v>
                  </c:pt>
                  <c:pt idx="2">
                    <c:v>1.3494980923535242E-2</c:v>
                  </c:pt>
                  <c:pt idx="3">
                    <c:v>1.2971856734936463E-2</c:v>
                  </c:pt>
                  <c:pt idx="4">
                    <c:v>1.6257343660605321E-2</c:v>
                  </c:pt>
                  <c:pt idx="5">
                    <c:v>1.4054996660942606E-2</c:v>
                  </c:pt>
                  <c:pt idx="6">
                    <c:v>2.2082563794613819E-2</c:v>
                  </c:pt>
                  <c:pt idx="7">
                    <c:v>2.057300637387979E-2</c:v>
                  </c:pt>
                  <c:pt idx="8">
                    <c:v>2.0090551851570888E-2</c:v>
                  </c:pt>
                  <c:pt idx="9">
                    <c:v>1.5693407420873114E-2</c:v>
                  </c:pt>
                  <c:pt idx="10">
                    <c:v>2.6224633023125127E-2</c:v>
                  </c:pt>
                  <c:pt idx="11">
                    <c:v>2.1400349795009852E-2</c:v>
                  </c:pt>
                  <c:pt idx="12">
                    <c:v>1.6006823937879756E-2</c:v>
                  </c:pt>
                  <c:pt idx="13">
                    <c:v>1.8360082174140858E-2</c:v>
                  </c:pt>
                  <c:pt idx="14">
                    <c:v>1.8178333421070454E-2</c:v>
                  </c:pt>
                </c:numCache>
              </c:numRef>
            </c:minus>
          </c:errBars>
          <c:errBars>
            <c:errDir val="y"/>
            <c:errBarType val="both"/>
            <c:errValType val="fixedVal"/>
            <c:noEndCap val="0"/>
            <c:val val="0"/>
          </c:errBars>
          <c:xVal>
            <c:numRef>
              <c:f>Tabelle1!$B$21:$P$21</c:f>
              <c:numCache>
                <c:formatCode>General</c:formatCode>
                <c:ptCount val="15"/>
                <c:pt idx="0">
                  <c:v>4.1650337175831449E-2</c:v>
                </c:pt>
                <c:pt idx="1">
                  <c:v>6.5509415445010113E-2</c:v>
                </c:pt>
                <c:pt idx="2">
                  <c:v>9.4716365181226669E-2</c:v>
                </c:pt>
                <c:pt idx="3">
                  <c:v>0.11775733961851653</c:v>
                </c:pt>
                <c:pt idx="4">
                  <c:v>0.16674511649799953</c:v>
                </c:pt>
                <c:pt idx="5">
                  <c:v>0.16243537643975278</c:v>
                </c:pt>
                <c:pt idx="6">
                  <c:v>0.20166291399891823</c:v>
                </c:pt>
                <c:pt idx="7">
                  <c:v>0.20660746003552399</c:v>
                </c:pt>
                <c:pt idx="8">
                  <c:v>0.20848191957181186</c:v>
                </c:pt>
                <c:pt idx="9">
                  <c:v>0.19438842398694958</c:v>
                </c:pt>
                <c:pt idx="10">
                  <c:v>0.21125614716774935</c:v>
                </c:pt>
                <c:pt idx="11">
                  <c:v>0.19656782365973641</c:v>
                </c:pt>
                <c:pt idx="12">
                  <c:v>0.1850954672872481</c:v>
                </c:pt>
                <c:pt idx="13">
                  <c:v>0.17916548675835067</c:v>
                </c:pt>
                <c:pt idx="14">
                  <c:v>0.1877512414282336</c:v>
                </c:pt>
              </c:numCache>
            </c:numRef>
          </c:xVal>
          <c:yVal>
            <c:numRef>
              <c:f>Tabelle1!$B$8:$P$8</c:f>
              <c:numCache>
                <c:formatCode>General</c:formatCode>
                <c:ptCount val="15"/>
                <c:pt idx="0">
                  <c:v>7.2170631758421644E-2</c:v>
                </c:pt>
                <c:pt idx="1">
                  <c:v>0.11466752382549979</c:v>
                </c:pt>
                <c:pt idx="2">
                  <c:v>0.16903930931317734</c:v>
                </c:pt>
                <c:pt idx="3">
                  <c:v>0.23167990058619856</c:v>
                </c:pt>
                <c:pt idx="4">
                  <c:v>0.34040023342296377</c:v>
                </c:pt>
                <c:pt idx="5">
                  <c:v>0.37659764415397662</c:v>
                </c:pt>
                <c:pt idx="6">
                  <c:v>0.40094783091056274</c:v>
                </c:pt>
                <c:pt idx="7">
                  <c:v>0.41116569344870285</c:v>
                </c:pt>
                <c:pt idx="8">
                  <c:v>0.4065002537695806</c:v>
                </c:pt>
                <c:pt idx="9">
                  <c:v>0.39654009052601308</c:v>
                </c:pt>
                <c:pt idx="10">
                  <c:v>0.38969918541499698</c:v>
                </c:pt>
                <c:pt idx="11">
                  <c:v>0.36525672815928556</c:v>
                </c:pt>
                <c:pt idx="12">
                  <c:v>0.33715554972177336</c:v>
                </c:pt>
                <c:pt idx="13">
                  <c:v>0.30846565827779837</c:v>
                </c:pt>
                <c:pt idx="14">
                  <c:v>0.28128955378400511</c:v>
                </c:pt>
              </c:numCache>
            </c:numRef>
          </c:yVal>
          <c:smooth val="0"/>
          <c:extLst>
            <c:ext xmlns:c16="http://schemas.microsoft.com/office/drawing/2014/chart" uri="{C3380CC4-5D6E-409C-BE32-E72D297353CC}">
              <c16:uniqueId val="{00000004-3B0C-4A4E-B798-6948CF1E298E}"/>
            </c:ext>
          </c:extLst>
        </c:ser>
        <c:ser>
          <c:idx val="128"/>
          <c:order val="5"/>
          <c:tx>
            <c:strRef>
              <c:f>Tabelle1!$A$9</c:f>
              <c:strCache>
                <c:ptCount val="1"/>
                <c:pt idx="0">
                  <c:v>CHV-E424 T cpx</c:v>
                </c:pt>
              </c:strCache>
            </c:strRef>
          </c:tx>
          <c:spPr>
            <a:ln w="28575" cap="rnd">
              <a:noFill/>
              <a:round/>
            </a:ln>
            <a:effectLst/>
          </c:spPr>
          <c:marker>
            <c:symbol val="triangle"/>
            <c:size val="7"/>
            <c:spPr>
              <a:noFill/>
              <a:ln w="12700">
                <a:solidFill>
                  <a:srgbClr val="7030A0"/>
                </a:solidFill>
              </a:ln>
            </c:spPr>
          </c:marker>
          <c:errBars>
            <c:errDir val="x"/>
            <c:errBarType val="both"/>
            <c:errValType val="cust"/>
            <c:noEndCap val="0"/>
            <c:plus>
              <c:numRef>
                <c:f>Tabelle1!$R$22:$AF$22</c:f>
                <c:numCache>
                  <c:formatCode>General</c:formatCode>
                  <c:ptCount val="15"/>
                  <c:pt idx="0">
                    <c:v>8.5872233209983717E-3</c:v>
                  </c:pt>
                  <c:pt idx="1">
                    <c:v>1.2936761887432344E-2</c:v>
                  </c:pt>
                  <c:pt idx="2">
                    <c:v>1.8172958930260091E-2</c:v>
                  </c:pt>
                  <c:pt idx="3">
                    <c:v>3.0222940612029976E-2</c:v>
                  </c:pt>
                  <c:pt idx="4">
                    <c:v>4.0305390007554981E-2</c:v>
                  </c:pt>
                  <c:pt idx="5">
                    <c:v>1.9820384968586357E-2</c:v>
                  </c:pt>
                  <c:pt idx="6">
                    <c:v>2.2359757658367837E-2</c:v>
                  </c:pt>
                  <c:pt idx="7">
                    <c:v>2.8905165600085738E-2</c:v>
                  </c:pt>
                  <c:pt idx="8">
                    <c:v>2.9570743233355998E-2</c:v>
                  </c:pt>
                  <c:pt idx="9">
                    <c:v>3.0767992548872598E-2</c:v>
                  </c:pt>
                  <c:pt idx="10">
                    <c:v>3.3644399949818771E-2</c:v>
                  </c:pt>
                  <c:pt idx="11">
                    <c:v>3.7020123203288485E-2</c:v>
                  </c:pt>
                  <c:pt idx="12">
                    <c:v>2.7592356652114739E-2</c:v>
                  </c:pt>
                  <c:pt idx="13">
                    <c:v>3.2141601231574668E-2</c:v>
                  </c:pt>
                  <c:pt idx="14">
                    <c:v>3.2617049193485084E-2</c:v>
                  </c:pt>
                </c:numCache>
              </c:numRef>
            </c:plus>
            <c:minus>
              <c:numRef>
                <c:f>Tabelle1!$R$22:$AF$22</c:f>
                <c:numCache>
                  <c:formatCode>General</c:formatCode>
                  <c:ptCount val="15"/>
                  <c:pt idx="0">
                    <c:v>8.5872233209983717E-3</c:v>
                  </c:pt>
                  <c:pt idx="1">
                    <c:v>1.2936761887432344E-2</c:v>
                  </c:pt>
                  <c:pt idx="2">
                    <c:v>1.8172958930260091E-2</c:v>
                  </c:pt>
                  <c:pt idx="3">
                    <c:v>3.0222940612029976E-2</c:v>
                  </c:pt>
                  <c:pt idx="4">
                    <c:v>4.0305390007554981E-2</c:v>
                  </c:pt>
                  <c:pt idx="5">
                    <c:v>1.9820384968586357E-2</c:v>
                  </c:pt>
                  <c:pt idx="6">
                    <c:v>2.2359757658367837E-2</c:v>
                  </c:pt>
                  <c:pt idx="7">
                    <c:v>2.8905165600085738E-2</c:v>
                  </c:pt>
                  <c:pt idx="8">
                    <c:v>2.9570743233355998E-2</c:v>
                  </c:pt>
                  <c:pt idx="9">
                    <c:v>3.0767992548872598E-2</c:v>
                  </c:pt>
                  <c:pt idx="10">
                    <c:v>3.3644399949818771E-2</c:v>
                  </c:pt>
                  <c:pt idx="11">
                    <c:v>3.7020123203288485E-2</c:v>
                  </c:pt>
                  <c:pt idx="12">
                    <c:v>2.7592356652114739E-2</c:v>
                  </c:pt>
                  <c:pt idx="13">
                    <c:v>3.2141601231574668E-2</c:v>
                  </c:pt>
                  <c:pt idx="14">
                    <c:v>3.2617049193485084E-2</c:v>
                  </c:pt>
                </c:numCache>
              </c:numRef>
            </c:minus>
            <c:spPr>
              <a:noFill/>
              <a:ln w="9525" cap="flat" cmpd="sng" algn="ctr">
                <a:solidFill>
                  <a:schemeClr val="tx1">
                    <a:lumMod val="65000"/>
                    <a:lumOff val="35000"/>
                  </a:schemeClr>
                </a:solidFill>
                <a:round/>
              </a:ln>
              <a:effectLst/>
            </c:spPr>
          </c:errBars>
          <c:errBars>
            <c:errDir val="y"/>
            <c:errBarType val="both"/>
            <c:errValType val="fixedVal"/>
            <c:noEndCap val="0"/>
            <c:val val="0"/>
            <c:spPr>
              <a:noFill/>
              <a:ln w="9525" cap="flat" cmpd="sng" algn="ctr">
                <a:solidFill>
                  <a:schemeClr val="tx1">
                    <a:lumMod val="65000"/>
                    <a:lumOff val="35000"/>
                  </a:schemeClr>
                </a:solidFill>
                <a:round/>
              </a:ln>
              <a:effectLst/>
            </c:spPr>
          </c:errBars>
          <c:xVal>
            <c:numRef>
              <c:f>Tabelle1!$B$22:$P$22</c:f>
              <c:numCache>
                <c:formatCode>General</c:formatCode>
                <c:ptCount val="15"/>
                <c:pt idx="0">
                  <c:v>4.38567181084525E-2</c:v>
                </c:pt>
                <c:pt idx="1">
                  <c:v>7.2711230208656705E-2</c:v>
                </c:pt>
                <c:pt idx="2">
                  <c:v>0.1055923668168566</c:v>
                </c:pt>
                <c:pt idx="3">
                  <c:v>0.13620094985282699</c:v>
                </c:pt>
                <c:pt idx="4">
                  <c:v>0.19531571017668811</c:v>
                </c:pt>
                <c:pt idx="5">
                  <c:v>0.1594306049822064</c:v>
                </c:pt>
                <c:pt idx="6">
                  <c:v>0.22084138546157278</c:v>
                </c:pt>
                <c:pt idx="7">
                  <c:v>0.22086300795978214</c:v>
                </c:pt>
                <c:pt idx="8">
                  <c:v>0.22305334150827719</c:v>
                </c:pt>
                <c:pt idx="9">
                  <c:v>0.20816788304975709</c:v>
                </c:pt>
                <c:pt idx="10">
                  <c:v>0.21582916343646485</c:v>
                </c:pt>
                <c:pt idx="11">
                  <c:v>0.21105232216343328</c:v>
                </c:pt>
                <c:pt idx="12">
                  <c:v>0.19391323116770987</c:v>
                </c:pt>
                <c:pt idx="13">
                  <c:v>0.20233962484319848</c:v>
                </c:pt>
                <c:pt idx="14">
                  <c:v>0.20266793334125002</c:v>
                </c:pt>
              </c:numCache>
            </c:numRef>
          </c:xVal>
          <c:yVal>
            <c:numRef>
              <c:f>Tabelle1!$B$9:$P$9</c:f>
              <c:numCache>
                <c:formatCode>General</c:formatCode>
                <c:ptCount val="15"/>
                <c:pt idx="0">
                  <c:v>7.3967073130169231E-2</c:v>
                </c:pt>
                <c:pt idx="1">
                  <c:v>0.11868674131609143</c:v>
                </c:pt>
                <c:pt idx="2">
                  <c:v>0.17547818084589042</c:v>
                </c:pt>
                <c:pt idx="3">
                  <c:v>0.23959377574166729</c:v>
                </c:pt>
                <c:pt idx="4">
                  <c:v>0.34420007122361301</c:v>
                </c:pt>
                <c:pt idx="5">
                  <c:v>0.37484229410213554</c:v>
                </c:pt>
                <c:pt idx="6">
                  <c:v>0.39145548035396965</c:v>
                </c:pt>
                <c:pt idx="7">
                  <c:v>0.39241720070183761</c:v>
                </c:pt>
                <c:pt idx="8">
                  <c:v>0.37799083455671895</c:v>
                </c:pt>
                <c:pt idx="9">
                  <c:v>0.36228038399973705</c:v>
                </c:pt>
                <c:pt idx="10">
                  <c:v>0.35274331504866768</c:v>
                </c:pt>
                <c:pt idx="11">
                  <c:v>0.32179799457913189</c:v>
                </c:pt>
                <c:pt idx="12">
                  <c:v>0.28927237270629885</c:v>
                </c:pt>
                <c:pt idx="13">
                  <c:v>0.25802618937529365</c:v>
                </c:pt>
                <c:pt idx="14">
                  <c:v>0.22977340208542948</c:v>
                </c:pt>
              </c:numCache>
            </c:numRef>
          </c:yVal>
          <c:smooth val="0"/>
          <c:extLst>
            <c:ext xmlns:c16="http://schemas.microsoft.com/office/drawing/2014/chart" uri="{C3380CC4-5D6E-409C-BE32-E72D297353CC}">
              <c16:uniqueId val="{00000005-3B0C-4A4E-B798-6948CF1E298E}"/>
            </c:ext>
          </c:extLst>
        </c:ser>
        <c:ser>
          <c:idx val="132"/>
          <c:order val="6"/>
          <c:tx>
            <c:strRef>
              <c:f>Tabelle1!$A$7</c:f>
              <c:strCache>
                <c:ptCount val="1"/>
                <c:pt idx="0">
                  <c:v>GPC 866 P cpx</c:v>
                </c:pt>
              </c:strCache>
            </c:strRef>
          </c:tx>
          <c:spPr>
            <a:ln w="28575" cap="rnd">
              <a:noFill/>
              <a:round/>
            </a:ln>
            <a:effectLst/>
          </c:spPr>
          <c:marker>
            <c:symbol val="diamond"/>
            <c:size val="7"/>
            <c:spPr>
              <a:noFill/>
              <a:ln w="12700">
                <a:solidFill>
                  <a:schemeClr val="accent4"/>
                </a:solidFill>
              </a:ln>
            </c:spPr>
          </c:marker>
          <c:errBars>
            <c:errDir val="x"/>
            <c:errBarType val="both"/>
            <c:errValType val="cust"/>
            <c:noEndCap val="0"/>
            <c:plus>
              <c:numRef>
                <c:f>Tabelle1!$R$20:$AF$20</c:f>
                <c:numCache>
                  <c:formatCode>General</c:formatCode>
                  <c:ptCount val="15"/>
                  <c:pt idx="0">
                    <c:v>1.4142355890744624E-2</c:v>
                  </c:pt>
                  <c:pt idx="1">
                    <c:v>1.3598104839268751E-2</c:v>
                  </c:pt>
                  <c:pt idx="2">
                    <c:v>1.7385428944232541E-2</c:v>
                  </c:pt>
                  <c:pt idx="3">
                    <c:v>2.6838671619407919E-2</c:v>
                  </c:pt>
                  <c:pt idx="4">
                    <c:v>1.1808392575095746E-2</c:v>
                  </c:pt>
                  <c:pt idx="5">
                    <c:v>2.477965589265298E-2</c:v>
                  </c:pt>
                  <c:pt idx="6">
                    <c:v>3.7662151771124794E-2</c:v>
                  </c:pt>
                  <c:pt idx="7">
                    <c:v>2.4401186537239921E-2</c:v>
                  </c:pt>
                  <c:pt idx="8">
                    <c:v>3.4557729105778173E-2</c:v>
                  </c:pt>
                  <c:pt idx="9">
                    <c:v>3.2219087014218932E-2</c:v>
                  </c:pt>
                  <c:pt idx="10">
                    <c:v>1.9675560048429647E-2</c:v>
                  </c:pt>
                  <c:pt idx="11">
                    <c:v>3.507733772087597E-2</c:v>
                  </c:pt>
                  <c:pt idx="12">
                    <c:v>4.7671258315738319E-2</c:v>
                  </c:pt>
                  <c:pt idx="13">
                    <c:v>3.0032985582696951E-2</c:v>
                  </c:pt>
                  <c:pt idx="14">
                    <c:v>3.0724669918820408E-2</c:v>
                  </c:pt>
                </c:numCache>
              </c:numRef>
            </c:plus>
            <c:minus>
              <c:numRef>
                <c:f>Tabelle1!$R$20:$AF$20</c:f>
                <c:numCache>
                  <c:formatCode>General</c:formatCode>
                  <c:ptCount val="15"/>
                  <c:pt idx="0">
                    <c:v>1.4142355890744624E-2</c:v>
                  </c:pt>
                  <c:pt idx="1">
                    <c:v>1.3598104839268751E-2</c:v>
                  </c:pt>
                  <c:pt idx="2">
                    <c:v>1.7385428944232541E-2</c:v>
                  </c:pt>
                  <c:pt idx="3">
                    <c:v>2.6838671619407919E-2</c:v>
                  </c:pt>
                  <c:pt idx="4">
                    <c:v>1.1808392575095746E-2</c:v>
                  </c:pt>
                  <c:pt idx="5">
                    <c:v>2.477965589265298E-2</c:v>
                  </c:pt>
                  <c:pt idx="6">
                    <c:v>3.7662151771124794E-2</c:v>
                  </c:pt>
                  <c:pt idx="7">
                    <c:v>2.4401186537239921E-2</c:v>
                  </c:pt>
                  <c:pt idx="8">
                    <c:v>3.4557729105778173E-2</c:v>
                  </c:pt>
                  <c:pt idx="9">
                    <c:v>3.2219087014218932E-2</c:v>
                  </c:pt>
                  <c:pt idx="10">
                    <c:v>1.9675560048429647E-2</c:v>
                  </c:pt>
                  <c:pt idx="11">
                    <c:v>3.507733772087597E-2</c:v>
                  </c:pt>
                  <c:pt idx="12">
                    <c:v>4.7671258315738319E-2</c:v>
                  </c:pt>
                  <c:pt idx="13">
                    <c:v>3.0032985582696951E-2</c:v>
                  </c:pt>
                  <c:pt idx="14">
                    <c:v>3.0724669918820408E-2</c:v>
                  </c:pt>
                </c:numCache>
              </c:numRef>
            </c:minus>
            <c:spPr>
              <a:noFill/>
              <a:ln w="9525" cap="flat" cmpd="sng" algn="ctr">
                <a:solidFill>
                  <a:schemeClr val="tx1">
                    <a:lumMod val="65000"/>
                    <a:lumOff val="35000"/>
                  </a:schemeClr>
                </a:solidFill>
                <a:round/>
              </a:ln>
              <a:effectLst/>
            </c:spPr>
          </c:errBars>
          <c:errBars>
            <c:errDir val="y"/>
            <c:errBarType val="both"/>
            <c:errValType val="fixedVal"/>
            <c:noEndCap val="0"/>
            <c:val val="0"/>
            <c:spPr>
              <a:noFill/>
              <a:ln w="9525" cap="flat" cmpd="sng" algn="ctr">
                <a:solidFill>
                  <a:schemeClr val="tx1">
                    <a:lumMod val="65000"/>
                    <a:lumOff val="35000"/>
                  </a:schemeClr>
                </a:solidFill>
                <a:round/>
              </a:ln>
              <a:effectLst/>
            </c:spPr>
          </c:errBars>
          <c:xVal>
            <c:numRef>
              <c:f>Tabelle1!$B$20:$P$20</c:f>
              <c:numCache>
                <c:formatCode>General</c:formatCode>
                <c:ptCount val="15"/>
                <c:pt idx="0">
                  <c:v>6.1834515150824221E-2</c:v>
                </c:pt>
                <c:pt idx="1">
                  <c:v>9.079136690647481E-2</c:v>
                </c:pt>
                <c:pt idx="2">
                  <c:v>0.12891930606398216</c:v>
                </c:pt>
                <c:pt idx="3">
                  <c:v>0.16610664072862322</c:v>
                </c:pt>
                <c:pt idx="4">
                  <c:v>0.2213875386654883</c:v>
                </c:pt>
                <c:pt idx="5">
                  <c:v>0.21023965141612197</c:v>
                </c:pt>
                <c:pt idx="6">
                  <c:v>0.27106440941817478</c:v>
                </c:pt>
                <c:pt idx="7">
                  <c:v>0.26834546527641162</c:v>
                </c:pt>
                <c:pt idx="8">
                  <c:v>0.27532493804683145</c:v>
                </c:pt>
                <c:pt idx="9">
                  <c:v>0.25195076152722723</c:v>
                </c:pt>
                <c:pt idx="10">
                  <c:v>0.26932084309133492</c:v>
                </c:pt>
                <c:pt idx="11">
                  <c:v>0.2645761881430671</c:v>
                </c:pt>
                <c:pt idx="12">
                  <c:v>0.25249440032579917</c:v>
                </c:pt>
                <c:pt idx="13">
                  <c:v>0.25035615917940929</c:v>
                </c:pt>
                <c:pt idx="14">
                  <c:v>0.24929178470254965</c:v>
                </c:pt>
              </c:numCache>
            </c:numRef>
          </c:xVal>
          <c:yVal>
            <c:numRef>
              <c:f>Tabelle1!$B$7:$P$7</c:f>
              <c:numCache>
                <c:formatCode>General</c:formatCode>
                <c:ptCount val="15"/>
                <c:pt idx="0">
                  <c:v>6.6276444414884464E-2</c:v>
                </c:pt>
                <c:pt idx="1">
                  <c:v>0.10504284962670674</c:v>
                </c:pt>
                <c:pt idx="2">
                  <c:v>0.15433909712882538</c:v>
                </c:pt>
                <c:pt idx="3">
                  <c:v>0.2106614296323564</c:v>
                </c:pt>
                <c:pt idx="4">
                  <c:v>0.30668807186481767</c:v>
                </c:pt>
                <c:pt idx="5">
                  <c:v>0.33770734911466316</c:v>
                </c:pt>
                <c:pt idx="6">
                  <c:v>0.3577036359347267</c:v>
                </c:pt>
                <c:pt idx="7">
                  <c:v>0.36479319963836881</c:v>
                </c:pt>
                <c:pt idx="8">
                  <c:v>0.35851882891816461</c:v>
                </c:pt>
                <c:pt idx="9">
                  <c:v>0.34839148156699778</c:v>
                </c:pt>
                <c:pt idx="10">
                  <c:v>0.34170479994245373</c:v>
                </c:pt>
                <c:pt idx="11">
                  <c:v>0.31847747899153095</c:v>
                </c:pt>
                <c:pt idx="12">
                  <c:v>0.29241039992360834</c:v>
                </c:pt>
                <c:pt idx="13">
                  <c:v>0.26619790172837726</c:v>
                </c:pt>
                <c:pt idx="14">
                  <c:v>0.24163855613557789</c:v>
                </c:pt>
              </c:numCache>
            </c:numRef>
          </c:yVal>
          <c:smooth val="0"/>
          <c:extLst>
            <c:ext xmlns:c16="http://schemas.microsoft.com/office/drawing/2014/chart" uri="{C3380CC4-5D6E-409C-BE32-E72D297353CC}">
              <c16:uniqueId val="{00000006-3B0C-4A4E-B798-6948CF1E298E}"/>
            </c:ext>
          </c:extLst>
        </c:ser>
        <c:ser>
          <c:idx val="5"/>
          <c:order val="7"/>
          <c:spPr>
            <a:ln w="28575">
              <a:solidFill>
                <a:schemeClr val="accent2"/>
              </a:solidFill>
              <a:prstDash val="sysDot"/>
            </a:ln>
          </c:spPr>
          <c:marker>
            <c:symbol val="none"/>
          </c:marker>
          <c:xVal>
            <c:numRef>
              <c:f>Tabelle1!$T$28:$AC$28</c:f>
              <c:numCache>
                <c:formatCode>General</c:formatCode>
                <c:ptCount val="10"/>
                <c:pt idx="0">
                  <c:v>0</c:v>
                </c:pt>
                <c:pt idx="1">
                  <c:v>1E-3</c:v>
                </c:pt>
                <c:pt idx="2">
                  <c:v>0.1</c:v>
                </c:pt>
                <c:pt idx="3">
                  <c:v>0.2</c:v>
                </c:pt>
                <c:pt idx="4">
                  <c:v>0.3</c:v>
                </c:pt>
                <c:pt idx="5">
                  <c:v>0.4</c:v>
                </c:pt>
                <c:pt idx="6">
                  <c:v>0.5</c:v>
                </c:pt>
                <c:pt idx="7">
                  <c:v>0.6</c:v>
                </c:pt>
                <c:pt idx="8">
                  <c:v>0.7</c:v>
                </c:pt>
                <c:pt idx="9">
                  <c:v>0.8</c:v>
                </c:pt>
              </c:numCache>
            </c:numRef>
          </c:xVal>
          <c:yVal>
            <c:numRef>
              <c:f>Tabelle1!$T$29:$AC$29</c:f>
              <c:numCache>
                <c:formatCode>General</c:formatCode>
                <c:ptCount val="10"/>
                <c:pt idx="0">
                  <c:v>0</c:v>
                </c:pt>
                <c:pt idx="1">
                  <c:v>1E-3</c:v>
                </c:pt>
                <c:pt idx="2">
                  <c:v>0.1</c:v>
                </c:pt>
                <c:pt idx="3">
                  <c:v>0.2</c:v>
                </c:pt>
                <c:pt idx="4">
                  <c:v>0.3</c:v>
                </c:pt>
                <c:pt idx="5">
                  <c:v>0.4</c:v>
                </c:pt>
                <c:pt idx="6">
                  <c:v>0.5</c:v>
                </c:pt>
                <c:pt idx="7">
                  <c:v>0.6</c:v>
                </c:pt>
                <c:pt idx="8">
                  <c:v>0.7</c:v>
                </c:pt>
                <c:pt idx="9">
                  <c:v>0.8</c:v>
                </c:pt>
              </c:numCache>
            </c:numRef>
          </c:yVal>
          <c:smooth val="0"/>
          <c:extLst>
            <c:ext xmlns:c16="http://schemas.microsoft.com/office/drawing/2014/chart" uri="{C3380CC4-5D6E-409C-BE32-E72D297353CC}">
              <c16:uniqueId val="{00000007-3B0C-4A4E-B798-6948CF1E298E}"/>
            </c:ext>
          </c:extLst>
        </c:ser>
        <c:dLbls>
          <c:showLegendKey val="0"/>
          <c:showVal val="0"/>
          <c:showCatName val="0"/>
          <c:showSerName val="0"/>
          <c:showPercent val="0"/>
          <c:showBubbleSize val="0"/>
        </c:dLbls>
        <c:axId val="518246056"/>
        <c:axId val="518249008"/>
      </c:scatterChart>
      <c:valAx>
        <c:axId val="518246056"/>
        <c:scaling>
          <c:logBase val="10"/>
          <c:orientation val="minMax"/>
          <c:max val="1"/>
          <c:min val="1.0000000000000002E-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sz="1400"/>
                  <a:t>D analyzed</a:t>
                </a:r>
              </a:p>
            </c:rich>
          </c:tx>
          <c:layout>
            <c:manualLayout>
              <c:xMode val="edge"/>
              <c:yMode val="edge"/>
              <c:x val="0.4128387296767298"/>
              <c:y val="0.94043659025054627"/>
            </c:manualLayout>
          </c:layout>
          <c:overlay val="0"/>
          <c:spPr>
            <a:noFill/>
            <a:ln>
              <a:noFill/>
            </a:ln>
            <a:effectLst/>
          </c:spPr>
        </c:title>
        <c:numFmt formatCode="0.00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18249008"/>
        <c:crosses val="autoZero"/>
        <c:crossBetween val="midCat"/>
      </c:valAx>
      <c:valAx>
        <c:axId val="518249008"/>
        <c:scaling>
          <c:logBase val="10"/>
          <c:orientation val="minMax"/>
          <c:max val="1"/>
          <c:min val="1.0000000000000002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sz="1400"/>
                  <a:t>D calculated</a:t>
                </a:r>
              </a:p>
            </c:rich>
          </c:tx>
          <c:overlay val="0"/>
          <c:spPr>
            <a:noFill/>
            <a:ln>
              <a:noFill/>
            </a:ln>
            <a:effectLst/>
          </c:spPr>
        </c:title>
        <c:numFmt formatCode="0.00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18246056"/>
        <c:crosses val="autoZero"/>
        <c:crossBetween val="midCat"/>
      </c:valAx>
    </c:plotArea>
    <c:legend>
      <c:legendPos val="r"/>
      <c:overlay val="0"/>
    </c:legend>
    <c:plotVisOnly val="1"/>
    <c:dispBlanksAs val="gap"/>
    <c:showDLblsOverMax val="0"/>
    <c:extLst/>
  </c:chart>
  <c:txPr>
    <a:bodyPr/>
    <a:lstStyle/>
    <a:p>
      <a:pPr>
        <a:defRPr/>
      </a:pPr>
      <a:endParaRPr lang="de-DE"/>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4598</Words>
  <Characters>28974</Characters>
  <Application>Microsoft Office Word</Application>
  <DocSecurity>0</DocSecurity>
  <Lines>241</Lines>
  <Paragraphs>67</Paragraphs>
  <ScaleCrop>false</ScaleCrop>
  <HeadingPairs>
    <vt:vector size="2" baseType="variant">
      <vt:variant>
        <vt:lpstr>Titel</vt:lpstr>
      </vt:variant>
      <vt:variant>
        <vt:i4>1</vt:i4>
      </vt:variant>
    </vt:vector>
  </HeadingPairs>
  <TitlesOfParts>
    <vt:vector size="1" baseType="lpstr">
      <vt:lpstr/>
    </vt:vector>
  </TitlesOfParts>
  <Company>WWU Münster NWZ</Company>
  <LinksUpToDate>false</LinksUpToDate>
  <CharactersWithSpaces>33505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Cordula Pauline Haupt</dc:creator>
  <cp:keywords/>
  <dc:description/>
  <cp:lastModifiedBy>Cordula Pauline Haupt</cp:lastModifiedBy>
  <cp:revision>3</cp:revision>
  <dcterms:created xsi:type="dcterms:W3CDTF">2024-02-27T13:38:00Z</dcterms:created>
  <dcterms:modified xsi:type="dcterms:W3CDTF">2024-02-28T14:23:00Z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id="pkHyiVuM"/&gt;&lt;style id="http://www.zotero.org/styles/springer-basic-author-date" hasBibliography="1" bibliographyStyleHasBeenSet="1"/&gt;&lt;prefs&gt;&lt;pref name="fieldType" value="Field"/&gt;&lt;/prefs&gt;&lt;/data&gt;</vt:lpwstr>
  </property>
</Properties>
</file>