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B188D" w14:textId="77777777" w:rsidR="00290D33" w:rsidRPr="00290D33" w:rsidRDefault="00290D33" w:rsidP="00290D33">
      <w:pPr>
        <w:pStyle w:val="Default"/>
        <w:jc w:val="both"/>
        <w:rPr>
          <w:rFonts w:asciiTheme="minorHAnsi" w:hAnsiTheme="minorHAnsi" w:cstheme="minorHAnsi"/>
        </w:rPr>
      </w:pPr>
    </w:p>
    <w:p w14:paraId="40B1083B" w14:textId="2971A15D" w:rsidR="00290D33" w:rsidRDefault="00290D33" w:rsidP="008A6767">
      <w:pPr>
        <w:pStyle w:val="Default"/>
        <w:spacing w:line="480" w:lineRule="auto"/>
        <w:jc w:val="center"/>
        <w:rPr>
          <w:rFonts w:asciiTheme="minorHAnsi" w:hAnsiTheme="minorHAnsi" w:cstheme="minorHAnsi"/>
          <w:b/>
          <w:bCs/>
          <w:color w:val="auto"/>
        </w:rPr>
      </w:pPr>
      <w:r w:rsidRPr="00290D33">
        <w:rPr>
          <w:rFonts w:asciiTheme="minorHAnsi" w:hAnsiTheme="minorHAnsi" w:cstheme="minorHAnsi"/>
          <w:b/>
          <w:bCs/>
          <w:color w:val="auto"/>
        </w:rPr>
        <w:t>Supplemental Material</w:t>
      </w:r>
    </w:p>
    <w:p w14:paraId="69DE11DC" w14:textId="77777777" w:rsidR="00290D33" w:rsidRPr="00290D33" w:rsidRDefault="00290D33" w:rsidP="008A6767">
      <w:pPr>
        <w:pStyle w:val="Default"/>
        <w:spacing w:line="480" w:lineRule="auto"/>
        <w:jc w:val="center"/>
        <w:rPr>
          <w:rFonts w:asciiTheme="minorHAnsi" w:hAnsiTheme="minorHAnsi" w:cstheme="minorHAnsi"/>
          <w:b/>
          <w:bCs/>
          <w:color w:val="auto"/>
        </w:rPr>
      </w:pPr>
    </w:p>
    <w:p w14:paraId="6295A02A" w14:textId="77777777" w:rsidR="00290D33" w:rsidRDefault="00290D33" w:rsidP="008A6767">
      <w:pPr>
        <w:pStyle w:val="Default"/>
        <w:spacing w:line="480" w:lineRule="auto"/>
        <w:jc w:val="both"/>
        <w:rPr>
          <w:rFonts w:asciiTheme="minorHAnsi" w:hAnsiTheme="minorHAnsi" w:cstheme="minorHAnsi"/>
          <w:b/>
          <w:bCs/>
          <w:i/>
          <w:iCs/>
          <w:color w:val="auto"/>
        </w:rPr>
      </w:pPr>
      <w:r w:rsidRPr="00290D33">
        <w:rPr>
          <w:rFonts w:asciiTheme="minorHAnsi" w:hAnsiTheme="minorHAnsi" w:cstheme="minorHAnsi"/>
          <w:b/>
          <w:bCs/>
          <w:i/>
          <w:iCs/>
          <w:color w:val="auto"/>
        </w:rPr>
        <w:t xml:space="preserve">Sample Preparation: </w:t>
      </w:r>
    </w:p>
    <w:p w14:paraId="0AC5991B" w14:textId="3A0BF591" w:rsidR="00290D33" w:rsidRDefault="00290D33" w:rsidP="008A6767">
      <w:pPr>
        <w:pStyle w:val="Default"/>
        <w:spacing w:line="480" w:lineRule="auto"/>
        <w:jc w:val="both"/>
        <w:rPr>
          <w:rFonts w:asciiTheme="minorHAnsi" w:hAnsiTheme="minorHAnsi" w:cstheme="minorHAnsi"/>
          <w:color w:val="auto"/>
        </w:rPr>
      </w:pPr>
    </w:p>
    <w:p w14:paraId="77D8930B" w14:textId="77777777" w:rsidR="006B30E3" w:rsidRPr="00290D33" w:rsidRDefault="006B30E3" w:rsidP="008A6767">
      <w:pPr>
        <w:pStyle w:val="Default"/>
        <w:spacing w:line="480" w:lineRule="auto"/>
        <w:jc w:val="both"/>
        <w:rPr>
          <w:rFonts w:asciiTheme="minorHAnsi" w:hAnsiTheme="minorHAnsi" w:cstheme="minorHAnsi"/>
          <w:color w:val="auto"/>
        </w:rPr>
      </w:pPr>
    </w:p>
    <w:p w14:paraId="212E5835" w14:textId="7BB85ADE" w:rsidR="00290D33" w:rsidRDefault="00290D33" w:rsidP="008A6767">
      <w:pPr>
        <w:pStyle w:val="Default"/>
        <w:spacing w:line="480" w:lineRule="auto"/>
        <w:jc w:val="both"/>
        <w:rPr>
          <w:rFonts w:asciiTheme="minorHAnsi" w:hAnsiTheme="minorHAnsi" w:cstheme="minorHAnsi"/>
          <w:color w:val="auto"/>
        </w:rPr>
      </w:pPr>
      <w:r w:rsidRPr="00290D33">
        <w:rPr>
          <w:rFonts w:asciiTheme="minorHAnsi" w:hAnsiTheme="minorHAnsi" w:cstheme="minorHAnsi"/>
          <w:color w:val="auto"/>
        </w:rPr>
        <w:t>Nine indium mounts were made contai</w:t>
      </w:r>
      <w:r>
        <w:rPr>
          <w:rFonts w:asciiTheme="minorHAnsi" w:hAnsiTheme="minorHAnsi" w:cstheme="minorHAnsi"/>
          <w:color w:val="auto"/>
        </w:rPr>
        <w:t>n</w:t>
      </w:r>
      <w:r w:rsidRPr="00290D33">
        <w:rPr>
          <w:rFonts w:asciiTheme="minorHAnsi" w:hAnsiTheme="minorHAnsi" w:cstheme="minorHAnsi"/>
          <w:color w:val="auto"/>
        </w:rPr>
        <w:t xml:space="preserve">ing standards and </w:t>
      </w:r>
      <w:r>
        <w:rPr>
          <w:rFonts w:asciiTheme="minorHAnsi" w:hAnsiTheme="minorHAnsi" w:cstheme="minorHAnsi"/>
          <w:color w:val="auto"/>
        </w:rPr>
        <w:t>clinopyroxene phenocrysts</w:t>
      </w:r>
      <w:r w:rsidRPr="00290D33">
        <w:rPr>
          <w:rFonts w:asciiTheme="minorHAnsi" w:hAnsiTheme="minorHAnsi" w:cstheme="minorHAnsi"/>
          <w:color w:val="auto"/>
        </w:rPr>
        <w:t xml:space="preserve"> from Cook-Austral Islands </w:t>
      </w:r>
      <w:r>
        <w:rPr>
          <w:rFonts w:asciiTheme="minorHAnsi" w:hAnsiTheme="minorHAnsi" w:cstheme="minorHAnsi"/>
          <w:color w:val="auto"/>
        </w:rPr>
        <w:t>basalts</w:t>
      </w:r>
      <w:r w:rsidRPr="00290D33">
        <w:rPr>
          <w:rFonts w:asciiTheme="minorHAnsi" w:hAnsiTheme="minorHAnsi" w:cstheme="minorHAnsi"/>
          <w:color w:val="auto"/>
        </w:rPr>
        <w:t>. Whole rock samples were crushed and sieved</w:t>
      </w:r>
      <w:r>
        <w:rPr>
          <w:rFonts w:asciiTheme="minorHAnsi" w:hAnsiTheme="minorHAnsi" w:cstheme="minorHAnsi"/>
          <w:color w:val="auto"/>
        </w:rPr>
        <w:t xml:space="preserve">, </w:t>
      </w:r>
      <w:r w:rsidRPr="00290D33">
        <w:rPr>
          <w:rFonts w:asciiTheme="minorHAnsi" w:hAnsiTheme="minorHAnsi" w:cstheme="minorHAnsi"/>
          <w:color w:val="auto"/>
        </w:rPr>
        <w:t>and inclusion</w:t>
      </w:r>
      <w:r>
        <w:rPr>
          <w:rFonts w:asciiTheme="minorHAnsi" w:hAnsiTheme="minorHAnsi" w:cstheme="minorHAnsi"/>
          <w:color w:val="auto"/>
        </w:rPr>
        <w:t>-</w:t>
      </w:r>
      <w:r w:rsidRPr="00290D33">
        <w:rPr>
          <w:rFonts w:asciiTheme="minorHAnsi" w:hAnsiTheme="minorHAnsi" w:cstheme="minorHAnsi"/>
          <w:color w:val="auto"/>
        </w:rPr>
        <w:t xml:space="preserve">free clinopyroxene </w:t>
      </w:r>
      <w:r>
        <w:rPr>
          <w:rFonts w:asciiTheme="minorHAnsi" w:hAnsiTheme="minorHAnsi" w:cstheme="minorHAnsi"/>
          <w:color w:val="auto"/>
        </w:rPr>
        <w:t>grains</w:t>
      </w:r>
      <w:r w:rsidRPr="00290D33">
        <w:rPr>
          <w:rFonts w:asciiTheme="minorHAnsi" w:hAnsiTheme="minorHAnsi" w:cstheme="minorHAnsi"/>
          <w:color w:val="auto"/>
        </w:rPr>
        <w:t xml:space="preserve"> were picked and then mounted in crystal bond on glass slides. Grains were polished with grit paper from 65 to 13 μm and then finished with 5 μm and 1 μm diamond paste. The crystal</w:t>
      </w:r>
      <w:r>
        <w:rPr>
          <w:rFonts w:asciiTheme="minorHAnsi" w:hAnsiTheme="minorHAnsi" w:cstheme="minorHAnsi"/>
          <w:color w:val="auto"/>
        </w:rPr>
        <w:t xml:space="preserve"> </w:t>
      </w:r>
      <w:r w:rsidRPr="00290D33">
        <w:rPr>
          <w:rFonts w:asciiTheme="minorHAnsi" w:hAnsiTheme="minorHAnsi" w:cstheme="minorHAnsi"/>
          <w:color w:val="auto"/>
        </w:rPr>
        <w:t>bond was dissolved in an acetone bath, freeing the polished grains. Individual polished grains were then washed in a series of baths: clean acetone, ethanol</w:t>
      </w:r>
      <w:r w:rsidRPr="00716ED9">
        <w:rPr>
          <w:rFonts w:asciiTheme="minorHAnsi" w:hAnsiTheme="minorHAnsi" w:cstheme="minorHAnsi"/>
          <w:color w:val="auto"/>
        </w:rPr>
        <w:t xml:space="preserve">, and deionized water. Grains were then dried for 24 hr at </w:t>
      </w:r>
      <w:r w:rsidR="00DD2E7A" w:rsidRPr="00716ED9">
        <w:rPr>
          <w:rFonts w:asciiTheme="minorHAnsi" w:hAnsiTheme="minorHAnsi" w:cstheme="minorHAnsi"/>
          <w:color w:val="auto"/>
        </w:rPr>
        <w:t>8</w:t>
      </w:r>
      <w:r w:rsidRPr="00716ED9">
        <w:rPr>
          <w:rFonts w:asciiTheme="minorHAnsi" w:hAnsiTheme="minorHAnsi" w:cstheme="minorHAnsi"/>
          <w:color w:val="auto"/>
        </w:rPr>
        <w:t xml:space="preserve">0 </w:t>
      </w:r>
      <w:r w:rsidRPr="00716ED9">
        <w:rPr>
          <w:rFonts w:asciiTheme="minorHAnsi" w:hAnsiTheme="minorHAnsi" w:cstheme="minorHAnsi"/>
          <w:color w:val="auto"/>
          <w:vertAlign w:val="superscript"/>
        </w:rPr>
        <w:t>o</w:t>
      </w:r>
      <w:r w:rsidRPr="00716ED9">
        <w:rPr>
          <w:rFonts w:asciiTheme="minorHAnsi" w:hAnsiTheme="minorHAnsi" w:cstheme="minorHAnsi"/>
          <w:color w:val="auto"/>
        </w:rPr>
        <w:t>C before being mounted in indium.</w:t>
      </w:r>
      <w:r w:rsidRPr="00290D33">
        <w:rPr>
          <w:rFonts w:asciiTheme="minorHAnsi" w:hAnsiTheme="minorHAnsi" w:cstheme="minorHAnsi"/>
          <w:color w:val="auto"/>
        </w:rPr>
        <w:t xml:space="preserve"> </w:t>
      </w:r>
    </w:p>
    <w:p w14:paraId="4306635B" w14:textId="77777777" w:rsidR="00290D33" w:rsidRPr="00290D33" w:rsidRDefault="00290D33" w:rsidP="008A6767">
      <w:pPr>
        <w:pStyle w:val="Default"/>
        <w:spacing w:line="480" w:lineRule="auto"/>
        <w:jc w:val="both"/>
        <w:rPr>
          <w:rFonts w:asciiTheme="minorHAnsi" w:hAnsiTheme="minorHAnsi" w:cstheme="minorHAnsi"/>
          <w:color w:val="auto"/>
        </w:rPr>
      </w:pPr>
    </w:p>
    <w:p w14:paraId="09FAA0C8" w14:textId="0C56CEC6" w:rsidR="00290D33" w:rsidRDefault="00290D33" w:rsidP="008A6767">
      <w:pPr>
        <w:pStyle w:val="Default"/>
        <w:spacing w:line="480" w:lineRule="auto"/>
        <w:jc w:val="both"/>
        <w:rPr>
          <w:rFonts w:asciiTheme="minorHAnsi" w:hAnsiTheme="minorHAnsi" w:cstheme="minorHAnsi"/>
        </w:rPr>
      </w:pPr>
      <w:r w:rsidRPr="00290D33">
        <w:rPr>
          <w:rFonts w:asciiTheme="minorHAnsi" w:hAnsiTheme="minorHAnsi" w:cstheme="minorHAnsi"/>
          <w:color w:val="auto"/>
        </w:rPr>
        <w:t xml:space="preserve">Indium </w:t>
      </w:r>
      <w:r w:rsidR="00DD2E7A">
        <w:rPr>
          <w:rFonts w:asciiTheme="minorHAnsi" w:hAnsiTheme="minorHAnsi" w:cstheme="minorHAnsi"/>
          <w:color w:val="auto"/>
        </w:rPr>
        <w:t>mount</w:t>
      </w:r>
      <w:r w:rsidRPr="00290D33">
        <w:rPr>
          <w:rFonts w:asciiTheme="minorHAnsi" w:hAnsiTheme="minorHAnsi" w:cstheme="minorHAnsi"/>
          <w:color w:val="auto"/>
        </w:rPr>
        <w:t xml:space="preserve"> preparation techniques were </w:t>
      </w:r>
      <w:r w:rsidR="00DD2E7A">
        <w:rPr>
          <w:rFonts w:asciiTheme="minorHAnsi" w:hAnsiTheme="minorHAnsi" w:cstheme="minorHAnsi"/>
          <w:color w:val="auto"/>
        </w:rPr>
        <w:t xml:space="preserve">similar to those outlined in Marshall et al. (2018). </w:t>
      </w:r>
      <w:r w:rsidRPr="00290D33">
        <w:rPr>
          <w:rFonts w:asciiTheme="minorHAnsi" w:hAnsiTheme="minorHAnsi" w:cstheme="minorHAnsi"/>
        </w:rPr>
        <w:t xml:space="preserve"> The indium was held in 1 inch aluminum rounds with a cylindrical depression of 0.75 inches in diameter at the center. Solid indium was placed in the center of the mounts and heated to 250 °C on a hot plate in order to melt the indium into the mount. To ensure no organic material was incorporated into the mount, temperatures above the melting temperature of indium were used to oxidize any organics. Molten indium oxidizes in contact with air and thus an oxide coat was formed on the surface of the mounts, which was scraped off prior to cooling. </w:t>
      </w:r>
      <w:r w:rsidR="00DD2E7A">
        <w:rPr>
          <w:rFonts w:asciiTheme="minorHAnsi" w:hAnsiTheme="minorHAnsi" w:cstheme="minorHAnsi"/>
        </w:rPr>
        <w:t>Next</w:t>
      </w:r>
      <w:r w:rsidRPr="00290D33">
        <w:rPr>
          <w:rFonts w:asciiTheme="minorHAnsi" w:hAnsiTheme="minorHAnsi" w:cstheme="minorHAnsi"/>
        </w:rPr>
        <w:t xml:space="preserve">, the mounts were placed between two plastic sheets and pressed to 5 tons of force using a hydraulic press at the University of Texas at Austin. This ensured that the mounts had a level surface. However, five tons of force may have been excessive and resulted in </w:t>
      </w:r>
      <w:r w:rsidR="00DD2E7A">
        <w:rPr>
          <w:rFonts w:asciiTheme="minorHAnsi" w:hAnsiTheme="minorHAnsi" w:cstheme="minorHAnsi"/>
        </w:rPr>
        <w:t>some</w:t>
      </w:r>
      <w:r w:rsidRPr="00290D33">
        <w:rPr>
          <w:rFonts w:asciiTheme="minorHAnsi" w:hAnsiTheme="minorHAnsi" w:cstheme="minorHAnsi"/>
        </w:rPr>
        <w:t xml:space="preserve"> deformation of the mounts (each mount widened by a few millimeters). The aluminum sides of these mounts </w:t>
      </w:r>
      <w:r w:rsidR="00DD2E7A">
        <w:rPr>
          <w:rFonts w:asciiTheme="minorHAnsi" w:hAnsiTheme="minorHAnsi" w:cstheme="minorHAnsi"/>
        </w:rPr>
        <w:t>needed to</w:t>
      </w:r>
      <w:r w:rsidRPr="00290D33">
        <w:rPr>
          <w:rFonts w:asciiTheme="minorHAnsi" w:hAnsiTheme="minorHAnsi" w:cstheme="minorHAnsi"/>
        </w:rPr>
        <w:t xml:space="preserve"> be ground in order to fit into the 1 inch EMPA and SIMS mount holders. </w:t>
      </w:r>
    </w:p>
    <w:p w14:paraId="14966425" w14:textId="77777777" w:rsidR="00290D33" w:rsidRPr="00290D33" w:rsidRDefault="00290D33" w:rsidP="008A6767">
      <w:pPr>
        <w:pStyle w:val="Default"/>
        <w:spacing w:line="480" w:lineRule="auto"/>
        <w:jc w:val="both"/>
        <w:rPr>
          <w:rFonts w:asciiTheme="minorHAnsi" w:hAnsiTheme="minorHAnsi" w:cstheme="minorHAnsi"/>
        </w:rPr>
      </w:pPr>
    </w:p>
    <w:p w14:paraId="6EF6BC9F" w14:textId="3B31EFF4" w:rsidR="00290D33" w:rsidRDefault="00290D33" w:rsidP="008A6767">
      <w:pPr>
        <w:pStyle w:val="Default"/>
        <w:spacing w:line="480" w:lineRule="auto"/>
        <w:jc w:val="both"/>
        <w:rPr>
          <w:rFonts w:asciiTheme="minorHAnsi" w:hAnsiTheme="minorHAnsi" w:cstheme="minorHAnsi"/>
        </w:rPr>
      </w:pPr>
      <w:r w:rsidRPr="00290D33">
        <w:rPr>
          <w:rFonts w:asciiTheme="minorHAnsi" w:hAnsiTheme="minorHAnsi" w:cstheme="minorHAnsi"/>
        </w:rPr>
        <w:t>Cleaned grains were picked and loaded onto mounts and pressed into place with a</w:t>
      </w:r>
      <w:r w:rsidR="00DD2E7A">
        <w:rPr>
          <w:rFonts w:asciiTheme="minorHAnsi" w:hAnsiTheme="minorHAnsi" w:cstheme="minorHAnsi"/>
        </w:rPr>
        <w:t xml:space="preserve"> </w:t>
      </w:r>
      <w:r w:rsidRPr="00290D33">
        <w:rPr>
          <w:rFonts w:asciiTheme="minorHAnsi" w:hAnsiTheme="minorHAnsi" w:cstheme="minorHAnsi"/>
        </w:rPr>
        <w:t xml:space="preserve">clean glass microscope slide. Once grains and standards were placed, the mounts were pressed with the hydraulic press using the same procedure as before. Lastly, the mounts were lightly polished using a 1 μm diamond suspension and polishing cloth to remove surficial material. The mounts were then sonicated in 18MΩ water and stored in an oven at 80 °C. </w:t>
      </w:r>
    </w:p>
    <w:p w14:paraId="76FAEFDD" w14:textId="77777777" w:rsidR="00290D33" w:rsidRPr="00290D33" w:rsidRDefault="00290D33" w:rsidP="008A6767">
      <w:pPr>
        <w:pStyle w:val="Default"/>
        <w:spacing w:line="480" w:lineRule="auto"/>
        <w:jc w:val="both"/>
        <w:rPr>
          <w:rFonts w:asciiTheme="minorHAnsi" w:hAnsiTheme="minorHAnsi" w:cstheme="minorHAnsi"/>
        </w:rPr>
      </w:pPr>
    </w:p>
    <w:p w14:paraId="0AAF00CC" w14:textId="19898CA2" w:rsidR="00290D33" w:rsidRDefault="00BD2DB7" w:rsidP="008A6767">
      <w:pPr>
        <w:pStyle w:val="Default"/>
        <w:spacing w:line="480" w:lineRule="auto"/>
        <w:jc w:val="both"/>
        <w:rPr>
          <w:rFonts w:asciiTheme="minorHAnsi" w:hAnsiTheme="minorHAnsi" w:cstheme="minorHAnsi"/>
          <w:b/>
          <w:bCs/>
          <w:i/>
          <w:iCs/>
        </w:rPr>
      </w:pPr>
      <w:r>
        <w:rPr>
          <w:rFonts w:asciiTheme="minorHAnsi" w:hAnsiTheme="minorHAnsi" w:cstheme="minorHAnsi"/>
          <w:b/>
          <w:bCs/>
          <w:i/>
          <w:iCs/>
        </w:rPr>
        <w:t xml:space="preserve">EPMA </w:t>
      </w:r>
      <w:r w:rsidR="00290D33" w:rsidRPr="00290D33">
        <w:rPr>
          <w:rFonts w:asciiTheme="minorHAnsi" w:hAnsiTheme="minorHAnsi" w:cstheme="minorHAnsi"/>
          <w:b/>
          <w:bCs/>
          <w:i/>
          <w:iCs/>
        </w:rPr>
        <w:t xml:space="preserve">Major Element Analysis: </w:t>
      </w:r>
    </w:p>
    <w:p w14:paraId="5079E96B" w14:textId="77777777" w:rsidR="00290D33" w:rsidRPr="00290D33" w:rsidRDefault="00290D33" w:rsidP="008A6767">
      <w:pPr>
        <w:pStyle w:val="Default"/>
        <w:spacing w:line="480" w:lineRule="auto"/>
        <w:jc w:val="both"/>
        <w:rPr>
          <w:rFonts w:asciiTheme="minorHAnsi" w:hAnsiTheme="minorHAnsi" w:cstheme="minorHAnsi"/>
        </w:rPr>
      </w:pPr>
    </w:p>
    <w:p w14:paraId="5B6AE91D" w14:textId="378A9699" w:rsidR="00290D33" w:rsidRDefault="00DD2E7A" w:rsidP="008A6767">
      <w:pPr>
        <w:pStyle w:val="Default"/>
        <w:spacing w:line="480" w:lineRule="auto"/>
        <w:jc w:val="both"/>
        <w:rPr>
          <w:rFonts w:asciiTheme="minorHAnsi" w:hAnsiTheme="minorHAnsi" w:cstheme="minorHAnsi"/>
          <w:color w:val="auto"/>
        </w:rPr>
      </w:pPr>
      <w:r w:rsidRPr="00290D33">
        <w:rPr>
          <w:rFonts w:asciiTheme="minorHAnsi" w:hAnsiTheme="minorHAnsi" w:cstheme="minorHAnsi"/>
        </w:rPr>
        <w:t xml:space="preserve">Each mount was carbon coated prior to major element analysis. </w:t>
      </w:r>
      <w:r w:rsidR="00FB704A">
        <w:rPr>
          <w:rFonts w:asciiTheme="minorHAnsi" w:hAnsiTheme="minorHAnsi" w:cstheme="minorHAnsi"/>
        </w:rPr>
        <w:t>G</w:t>
      </w:r>
      <w:r w:rsidR="00290D33" w:rsidRPr="00290D33">
        <w:rPr>
          <w:rFonts w:asciiTheme="minorHAnsi" w:hAnsiTheme="minorHAnsi" w:cstheme="minorHAnsi"/>
        </w:rPr>
        <w:t xml:space="preserve">rains were analyzed for major elements using the JEOL JXA-8200 EPMA at the University of Texas at Austin. EMPA analysis were conducted using a 20 nA beam current, 15 kV accelerating voltage, and a 10 μm defocused beam. Count times were 30 to 40 seconds on peak and 15 to 20 seconds off peak. </w:t>
      </w:r>
      <w:r w:rsidR="006F2799">
        <w:rPr>
          <w:rFonts w:asciiTheme="minorHAnsi" w:hAnsiTheme="minorHAnsi" w:cstheme="minorHAnsi"/>
        </w:rPr>
        <w:t>Accuracy and p</w:t>
      </w:r>
      <w:r w:rsidR="00290D33" w:rsidRPr="00290D33">
        <w:rPr>
          <w:rFonts w:asciiTheme="minorHAnsi" w:hAnsiTheme="minorHAnsi" w:cstheme="minorHAnsi"/>
        </w:rPr>
        <w:t xml:space="preserve">recision </w:t>
      </w:r>
      <w:r w:rsidR="006F2799">
        <w:rPr>
          <w:rFonts w:asciiTheme="minorHAnsi" w:hAnsiTheme="minorHAnsi" w:cstheme="minorHAnsi"/>
        </w:rPr>
        <w:t>based on</w:t>
      </w:r>
      <w:r w:rsidR="00290D33" w:rsidRPr="00290D33">
        <w:rPr>
          <w:rFonts w:asciiTheme="minorHAnsi" w:hAnsiTheme="minorHAnsi" w:cstheme="minorHAnsi"/>
        </w:rPr>
        <w:t xml:space="preserve"> repeated analysis on the secondary standard NMNH (National Museum of Natural History) Cr-Augite 164905 </w:t>
      </w:r>
      <w:r w:rsidR="006F2799">
        <w:rPr>
          <w:rFonts w:asciiTheme="minorHAnsi" w:hAnsiTheme="minorHAnsi" w:cstheme="minorHAnsi"/>
        </w:rPr>
        <w:t>are</w:t>
      </w:r>
      <w:r w:rsidR="00290D33" w:rsidRPr="00290D33">
        <w:rPr>
          <w:rFonts w:asciiTheme="minorHAnsi" w:hAnsiTheme="minorHAnsi" w:cstheme="minorHAnsi"/>
        </w:rPr>
        <w:t xml:space="preserve"> </w:t>
      </w:r>
      <w:r w:rsidR="00290D33" w:rsidRPr="002F25B5">
        <w:rPr>
          <w:rFonts w:asciiTheme="minorHAnsi" w:hAnsiTheme="minorHAnsi" w:cstheme="minorHAnsi"/>
        </w:rPr>
        <w:t xml:space="preserve">given in </w:t>
      </w:r>
      <w:r w:rsidR="009C2297" w:rsidRPr="002F25B5">
        <w:rPr>
          <w:rFonts w:asciiTheme="minorHAnsi" w:hAnsiTheme="minorHAnsi" w:cstheme="minorHAnsi"/>
        </w:rPr>
        <w:t>Table S1</w:t>
      </w:r>
      <w:r w:rsidR="00290D33" w:rsidRPr="002F25B5">
        <w:rPr>
          <w:rFonts w:asciiTheme="minorHAnsi" w:hAnsiTheme="minorHAnsi" w:cstheme="minorHAnsi"/>
        </w:rPr>
        <w:t>. For elements</w:t>
      </w:r>
      <w:r w:rsidR="00290D33" w:rsidRPr="00290D33">
        <w:rPr>
          <w:rFonts w:asciiTheme="minorHAnsi" w:hAnsiTheme="minorHAnsi" w:cstheme="minorHAnsi"/>
        </w:rPr>
        <w:t xml:space="preserve"> with concentrations greater than 1 wt. %, reproducibility of Cr-Augite 164905 was better than 2%. For elements with concentrations less than 1 wt%, reproducibility ranged from better than % for Cr2O3, 11% for Na2O, MnO, TiO2, and better than 12% for MnO. Averaged analyses of NMNH Cr Augite were accurate within </w:t>
      </w:r>
      <w:r w:rsidR="006F2799">
        <w:rPr>
          <w:rFonts w:asciiTheme="minorHAnsi" w:hAnsiTheme="minorHAnsi" w:cstheme="minorHAnsi"/>
        </w:rPr>
        <w:t>3</w:t>
      </w:r>
      <w:r w:rsidR="00290D33" w:rsidRPr="00290D33">
        <w:rPr>
          <w:rFonts w:asciiTheme="minorHAnsi" w:hAnsiTheme="minorHAnsi" w:cstheme="minorHAnsi"/>
        </w:rPr>
        <w:t xml:space="preserve">% of published values </w:t>
      </w:r>
      <w:r w:rsidR="00290D33">
        <w:rPr>
          <w:rFonts w:asciiTheme="minorHAnsi" w:hAnsiTheme="minorHAnsi" w:cstheme="minorHAnsi"/>
          <w:color w:val="auto"/>
        </w:rPr>
        <w:t>f</w:t>
      </w:r>
      <w:r w:rsidR="00290D33" w:rsidRPr="00290D33">
        <w:rPr>
          <w:rFonts w:asciiTheme="minorHAnsi" w:hAnsiTheme="minorHAnsi" w:cstheme="minorHAnsi"/>
          <w:color w:val="auto"/>
        </w:rPr>
        <w:t xml:space="preserve">or all elements, except for </w:t>
      </w:r>
      <w:r w:rsidR="006F2799">
        <w:rPr>
          <w:rFonts w:asciiTheme="minorHAnsi" w:hAnsiTheme="minorHAnsi" w:cstheme="minorHAnsi"/>
          <w:color w:val="auto"/>
        </w:rPr>
        <w:t xml:space="preserve">Cr (5%) and </w:t>
      </w:r>
      <w:r w:rsidR="00290D33" w:rsidRPr="00290D33">
        <w:rPr>
          <w:rFonts w:asciiTheme="minorHAnsi" w:hAnsiTheme="minorHAnsi" w:cstheme="minorHAnsi"/>
          <w:color w:val="auto"/>
        </w:rPr>
        <w:t xml:space="preserve">Mn (8%) (Jarosewich et al., 1980). Cr-Augite NMNH 164905 is a true secondary standard for Mounts F, G, H, and I. However, for Mounts A through E, Al was calibrated using Cr-Augite as a primary standard, therefore NMNH Kakanui Hornblende 143965 was used as a secondary standard for this element. Repeated analyses of Kakanui Hornblende were reproducible better than 2% for Al. Furthermore, Cr-Augite was used as the primary standard for Mg, Si, Ca and Fe for Mount A, B, and C. Thus, for these mounts, Kakanui Hornblende was used as the secondary standard for Mg, Si, Ca and Fe. Reproducibility for these elements was also better than 2%. Averaged analyses of NMNH Kakanui Hornblende were within 3% of published values for Al2O3, FeO, CaO, MgO, SiO2. </w:t>
      </w:r>
    </w:p>
    <w:p w14:paraId="310853D9" w14:textId="77777777" w:rsidR="00290D33" w:rsidRPr="00290D33" w:rsidRDefault="00290D33" w:rsidP="008A6767">
      <w:pPr>
        <w:pStyle w:val="Default"/>
        <w:spacing w:line="480" w:lineRule="auto"/>
        <w:jc w:val="both"/>
        <w:rPr>
          <w:rFonts w:asciiTheme="minorHAnsi" w:hAnsiTheme="minorHAnsi" w:cstheme="minorHAnsi"/>
          <w:color w:val="auto"/>
        </w:rPr>
      </w:pPr>
    </w:p>
    <w:p w14:paraId="2F7DDEDE" w14:textId="3EA3471D" w:rsidR="00290D33" w:rsidRDefault="00BD2DB7" w:rsidP="008A6767">
      <w:pPr>
        <w:pStyle w:val="Default"/>
        <w:spacing w:line="480" w:lineRule="auto"/>
        <w:jc w:val="both"/>
        <w:rPr>
          <w:rFonts w:asciiTheme="minorHAnsi" w:hAnsiTheme="minorHAnsi" w:cstheme="minorHAnsi"/>
          <w:b/>
          <w:bCs/>
          <w:i/>
          <w:iCs/>
          <w:color w:val="auto"/>
        </w:rPr>
      </w:pPr>
      <w:r>
        <w:rPr>
          <w:rFonts w:asciiTheme="minorHAnsi" w:hAnsiTheme="minorHAnsi" w:cstheme="minorHAnsi"/>
          <w:b/>
          <w:bCs/>
          <w:i/>
          <w:iCs/>
          <w:color w:val="auto"/>
        </w:rPr>
        <w:t>SIMS H</w:t>
      </w:r>
      <w:r>
        <w:rPr>
          <w:rFonts w:asciiTheme="minorHAnsi" w:hAnsiTheme="minorHAnsi" w:cstheme="minorHAnsi"/>
          <w:b/>
          <w:bCs/>
          <w:i/>
          <w:iCs/>
          <w:color w:val="auto"/>
          <w:vertAlign w:val="subscript"/>
        </w:rPr>
        <w:t>2</w:t>
      </w:r>
      <w:r>
        <w:rPr>
          <w:rFonts w:asciiTheme="minorHAnsi" w:hAnsiTheme="minorHAnsi" w:cstheme="minorHAnsi"/>
          <w:b/>
          <w:bCs/>
          <w:i/>
          <w:iCs/>
          <w:color w:val="auto"/>
        </w:rPr>
        <w:t>O</w:t>
      </w:r>
      <w:r w:rsidR="00290D33" w:rsidRPr="00290D33">
        <w:rPr>
          <w:rFonts w:asciiTheme="minorHAnsi" w:hAnsiTheme="minorHAnsi" w:cstheme="minorHAnsi"/>
          <w:b/>
          <w:bCs/>
          <w:i/>
          <w:iCs/>
          <w:color w:val="auto"/>
        </w:rPr>
        <w:t xml:space="preserve"> Analysis: </w:t>
      </w:r>
    </w:p>
    <w:p w14:paraId="43C2BE91" w14:textId="77777777" w:rsidR="00290D33" w:rsidRPr="00290D33" w:rsidRDefault="00290D33" w:rsidP="008A6767">
      <w:pPr>
        <w:pStyle w:val="Default"/>
        <w:spacing w:line="480" w:lineRule="auto"/>
        <w:jc w:val="both"/>
        <w:rPr>
          <w:rFonts w:asciiTheme="minorHAnsi" w:hAnsiTheme="minorHAnsi" w:cstheme="minorHAnsi"/>
          <w:color w:val="auto"/>
        </w:rPr>
      </w:pPr>
    </w:p>
    <w:p w14:paraId="0ADBC29E" w14:textId="74BB32C3" w:rsidR="00290D33" w:rsidRDefault="00290D33" w:rsidP="008A6767">
      <w:pPr>
        <w:pStyle w:val="Default"/>
        <w:spacing w:line="480" w:lineRule="auto"/>
        <w:jc w:val="both"/>
        <w:rPr>
          <w:rFonts w:asciiTheme="minorHAnsi" w:hAnsiTheme="minorHAnsi" w:cstheme="minorHAnsi"/>
          <w:color w:val="auto"/>
        </w:rPr>
      </w:pPr>
      <w:r w:rsidRPr="00290D33">
        <w:rPr>
          <w:rFonts w:asciiTheme="minorHAnsi" w:hAnsiTheme="minorHAnsi" w:cstheme="minorHAnsi"/>
          <w:color w:val="auto"/>
        </w:rPr>
        <w:t xml:space="preserve">Following major element analysis, </w:t>
      </w:r>
      <w:r w:rsidR="00BD2DB7">
        <w:rPr>
          <w:rFonts w:asciiTheme="minorHAnsi" w:hAnsiTheme="minorHAnsi" w:cstheme="minorHAnsi"/>
          <w:color w:val="auto"/>
        </w:rPr>
        <w:t>phenocrysts</w:t>
      </w:r>
      <w:r w:rsidRPr="00290D33">
        <w:rPr>
          <w:rFonts w:asciiTheme="minorHAnsi" w:hAnsiTheme="minorHAnsi" w:cstheme="minorHAnsi"/>
          <w:color w:val="auto"/>
        </w:rPr>
        <w:t xml:space="preserve"> were analyzed for H</w:t>
      </w:r>
      <w:r w:rsidRPr="00BD2DB7">
        <w:rPr>
          <w:rFonts w:asciiTheme="minorHAnsi" w:hAnsiTheme="minorHAnsi" w:cstheme="minorHAnsi"/>
          <w:color w:val="auto"/>
          <w:vertAlign w:val="subscript"/>
        </w:rPr>
        <w:t>2</w:t>
      </w:r>
      <w:r w:rsidRPr="00290D33">
        <w:rPr>
          <w:rFonts w:asciiTheme="minorHAnsi" w:hAnsiTheme="minorHAnsi" w:cstheme="minorHAnsi"/>
          <w:color w:val="auto"/>
        </w:rPr>
        <w:t>O contents using the Cameca IMS 6f Secondary Ion Mass Spectrometer at Arizona State University. Analytical procedures were similar to methods of Tenner et al. (2009)</w:t>
      </w:r>
      <w:r w:rsidR="00B97F46">
        <w:rPr>
          <w:rFonts w:asciiTheme="minorHAnsi" w:hAnsiTheme="minorHAnsi" w:cstheme="minorHAnsi"/>
          <w:color w:val="auto"/>
        </w:rPr>
        <w:t xml:space="preserve"> and Marshall et al. (2018)</w:t>
      </w:r>
      <w:r w:rsidRPr="00290D33">
        <w:rPr>
          <w:rFonts w:asciiTheme="minorHAnsi" w:hAnsiTheme="minorHAnsi" w:cstheme="minorHAnsi"/>
          <w:color w:val="auto"/>
        </w:rPr>
        <w:t>. Mounts were left in the SIMS ant</w:t>
      </w:r>
      <w:r w:rsidR="00E67C25">
        <w:rPr>
          <w:rFonts w:asciiTheme="minorHAnsi" w:hAnsiTheme="minorHAnsi" w:cstheme="minorHAnsi"/>
          <w:color w:val="auto"/>
        </w:rPr>
        <w:t>e</w:t>
      </w:r>
      <w:r w:rsidRPr="00290D33">
        <w:rPr>
          <w:rFonts w:asciiTheme="minorHAnsi" w:hAnsiTheme="minorHAnsi" w:cstheme="minorHAnsi"/>
          <w:color w:val="auto"/>
        </w:rPr>
        <w:t>chamber at 2x10</w:t>
      </w:r>
      <w:r w:rsidRPr="00E67C25">
        <w:rPr>
          <w:rFonts w:asciiTheme="minorHAnsi" w:hAnsiTheme="minorHAnsi" w:cstheme="minorHAnsi"/>
          <w:color w:val="auto"/>
          <w:vertAlign w:val="superscript"/>
        </w:rPr>
        <w:t xml:space="preserve">-8 </w:t>
      </w:r>
      <w:r w:rsidRPr="00290D33">
        <w:rPr>
          <w:rFonts w:asciiTheme="minorHAnsi" w:hAnsiTheme="minorHAnsi" w:cstheme="minorHAnsi"/>
          <w:color w:val="auto"/>
        </w:rPr>
        <w:t>torr for roughly 24 hours prior to analysis to minimize the background signal. Main chamber pressures ranged from 2.5x10</w:t>
      </w:r>
      <w:r w:rsidRPr="00E67C25">
        <w:rPr>
          <w:rFonts w:asciiTheme="minorHAnsi" w:hAnsiTheme="minorHAnsi" w:cstheme="minorHAnsi"/>
          <w:color w:val="auto"/>
          <w:vertAlign w:val="superscript"/>
        </w:rPr>
        <w:t>-10</w:t>
      </w:r>
      <w:r w:rsidRPr="00290D33">
        <w:rPr>
          <w:rFonts w:asciiTheme="minorHAnsi" w:hAnsiTheme="minorHAnsi" w:cstheme="minorHAnsi"/>
          <w:color w:val="auto"/>
        </w:rPr>
        <w:t xml:space="preserve"> to 4x10</w:t>
      </w:r>
      <w:r w:rsidRPr="00E67C25">
        <w:rPr>
          <w:rFonts w:asciiTheme="minorHAnsi" w:hAnsiTheme="minorHAnsi" w:cstheme="minorHAnsi"/>
          <w:color w:val="auto"/>
          <w:vertAlign w:val="superscript"/>
        </w:rPr>
        <w:t>-10</w:t>
      </w:r>
      <w:r w:rsidRPr="00290D33">
        <w:rPr>
          <w:rFonts w:asciiTheme="minorHAnsi" w:hAnsiTheme="minorHAnsi" w:cstheme="minorHAnsi"/>
          <w:color w:val="auto"/>
        </w:rPr>
        <w:t xml:space="preserve"> torr during analysis and a 10 nA rastered Cs+ beam was used for analysis. Energy filtering was conducted with a 75</w:t>
      </w:r>
      <w:r w:rsidR="00E67C25">
        <w:rPr>
          <w:rFonts w:asciiTheme="minorHAnsi" w:hAnsiTheme="minorHAnsi" w:cstheme="minorHAnsi"/>
          <w:color w:val="auto"/>
        </w:rPr>
        <w:t xml:space="preserve"> </w:t>
      </w:r>
      <w:r w:rsidRPr="00290D33">
        <w:rPr>
          <w:rFonts w:asciiTheme="minorHAnsi" w:hAnsiTheme="minorHAnsi" w:cstheme="minorHAnsi"/>
          <w:color w:val="auto"/>
        </w:rPr>
        <w:t>V offset. Mass resolving power was approximately 5000</w:t>
      </w:r>
      <w:r w:rsidR="00E67C25">
        <w:rPr>
          <w:rFonts w:asciiTheme="minorHAnsi" w:hAnsiTheme="minorHAnsi" w:cstheme="minorHAnsi"/>
          <w:color w:val="auto"/>
        </w:rPr>
        <w:t xml:space="preserve">, allowing differentiation of </w:t>
      </w:r>
      <w:r w:rsidRPr="00E67C25">
        <w:rPr>
          <w:rFonts w:asciiTheme="minorHAnsi" w:hAnsiTheme="minorHAnsi" w:cstheme="minorHAnsi"/>
          <w:color w:val="auto"/>
          <w:vertAlign w:val="superscript"/>
        </w:rPr>
        <w:t>17</w:t>
      </w:r>
      <w:r w:rsidRPr="00290D33">
        <w:rPr>
          <w:rFonts w:asciiTheme="minorHAnsi" w:hAnsiTheme="minorHAnsi" w:cstheme="minorHAnsi"/>
          <w:color w:val="auto"/>
        </w:rPr>
        <w:t xml:space="preserve">O from </w:t>
      </w:r>
      <w:r w:rsidRPr="00E67C25">
        <w:rPr>
          <w:rFonts w:asciiTheme="minorHAnsi" w:hAnsiTheme="minorHAnsi" w:cstheme="minorHAnsi"/>
          <w:color w:val="auto"/>
          <w:vertAlign w:val="superscript"/>
        </w:rPr>
        <w:t>16</w:t>
      </w:r>
      <w:r w:rsidRPr="00290D33">
        <w:rPr>
          <w:rFonts w:asciiTheme="minorHAnsi" w:hAnsiTheme="minorHAnsi" w:cstheme="minorHAnsi"/>
          <w:color w:val="auto"/>
        </w:rPr>
        <w:t>O</w:t>
      </w:r>
      <w:r w:rsidRPr="00E67C25">
        <w:rPr>
          <w:rFonts w:asciiTheme="minorHAnsi" w:hAnsiTheme="minorHAnsi" w:cstheme="minorHAnsi"/>
          <w:color w:val="auto"/>
          <w:vertAlign w:val="superscript"/>
        </w:rPr>
        <w:t>1</w:t>
      </w:r>
      <w:r w:rsidRPr="00290D33">
        <w:rPr>
          <w:rFonts w:asciiTheme="minorHAnsi" w:hAnsiTheme="minorHAnsi" w:cstheme="minorHAnsi"/>
          <w:color w:val="auto"/>
        </w:rPr>
        <w:t xml:space="preserve">H. A 20 μm primary beam was rastered across a 40 μm square area. </w:t>
      </w:r>
      <w:r w:rsidR="00E67C25">
        <w:rPr>
          <w:rFonts w:asciiTheme="minorHAnsi" w:hAnsiTheme="minorHAnsi" w:cstheme="minorHAnsi"/>
          <w:color w:val="auto"/>
        </w:rPr>
        <w:t>A</w:t>
      </w:r>
      <w:r w:rsidRPr="00290D33">
        <w:rPr>
          <w:rFonts w:asciiTheme="minorHAnsi" w:hAnsiTheme="minorHAnsi" w:cstheme="minorHAnsi"/>
          <w:color w:val="auto"/>
        </w:rPr>
        <w:t xml:space="preserve"> circular 8 μm diameter beam mask was applied so that only the center of the rastered area was sampled for analyses. Intensities of </w:t>
      </w:r>
      <w:r w:rsidRPr="00E67C25">
        <w:rPr>
          <w:rFonts w:asciiTheme="minorHAnsi" w:hAnsiTheme="minorHAnsi" w:cstheme="minorHAnsi"/>
          <w:color w:val="auto"/>
          <w:vertAlign w:val="superscript"/>
        </w:rPr>
        <w:t>16</w:t>
      </w:r>
      <w:r w:rsidRPr="00290D33">
        <w:rPr>
          <w:rFonts w:asciiTheme="minorHAnsi" w:hAnsiTheme="minorHAnsi" w:cstheme="minorHAnsi"/>
          <w:color w:val="auto"/>
        </w:rPr>
        <w:t>O</w:t>
      </w:r>
      <w:r w:rsidRPr="00E67C25">
        <w:rPr>
          <w:rFonts w:asciiTheme="minorHAnsi" w:hAnsiTheme="minorHAnsi" w:cstheme="minorHAnsi"/>
          <w:color w:val="auto"/>
          <w:vertAlign w:val="superscript"/>
        </w:rPr>
        <w:t>1</w:t>
      </w:r>
      <w:r w:rsidRPr="00290D33">
        <w:rPr>
          <w:rFonts w:asciiTheme="minorHAnsi" w:hAnsiTheme="minorHAnsi" w:cstheme="minorHAnsi"/>
          <w:color w:val="auto"/>
        </w:rPr>
        <w:t xml:space="preserve">H, </w:t>
      </w:r>
      <w:r w:rsidRPr="00E67C25">
        <w:rPr>
          <w:rFonts w:asciiTheme="minorHAnsi" w:hAnsiTheme="minorHAnsi" w:cstheme="minorHAnsi"/>
          <w:color w:val="auto"/>
          <w:vertAlign w:val="superscript"/>
        </w:rPr>
        <w:t>18</w:t>
      </w:r>
      <w:r w:rsidRPr="00290D33">
        <w:rPr>
          <w:rFonts w:asciiTheme="minorHAnsi" w:hAnsiTheme="minorHAnsi" w:cstheme="minorHAnsi"/>
          <w:color w:val="auto"/>
        </w:rPr>
        <w:t xml:space="preserve">O, </w:t>
      </w:r>
      <w:r w:rsidRPr="009C2297">
        <w:rPr>
          <w:rFonts w:asciiTheme="minorHAnsi" w:hAnsiTheme="minorHAnsi" w:cstheme="minorHAnsi"/>
          <w:color w:val="auto"/>
          <w:vertAlign w:val="superscript"/>
        </w:rPr>
        <w:t>19</w:t>
      </w:r>
      <w:r w:rsidRPr="00290D33">
        <w:rPr>
          <w:rFonts w:asciiTheme="minorHAnsi" w:hAnsiTheme="minorHAnsi" w:cstheme="minorHAnsi"/>
          <w:color w:val="auto"/>
        </w:rPr>
        <w:t xml:space="preserve">F, </w:t>
      </w:r>
      <w:r w:rsidRPr="00E67C25">
        <w:rPr>
          <w:rFonts w:asciiTheme="minorHAnsi" w:hAnsiTheme="minorHAnsi" w:cstheme="minorHAnsi"/>
          <w:color w:val="auto"/>
          <w:vertAlign w:val="superscript"/>
        </w:rPr>
        <w:t>28</w:t>
      </w:r>
      <w:r w:rsidRPr="00290D33">
        <w:rPr>
          <w:rFonts w:asciiTheme="minorHAnsi" w:hAnsiTheme="minorHAnsi" w:cstheme="minorHAnsi"/>
          <w:color w:val="auto"/>
        </w:rPr>
        <w:t xml:space="preserve">Si, and </w:t>
      </w:r>
      <w:r w:rsidRPr="00E67C25">
        <w:rPr>
          <w:rFonts w:asciiTheme="minorHAnsi" w:hAnsiTheme="minorHAnsi" w:cstheme="minorHAnsi"/>
          <w:color w:val="auto"/>
          <w:vertAlign w:val="superscript"/>
        </w:rPr>
        <w:t>35</w:t>
      </w:r>
      <w:r w:rsidRPr="00290D33">
        <w:rPr>
          <w:rFonts w:asciiTheme="minorHAnsi" w:hAnsiTheme="minorHAnsi" w:cstheme="minorHAnsi"/>
          <w:color w:val="auto"/>
        </w:rPr>
        <w:t xml:space="preserve">Cl were measured by an electron multiplier. Although a majority of the measured grains are inclusion free, intensities of </w:t>
      </w:r>
      <w:r w:rsidRPr="00E67C25">
        <w:rPr>
          <w:rFonts w:asciiTheme="minorHAnsi" w:hAnsiTheme="minorHAnsi" w:cstheme="minorHAnsi"/>
          <w:color w:val="auto"/>
          <w:vertAlign w:val="superscript"/>
        </w:rPr>
        <w:t>16</w:t>
      </w:r>
      <w:r w:rsidRPr="00290D33">
        <w:rPr>
          <w:rFonts w:asciiTheme="minorHAnsi" w:hAnsiTheme="minorHAnsi" w:cstheme="minorHAnsi"/>
          <w:color w:val="auto"/>
        </w:rPr>
        <w:t>O</w:t>
      </w:r>
      <w:r w:rsidRPr="00E67C25">
        <w:rPr>
          <w:rFonts w:asciiTheme="minorHAnsi" w:hAnsiTheme="minorHAnsi" w:cstheme="minorHAnsi"/>
          <w:color w:val="auto"/>
          <w:vertAlign w:val="superscript"/>
        </w:rPr>
        <w:t>1</w:t>
      </w:r>
      <w:r w:rsidRPr="00290D33">
        <w:rPr>
          <w:rFonts w:asciiTheme="minorHAnsi" w:hAnsiTheme="minorHAnsi" w:cstheme="minorHAnsi"/>
          <w:color w:val="auto"/>
        </w:rPr>
        <w:t xml:space="preserve">H and </w:t>
      </w:r>
      <w:r w:rsidRPr="00E67C25">
        <w:rPr>
          <w:rFonts w:asciiTheme="minorHAnsi" w:hAnsiTheme="minorHAnsi" w:cstheme="minorHAnsi"/>
          <w:color w:val="auto"/>
          <w:vertAlign w:val="superscript"/>
        </w:rPr>
        <w:t>35</w:t>
      </w:r>
      <w:r w:rsidRPr="00290D33">
        <w:rPr>
          <w:rFonts w:asciiTheme="minorHAnsi" w:hAnsiTheme="minorHAnsi" w:cstheme="minorHAnsi"/>
          <w:color w:val="auto"/>
        </w:rPr>
        <w:t>Cl over the duration of individual analyses were used to monitor for possible inclusions or contamination that contain much higher H</w:t>
      </w:r>
      <w:r w:rsidRPr="00E67C25">
        <w:rPr>
          <w:rFonts w:asciiTheme="minorHAnsi" w:hAnsiTheme="minorHAnsi" w:cstheme="minorHAnsi"/>
          <w:color w:val="auto"/>
          <w:vertAlign w:val="subscript"/>
        </w:rPr>
        <w:t>2</w:t>
      </w:r>
      <w:r w:rsidRPr="00290D33">
        <w:rPr>
          <w:rFonts w:asciiTheme="minorHAnsi" w:hAnsiTheme="minorHAnsi" w:cstheme="minorHAnsi"/>
          <w:color w:val="auto"/>
        </w:rPr>
        <w:t xml:space="preserve">O content than the host pyroxene. </w:t>
      </w:r>
    </w:p>
    <w:p w14:paraId="56DDD437" w14:textId="77777777" w:rsidR="00290D33" w:rsidRPr="00290D33" w:rsidRDefault="00290D33" w:rsidP="008A6767">
      <w:pPr>
        <w:pStyle w:val="Default"/>
        <w:spacing w:line="480" w:lineRule="auto"/>
        <w:jc w:val="both"/>
        <w:rPr>
          <w:rFonts w:asciiTheme="minorHAnsi" w:hAnsiTheme="minorHAnsi" w:cstheme="minorHAnsi"/>
          <w:color w:val="auto"/>
        </w:rPr>
      </w:pPr>
    </w:p>
    <w:p w14:paraId="2BC5E451" w14:textId="3233F520" w:rsidR="00290D33" w:rsidRPr="00DA1366" w:rsidRDefault="00290D33" w:rsidP="008A6767">
      <w:pPr>
        <w:pStyle w:val="Default"/>
        <w:spacing w:line="480" w:lineRule="auto"/>
        <w:jc w:val="both"/>
        <w:rPr>
          <w:rFonts w:asciiTheme="minorHAnsi" w:hAnsiTheme="minorHAnsi" w:cstheme="minorHAnsi"/>
          <w:color w:val="auto"/>
        </w:rPr>
      </w:pPr>
      <w:r w:rsidRPr="00290D33">
        <w:rPr>
          <w:rFonts w:asciiTheme="minorHAnsi" w:hAnsiTheme="minorHAnsi" w:cstheme="minorHAnsi"/>
          <w:color w:val="auto"/>
        </w:rPr>
        <w:t xml:space="preserve">The same (or as close as possible) spots were analyzed as </w:t>
      </w:r>
      <w:r w:rsidR="00B97F46">
        <w:rPr>
          <w:rFonts w:asciiTheme="minorHAnsi" w:hAnsiTheme="minorHAnsi" w:cstheme="minorHAnsi"/>
          <w:color w:val="auto"/>
        </w:rPr>
        <w:t xml:space="preserve">for </w:t>
      </w:r>
      <w:r w:rsidRPr="00290D33">
        <w:rPr>
          <w:rFonts w:asciiTheme="minorHAnsi" w:hAnsiTheme="minorHAnsi" w:cstheme="minorHAnsi"/>
          <w:color w:val="auto"/>
        </w:rPr>
        <w:t>EPMA measurements</w:t>
      </w:r>
      <w:r w:rsidR="00B97F46">
        <w:rPr>
          <w:rFonts w:asciiTheme="minorHAnsi" w:hAnsiTheme="minorHAnsi" w:cstheme="minorHAnsi"/>
          <w:color w:val="auto"/>
        </w:rPr>
        <w:t>.</w:t>
      </w:r>
      <w:r w:rsidRPr="00290D33">
        <w:rPr>
          <w:rFonts w:asciiTheme="minorHAnsi" w:hAnsiTheme="minorHAnsi" w:cstheme="minorHAnsi"/>
          <w:color w:val="auto"/>
        </w:rPr>
        <w:t xml:space="preserve"> Mosenfelder and Rossman (2013</w:t>
      </w:r>
      <w:r w:rsidR="00B97F46">
        <w:rPr>
          <w:rFonts w:asciiTheme="minorHAnsi" w:hAnsiTheme="minorHAnsi" w:cstheme="minorHAnsi"/>
          <w:color w:val="auto"/>
        </w:rPr>
        <w:t>b</w:t>
      </w:r>
      <w:r w:rsidRPr="00290D33">
        <w:rPr>
          <w:rFonts w:asciiTheme="minorHAnsi" w:hAnsiTheme="minorHAnsi" w:cstheme="minorHAnsi"/>
          <w:color w:val="auto"/>
        </w:rPr>
        <w:t>) suggested little to no matrix effects between olivine, orthopyroxene, and clinopyroxene</w:t>
      </w:r>
      <w:r w:rsidR="00B97F46">
        <w:rPr>
          <w:rFonts w:asciiTheme="minorHAnsi" w:hAnsiTheme="minorHAnsi" w:cstheme="minorHAnsi"/>
          <w:color w:val="auto"/>
        </w:rPr>
        <w:t xml:space="preserve"> for SIMS H</w:t>
      </w:r>
      <w:r w:rsidR="00B97F46">
        <w:rPr>
          <w:rFonts w:asciiTheme="minorHAnsi" w:hAnsiTheme="minorHAnsi" w:cstheme="minorHAnsi"/>
          <w:color w:val="auto"/>
          <w:vertAlign w:val="subscript"/>
        </w:rPr>
        <w:t>2</w:t>
      </w:r>
      <w:r w:rsidR="00B97F46">
        <w:rPr>
          <w:rFonts w:asciiTheme="minorHAnsi" w:hAnsiTheme="minorHAnsi" w:cstheme="minorHAnsi"/>
          <w:color w:val="auto"/>
        </w:rPr>
        <w:t>O analysis</w:t>
      </w:r>
      <w:r w:rsidRPr="00290D33">
        <w:rPr>
          <w:rFonts w:asciiTheme="minorHAnsi" w:hAnsiTheme="minorHAnsi" w:cstheme="minorHAnsi"/>
          <w:color w:val="auto"/>
        </w:rPr>
        <w:t xml:space="preserve">. Therefore, olivine and pyroxene standards provide a good matrix match </w:t>
      </w:r>
      <w:r w:rsidR="00B97F46">
        <w:rPr>
          <w:rFonts w:asciiTheme="minorHAnsi" w:hAnsiTheme="minorHAnsi" w:cstheme="minorHAnsi"/>
          <w:color w:val="auto"/>
        </w:rPr>
        <w:t>for our pyroxene phenocryst analyses</w:t>
      </w:r>
      <w:r w:rsidRPr="00290D33">
        <w:rPr>
          <w:rFonts w:asciiTheme="minorHAnsi" w:hAnsiTheme="minorHAnsi" w:cstheme="minorHAnsi"/>
          <w:color w:val="auto"/>
        </w:rPr>
        <w:t xml:space="preserve">. Two to three standards </w:t>
      </w:r>
      <w:r w:rsidR="00DA1366">
        <w:rPr>
          <w:rFonts w:asciiTheme="minorHAnsi" w:hAnsiTheme="minorHAnsi" w:cstheme="minorHAnsi"/>
          <w:color w:val="auto"/>
        </w:rPr>
        <w:t xml:space="preserve">and a “blank” </w:t>
      </w:r>
      <w:r w:rsidRPr="00290D33">
        <w:rPr>
          <w:rFonts w:asciiTheme="minorHAnsi" w:hAnsiTheme="minorHAnsi" w:cstheme="minorHAnsi"/>
          <w:color w:val="auto"/>
        </w:rPr>
        <w:t>were placed at the center of each mount</w:t>
      </w:r>
      <w:r w:rsidR="00DA1366">
        <w:rPr>
          <w:rFonts w:asciiTheme="minorHAnsi" w:hAnsiTheme="minorHAnsi" w:cstheme="minorHAnsi"/>
          <w:color w:val="auto"/>
        </w:rPr>
        <w:t>.</w:t>
      </w:r>
      <w:r w:rsidRPr="00290D33">
        <w:rPr>
          <w:rFonts w:asciiTheme="minorHAnsi" w:hAnsiTheme="minorHAnsi" w:cstheme="minorHAnsi"/>
          <w:color w:val="auto"/>
        </w:rPr>
        <w:t xml:space="preserve"> </w:t>
      </w:r>
      <w:r w:rsidR="00DA1366">
        <w:rPr>
          <w:rFonts w:asciiTheme="minorHAnsi" w:hAnsiTheme="minorHAnsi" w:cstheme="minorHAnsi"/>
          <w:color w:val="auto"/>
        </w:rPr>
        <w:t>S</w:t>
      </w:r>
      <w:r w:rsidRPr="00290D33">
        <w:rPr>
          <w:rFonts w:asciiTheme="minorHAnsi" w:hAnsiTheme="minorHAnsi" w:cstheme="minorHAnsi"/>
          <w:color w:val="auto"/>
        </w:rPr>
        <w:t>tandards include PMR 53, JLM 77, CITI7210, 62047708, GRR2334a, GRR16506 (Mosenfelder and Rossman, 2013</w:t>
      </w:r>
      <w:r w:rsidR="00375933">
        <w:rPr>
          <w:rFonts w:asciiTheme="minorHAnsi" w:hAnsiTheme="minorHAnsi" w:cstheme="minorHAnsi"/>
          <w:color w:val="auto"/>
        </w:rPr>
        <w:t>b</w:t>
      </w:r>
      <w:r w:rsidRPr="00290D33">
        <w:rPr>
          <w:rFonts w:asciiTheme="minorHAnsi" w:hAnsiTheme="minorHAnsi" w:cstheme="minorHAnsi"/>
          <w:color w:val="auto"/>
        </w:rPr>
        <w:t xml:space="preserve"> and references therein). </w:t>
      </w:r>
      <w:r w:rsidR="00DA1366">
        <w:rPr>
          <w:rFonts w:asciiTheme="minorHAnsi" w:hAnsiTheme="minorHAnsi" w:cstheme="minorHAnsi"/>
          <w:color w:val="auto"/>
        </w:rPr>
        <w:t>San Carlos olivine or GRR1017 were used to estimate analytical blanks</w:t>
      </w:r>
      <w:r w:rsidRPr="00290D33">
        <w:rPr>
          <w:rFonts w:asciiTheme="minorHAnsi" w:hAnsiTheme="minorHAnsi" w:cstheme="minorHAnsi"/>
          <w:color w:val="auto"/>
        </w:rPr>
        <w:t xml:space="preserve"> (Mosenfelder and Rossman, 2013</w:t>
      </w:r>
      <w:r w:rsidR="00B97F46">
        <w:rPr>
          <w:rFonts w:asciiTheme="minorHAnsi" w:hAnsiTheme="minorHAnsi" w:cstheme="minorHAnsi"/>
          <w:color w:val="auto"/>
        </w:rPr>
        <w:t>a</w:t>
      </w:r>
      <w:r w:rsidRPr="00290D33">
        <w:rPr>
          <w:rFonts w:asciiTheme="minorHAnsi" w:hAnsiTheme="minorHAnsi" w:cstheme="minorHAnsi"/>
          <w:color w:val="auto"/>
        </w:rPr>
        <w:t xml:space="preserve">). Background </w:t>
      </w:r>
      <w:r w:rsidRPr="00DA1366">
        <w:rPr>
          <w:rFonts w:asciiTheme="minorHAnsi" w:hAnsiTheme="minorHAnsi" w:cstheme="minorHAnsi"/>
          <w:color w:val="auto"/>
          <w:vertAlign w:val="superscript"/>
        </w:rPr>
        <w:t>16</w:t>
      </w:r>
      <w:r w:rsidRPr="00290D33">
        <w:rPr>
          <w:rFonts w:asciiTheme="minorHAnsi" w:hAnsiTheme="minorHAnsi" w:cstheme="minorHAnsi"/>
          <w:color w:val="auto"/>
        </w:rPr>
        <w:t>O</w:t>
      </w:r>
      <w:r w:rsidRPr="00DA1366">
        <w:rPr>
          <w:rFonts w:asciiTheme="minorHAnsi" w:hAnsiTheme="minorHAnsi" w:cstheme="minorHAnsi"/>
          <w:color w:val="auto"/>
          <w:vertAlign w:val="superscript"/>
        </w:rPr>
        <w:t>1</w:t>
      </w:r>
      <w:r w:rsidRPr="00290D33">
        <w:rPr>
          <w:rFonts w:asciiTheme="minorHAnsi" w:hAnsiTheme="minorHAnsi" w:cstheme="minorHAnsi"/>
          <w:color w:val="auto"/>
        </w:rPr>
        <w:t>H-/</w:t>
      </w:r>
      <w:r w:rsidRPr="00DA1366">
        <w:rPr>
          <w:rFonts w:asciiTheme="minorHAnsi" w:hAnsiTheme="minorHAnsi" w:cstheme="minorHAnsi"/>
          <w:color w:val="auto"/>
          <w:vertAlign w:val="superscript"/>
        </w:rPr>
        <w:t>28</w:t>
      </w:r>
      <w:r w:rsidRPr="00290D33">
        <w:rPr>
          <w:rFonts w:asciiTheme="minorHAnsi" w:hAnsiTheme="minorHAnsi" w:cstheme="minorHAnsi"/>
          <w:color w:val="auto"/>
        </w:rPr>
        <w:t>Si intensities were determined via the analysis of either San Carlos or GRR1017. GRR1017 is a blank with reported FTIR values that are significantly below background and sample concentrations (Mosenfelder and Rossman, 2013</w:t>
      </w:r>
      <w:r w:rsidR="00396E04">
        <w:rPr>
          <w:rFonts w:asciiTheme="minorHAnsi" w:hAnsiTheme="minorHAnsi" w:cstheme="minorHAnsi"/>
          <w:color w:val="auto"/>
        </w:rPr>
        <w:t>a</w:t>
      </w:r>
      <w:r w:rsidRPr="00290D33">
        <w:rPr>
          <w:rFonts w:asciiTheme="minorHAnsi" w:hAnsiTheme="minorHAnsi" w:cstheme="minorHAnsi"/>
          <w:color w:val="auto"/>
        </w:rPr>
        <w:t>). Measurements conducted by Edward Marshall via the Thermo Electron Nicolet 6700 FTIR spectrometer at the University of Texas at Austin, show that San Carlos has &lt;3 ppm H2O (Marshall et al., 2018), below detection limits for FTIR</w:t>
      </w:r>
      <w:r w:rsidR="00DA1366">
        <w:rPr>
          <w:rFonts w:asciiTheme="minorHAnsi" w:hAnsiTheme="minorHAnsi" w:cstheme="minorHAnsi"/>
          <w:color w:val="auto"/>
        </w:rPr>
        <w:t xml:space="preserve"> and well below measured [H</w:t>
      </w:r>
      <w:r w:rsidR="00DA1366">
        <w:rPr>
          <w:rFonts w:asciiTheme="minorHAnsi" w:hAnsiTheme="minorHAnsi" w:cstheme="minorHAnsi"/>
          <w:color w:val="auto"/>
          <w:vertAlign w:val="subscript"/>
        </w:rPr>
        <w:t>2</w:t>
      </w:r>
      <w:r w:rsidR="00DA1366">
        <w:rPr>
          <w:rFonts w:asciiTheme="minorHAnsi" w:hAnsiTheme="minorHAnsi" w:cstheme="minorHAnsi"/>
          <w:color w:val="auto"/>
        </w:rPr>
        <w:t xml:space="preserve">O] in the Australs phenocrysts (72-1019 </w:t>
      </w:r>
      <w:r w:rsidR="00DA1366" w:rsidRPr="008C0691">
        <w:rPr>
          <w:rFonts w:asciiTheme="minorHAnsi" w:hAnsiTheme="minorHAnsi" w:cstheme="minorHAnsi"/>
        </w:rPr>
        <w:t>ug/g</w:t>
      </w:r>
      <w:r w:rsidR="00DA1366">
        <w:rPr>
          <w:rFonts w:asciiTheme="minorHAnsi" w:hAnsiTheme="minorHAnsi" w:cstheme="minorHAnsi"/>
        </w:rPr>
        <w:t>).</w:t>
      </w:r>
    </w:p>
    <w:p w14:paraId="3C1114E1" w14:textId="77777777" w:rsidR="00290D33" w:rsidRDefault="00290D33" w:rsidP="008A6767">
      <w:pPr>
        <w:pStyle w:val="Default"/>
        <w:spacing w:line="480" w:lineRule="auto"/>
        <w:jc w:val="both"/>
        <w:rPr>
          <w:rFonts w:asciiTheme="minorHAnsi" w:hAnsiTheme="minorHAnsi" w:cstheme="minorHAnsi"/>
          <w:color w:val="auto"/>
        </w:rPr>
      </w:pPr>
    </w:p>
    <w:p w14:paraId="1BE47A97" w14:textId="75E123F5" w:rsidR="00FC656D" w:rsidRDefault="00290D33" w:rsidP="008A6767">
      <w:pPr>
        <w:pStyle w:val="Default"/>
        <w:spacing w:line="480" w:lineRule="auto"/>
        <w:jc w:val="both"/>
        <w:rPr>
          <w:rFonts w:asciiTheme="minorHAnsi" w:hAnsiTheme="minorHAnsi" w:cstheme="minorHAnsi"/>
          <w:color w:val="auto"/>
        </w:rPr>
      </w:pPr>
      <w:r w:rsidRPr="00290D33">
        <w:rPr>
          <w:rFonts w:asciiTheme="minorHAnsi" w:hAnsiTheme="minorHAnsi" w:cstheme="minorHAnsi"/>
          <w:color w:val="auto"/>
        </w:rPr>
        <w:t xml:space="preserve">A block of standards </w:t>
      </w:r>
      <w:r w:rsidR="00DA1366">
        <w:rPr>
          <w:rFonts w:asciiTheme="minorHAnsi" w:hAnsiTheme="minorHAnsi" w:cstheme="minorHAnsi"/>
          <w:color w:val="auto"/>
        </w:rPr>
        <w:t>was</w:t>
      </w:r>
      <w:r w:rsidRPr="00290D33">
        <w:rPr>
          <w:rFonts w:asciiTheme="minorHAnsi" w:hAnsiTheme="minorHAnsi" w:cstheme="minorHAnsi"/>
          <w:color w:val="auto"/>
        </w:rPr>
        <w:t xml:space="preserve"> run at the beginning of each analytica</w:t>
      </w:r>
      <w:r>
        <w:rPr>
          <w:rFonts w:asciiTheme="minorHAnsi" w:hAnsiTheme="minorHAnsi" w:cstheme="minorHAnsi"/>
          <w:color w:val="auto"/>
        </w:rPr>
        <w:t>l se</w:t>
      </w:r>
      <w:r w:rsidRPr="00290D33">
        <w:rPr>
          <w:rFonts w:asciiTheme="minorHAnsi" w:hAnsiTheme="minorHAnsi" w:cstheme="minorHAnsi"/>
          <w:color w:val="auto"/>
        </w:rPr>
        <w:t>quence, at the end, and between every ~10 sample analyses. Blank background intensities were subtracted from standards and samples within each calibration block. The blank corrected standard intensities were then regressed against their published values</w:t>
      </w:r>
      <w:r w:rsidR="00BF3C19">
        <w:rPr>
          <w:rFonts w:asciiTheme="minorHAnsi" w:hAnsiTheme="minorHAnsi" w:cstheme="minorHAnsi"/>
          <w:color w:val="auto"/>
        </w:rPr>
        <w:t>. T</w:t>
      </w:r>
      <w:r w:rsidRPr="00290D33">
        <w:rPr>
          <w:rFonts w:asciiTheme="minorHAnsi" w:hAnsiTheme="minorHAnsi" w:cstheme="minorHAnsi"/>
          <w:color w:val="auto"/>
        </w:rPr>
        <w:t>his regression was forced through zero and the resulting regression function was used to calculate sample intensities between each standard block. Any calibration curve that produced an R</w:t>
      </w:r>
      <w:r w:rsidR="00BF3C19">
        <w:rPr>
          <w:rFonts w:asciiTheme="minorHAnsi" w:hAnsiTheme="minorHAnsi" w:cstheme="minorHAnsi"/>
          <w:color w:val="auto"/>
          <w:vertAlign w:val="superscript"/>
        </w:rPr>
        <w:t>2</w:t>
      </w:r>
      <w:r w:rsidRPr="00290D33">
        <w:rPr>
          <w:rFonts w:asciiTheme="minorHAnsi" w:hAnsiTheme="minorHAnsi" w:cstheme="minorHAnsi"/>
          <w:color w:val="auto"/>
        </w:rPr>
        <w:t xml:space="preserve"> value less than 0.90 was subsequently rejected along with the sample analyses associated with </w:t>
      </w:r>
      <w:r w:rsidR="00BF3C19">
        <w:rPr>
          <w:rFonts w:asciiTheme="minorHAnsi" w:hAnsiTheme="minorHAnsi" w:cstheme="minorHAnsi"/>
          <w:color w:val="auto"/>
        </w:rPr>
        <w:t>that</w:t>
      </w:r>
      <w:r w:rsidRPr="00290D33">
        <w:rPr>
          <w:rFonts w:asciiTheme="minorHAnsi" w:hAnsiTheme="minorHAnsi" w:cstheme="minorHAnsi"/>
          <w:color w:val="auto"/>
        </w:rPr>
        <w:t xml:space="preserve"> calibration curve.</w:t>
      </w:r>
      <w:r w:rsidR="00FC656D">
        <w:rPr>
          <w:rFonts w:asciiTheme="minorHAnsi" w:hAnsiTheme="minorHAnsi" w:cstheme="minorHAnsi"/>
          <w:color w:val="auto"/>
        </w:rPr>
        <w:t xml:space="preserve"> </w:t>
      </w:r>
    </w:p>
    <w:p w14:paraId="74CE902F" w14:textId="77777777" w:rsidR="00290D33" w:rsidRPr="00290D33" w:rsidRDefault="00290D33" w:rsidP="008A6767">
      <w:pPr>
        <w:pStyle w:val="Default"/>
        <w:spacing w:line="480" w:lineRule="auto"/>
        <w:jc w:val="both"/>
        <w:rPr>
          <w:rFonts w:asciiTheme="minorHAnsi" w:hAnsiTheme="minorHAnsi" w:cstheme="minorHAnsi"/>
          <w:color w:val="auto"/>
        </w:rPr>
      </w:pPr>
    </w:p>
    <w:p w14:paraId="07162012" w14:textId="4299EF17" w:rsidR="00290D33" w:rsidRDefault="00290D33" w:rsidP="008A6767">
      <w:pPr>
        <w:pStyle w:val="Default"/>
        <w:spacing w:line="480" w:lineRule="auto"/>
        <w:jc w:val="both"/>
        <w:rPr>
          <w:rFonts w:asciiTheme="minorHAnsi" w:hAnsiTheme="minorHAnsi" w:cstheme="minorHAnsi"/>
          <w:color w:val="auto"/>
        </w:rPr>
      </w:pPr>
      <w:r w:rsidRPr="00290D33">
        <w:rPr>
          <w:rFonts w:asciiTheme="minorHAnsi" w:hAnsiTheme="minorHAnsi" w:cstheme="minorHAnsi"/>
          <w:color w:val="auto"/>
        </w:rPr>
        <w:t>Several studies of the standard PMR</w:t>
      </w:r>
      <w:r w:rsidR="00A460B4">
        <w:rPr>
          <w:rFonts w:asciiTheme="minorHAnsi" w:hAnsiTheme="minorHAnsi" w:cstheme="minorHAnsi"/>
          <w:color w:val="auto"/>
        </w:rPr>
        <w:t>-</w:t>
      </w:r>
      <w:r w:rsidRPr="00290D33">
        <w:rPr>
          <w:rFonts w:asciiTheme="minorHAnsi" w:hAnsiTheme="minorHAnsi" w:cstheme="minorHAnsi"/>
          <w:color w:val="auto"/>
        </w:rPr>
        <w:t>53 have reported a large range in H</w:t>
      </w:r>
      <w:r w:rsidRPr="00F412F4">
        <w:rPr>
          <w:rFonts w:asciiTheme="minorHAnsi" w:hAnsiTheme="minorHAnsi" w:cstheme="minorHAnsi"/>
          <w:color w:val="auto"/>
          <w:vertAlign w:val="subscript"/>
        </w:rPr>
        <w:t>2</w:t>
      </w:r>
      <w:r w:rsidRPr="00290D33">
        <w:rPr>
          <w:rFonts w:asciiTheme="minorHAnsi" w:hAnsiTheme="minorHAnsi" w:cstheme="minorHAnsi"/>
          <w:color w:val="auto"/>
        </w:rPr>
        <w:t>O concentrations from 202 ppm (Aubaud et al. 2007) to 333 (Mosenfelder and Rossman, 2013</w:t>
      </w:r>
      <w:r w:rsidR="00396E04">
        <w:rPr>
          <w:rFonts w:asciiTheme="minorHAnsi" w:hAnsiTheme="minorHAnsi" w:cstheme="minorHAnsi"/>
          <w:color w:val="auto"/>
        </w:rPr>
        <w:t>b</w:t>
      </w:r>
      <w:r w:rsidRPr="00290D33">
        <w:rPr>
          <w:rFonts w:asciiTheme="minorHAnsi" w:hAnsiTheme="minorHAnsi" w:cstheme="minorHAnsi"/>
          <w:color w:val="auto"/>
        </w:rPr>
        <w:t>). Therefore, PMR</w:t>
      </w:r>
      <w:r w:rsidR="00A460B4">
        <w:rPr>
          <w:rFonts w:asciiTheme="minorHAnsi" w:hAnsiTheme="minorHAnsi" w:cstheme="minorHAnsi"/>
          <w:color w:val="auto"/>
        </w:rPr>
        <w:t>-</w:t>
      </w:r>
      <w:r w:rsidRPr="00290D33">
        <w:rPr>
          <w:rFonts w:asciiTheme="minorHAnsi" w:hAnsiTheme="minorHAnsi" w:cstheme="minorHAnsi"/>
          <w:color w:val="auto"/>
        </w:rPr>
        <w:t xml:space="preserve">53 was used as a secondary standard </w:t>
      </w:r>
      <w:r w:rsidR="00FC656D">
        <w:rPr>
          <w:rFonts w:asciiTheme="minorHAnsi" w:hAnsiTheme="minorHAnsi" w:cstheme="minorHAnsi"/>
          <w:color w:val="auto"/>
        </w:rPr>
        <w:t xml:space="preserve">rather than a primary standard </w:t>
      </w:r>
      <w:r w:rsidRPr="00290D33">
        <w:rPr>
          <w:rFonts w:asciiTheme="minorHAnsi" w:hAnsiTheme="minorHAnsi" w:cstheme="minorHAnsi"/>
          <w:color w:val="auto"/>
        </w:rPr>
        <w:t>for any mounts with three or more standards, not including PMR</w:t>
      </w:r>
      <w:r w:rsidR="00A460B4">
        <w:rPr>
          <w:rFonts w:asciiTheme="minorHAnsi" w:hAnsiTheme="minorHAnsi" w:cstheme="minorHAnsi"/>
          <w:color w:val="auto"/>
        </w:rPr>
        <w:t>-</w:t>
      </w:r>
      <w:r w:rsidRPr="00290D33">
        <w:rPr>
          <w:rFonts w:asciiTheme="minorHAnsi" w:hAnsiTheme="minorHAnsi" w:cstheme="minorHAnsi"/>
          <w:color w:val="auto"/>
        </w:rPr>
        <w:t xml:space="preserve">53. For these mounts, PMR 53 was </w:t>
      </w:r>
      <w:r w:rsidR="00FC656D">
        <w:rPr>
          <w:rFonts w:asciiTheme="minorHAnsi" w:hAnsiTheme="minorHAnsi" w:cstheme="minorHAnsi"/>
          <w:color w:val="auto"/>
        </w:rPr>
        <w:t>analyzed as a secondary standard</w:t>
      </w:r>
      <w:r w:rsidRPr="00290D33">
        <w:rPr>
          <w:rFonts w:asciiTheme="minorHAnsi" w:hAnsiTheme="minorHAnsi" w:cstheme="minorHAnsi"/>
          <w:color w:val="auto"/>
        </w:rPr>
        <w:t>. All calculated intensities of PMR</w:t>
      </w:r>
      <w:r w:rsidR="00A460B4">
        <w:rPr>
          <w:rFonts w:asciiTheme="minorHAnsi" w:hAnsiTheme="minorHAnsi" w:cstheme="minorHAnsi"/>
          <w:color w:val="auto"/>
        </w:rPr>
        <w:t>-</w:t>
      </w:r>
      <w:r w:rsidRPr="00290D33">
        <w:rPr>
          <w:rFonts w:asciiTheme="minorHAnsi" w:hAnsiTheme="minorHAnsi" w:cstheme="minorHAnsi"/>
          <w:color w:val="auto"/>
        </w:rPr>
        <w:t xml:space="preserve">53 were then averaged together (291 ppm ± 38 ppm; see </w:t>
      </w:r>
      <w:r w:rsidR="00226ACC">
        <w:rPr>
          <w:rFonts w:asciiTheme="minorHAnsi" w:hAnsiTheme="minorHAnsi" w:cstheme="minorHAnsi"/>
          <w:color w:val="auto"/>
        </w:rPr>
        <w:t>Table S3</w:t>
      </w:r>
      <w:r w:rsidRPr="00290D33">
        <w:rPr>
          <w:rFonts w:asciiTheme="minorHAnsi" w:hAnsiTheme="minorHAnsi" w:cstheme="minorHAnsi"/>
          <w:color w:val="auto"/>
        </w:rPr>
        <w:t xml:space="preserve">) and was then used in any calibration curve </w:t>
      </w:r>
      <w:r w:rsidR="00FC656D">
        <w:rPr>
          <w:rFonts w:asciiTheme="minorHAnsi" w:hAnsiTheme="minorHAnsi" w:cstheme="minorHAnsi"/>
          <w:color w:val="auto"/>
        </w:rPr>
        <w:t>for which use of PRM</w:t>
      </w:r>
      <w:r w:rsidR="00A460B4">
        <w:rPr>
          <w:rFonts w:asciiTheme="minorHAnsi" w:hAnsiTheme="minorHAnsi" w:cstheme="minorHAnsi"/>
          <w:color w:val="auto"/>
        </w:rPr>
        <w:t>-</w:t>
      </w:r>
      <w:r w:rsidR="00FC656D">
        <w:rPr>
          <w:rFonts w:asciiTheme="minorHAnsi" w:hAnsiTheme="minorHAnsi" w:cstheme="minorHAnsi"/>
          <w:color w:val="auto"/>
        </w:rPr>
        <w:t>53 as a primary standard was necessary</w:t>
      </w:r>
      <w:r w:rsidRPr="00290D33">
        <w:rPr>
          <w:rFonts w:asciiTheme="minorHAnsi" w:hAnsiTheme="minorHAnsi" w:cstheme="minorHAnsi"/>
          <w:color w:val="auto"/>
        </w:rPr>
        <w:t xml:space="preserve">. </w:t>
      </w:r>
    </w:p>
    <w:p w14:paraId="0E786776" w14:textId="77777777" w:rsidR="00290D33" w:rsidRDefault="00290D33" w:rsidP="008A6767">
      <w:pPr>
        <w:pStyle w:val="Default"/>
        <w:spacing w:line="480" w:lineRule="auto"/>
        <w:jc w:val="both"/>
        <w:rPr>
          <w:rFonts w:asciiTheme="minorHAnsi" w:hAnsiTheme="minorHAnsi" w:cstheme="minorHAnsi"/>
          <w:color w:val="auto"/>
        </w:rPr>
      </w:pPr>
    </w:p>
    <w:p w14:paraId="3FB01001" w14:textId="3260F470" w:rsidR="00D144FD" w:rsidRDefault="00D144FD" w:rsidP="008A6767">
      <w:pPr>
        <w:pStyle w:val="Default"/>
        <w:spacing w:line="480" w:lineRule="auto"/>
        <w:jc w:val="both"/>
        <w:rPr>
          <w:rFonts w:asciiTheme="minorHAnsi" w:hAnsiTheme="minorHAnsi" w:cstheme="minorHAnsi"/>
          <w:color w:val="auto"/>
        </w:rPr>
      </w:pPr>
      <w:r>
        <w:rPr>
          <w:rFonts w:asciiTheme="minorHAnsi" w:hAnsiTheme="minorHAnsi" w:cstheme="minorHAnsi"/>
          <w:color w:val="auto"/>
        </w:rPr>
        <w:t xml:space="preserve">Measured </w:t>
      </w:r>
      <w:r>
        <w:rPr>
          <w:rFonts w:asciiTheme="minorHAnsi" w:hAnsiTheme="minorHAnsi" w:cstheme="minorHAnsi"/>
          <w:color w:val="auto"/>
          <w:vertAlign w:val="superscript"/>
        </w:rPr>
        <w:t>16</w:t>
      </w:r>
      <w:r>
        <w:rPr>
          <w:rFonts w:asciiTheme="minorHAnsi" w:hAnsiTheme="minorHAnsi" w:cstheme="minorHAnsi"/>
          <w:color w:val="auto"/>
        </w:rPr>
        <w:t>O</w:t>
      </w:r>
      <w:r>
        <w:rPr>
          <w:rFonts w:asciiTheme="minorHAnsi" w:hAnsiTheme="minorHAnsi" w:cstheme="minorHAnsi"/>
          <w:color w:val="auto"/>
          <w:vertAlign w:val="superscript"/>
        </w:rPr>
        <w:t>1</w:t>
      </w:r>
      <w:r>
        <w:rPr>
          <w:rFonts w:asciiTheme="minorHAnsi" w:hAnsiTheme="minorHAnsi" w:cstheme="minorHAnsi"/>
          <w:color w:val="auto"/>
        </w:rPr>
        <w:t>H/</w:t>
      </w:r>
      <w:r>
        <w:rPr>
          <w:rFonts w:asciiTheme="minorHAnsi" w:hAnsiTheme="minorHAnsi" w:cstheme="minorHAnsi"/>
          <w:color w:val="auto"/>
          <w:vertAlign w:val="superscript"/>
        </w:rPr>
        <w:t>28</w:t>
      </w:r>
      <w:r>
        <w:rPr>
          <w:rFonts w:asciiTheme="minorHAnsi" w:hAnsiTheme="minorHAnsi" w:cstheme="minorHAnsi"/>
          <w:color w:val="auto"/>
        </w:rPr>
        <w:t xml:space="preserve">Si values of primary </w:t>
      </w:r>
      <w:r w:rsidR="00D27060">
        <w:rPr>
          <w:rFonts w:asciiTheme="minorHAnsi" w:hAnsiTheme="minorHAnsi" w:cstheme="minorHAnsi"/>
          <w:color w:val="auto"/>
        </w:rPr>
        <w:t xml:space="preserve">and secondary </w:t>
      </w:r>
      <w:r>
        <w:rPr>
          <w:rFonts w:asciiTheme="minorHAnsi" w:hAnsiTheme="minorHAnsi" w:cstheme="minorHAnsi"/>
          <w:color w:val="auto"/>
        </w:rPr>
        <w:t xml:space="preserve">for each standard mount and run are </w:t>
      </w:r>
      <w:r w:rsidRPr="00226ACC">
        <w:rPr>
          <w:rFonts w:asciiTheme="minorHAnsi" w:hAnsiTheme="minorHAnsi" w:cstheme="minorHAnsi"/>
          <w:color w:val="auto"/>
        </w:rPr>
        <w:t>reported in Table S</w:t>
      </w:r>
      <w:r w:rsidR="00D27060" w:rsidRPr="00226ACC">
        <w:rPr>
          <w:rFonts w:asciiTheme="minorHAnsi" w:hAnsiTheme="minorHAnsi" w:cstheme="minorHAnsi"/>
          <w:color w:val="auto"/>
        </w:rPr>
        <w:t>2</w:t>
      </w:r>
      <w:r w:rsidRPr="00226ACC">
        <w:rPr>
          <w:rFonts w:asciiTheme="minorHAnsi" w:hAnsiTheme="minorHAnsi" w:cstheme="minorHAnsi"/>
          <w:color w:val="auto"/>
        </w:rPr>
        <w:t>.</w:t>
      </w:r>
    </w:p>
    <w:p w14:paraId="583CA76D" w14:textId="77777777" w:rsidR="00D144FD" w:rsidRPr="00290D33" w:rsidRDefault="00D144FD" w:rsidP="008A6767">
      <w:pPr>
        <w:pStyle w:val="Default"/>
        <w:spacing w:line="480" w:lineRule="auto"/>
        <w:jc w:val="both"/>
        <w:rPr>
          <w:rFonts w:asciiTheme="minorHAnsi" w:hAnsiTheme="minorHAnsi" w:cstheme="minorHAnsi"/>
          <w:color w:val="auto"/>
        </w:rPr>
      </w:pPr>
    </w:p>
    <w:p w14:paraId="76D90497" w14:textId="6210B6C2" w:rsidR="00290D33" w:rsidRPr="00DC58EE" w:rsidRDefault="00D144FD" w:rsidP="008A6767">
      <w:pPr>
        <w:pStyle w:val="Default"/>
        <w:spacing w:line="480" w:lineRule="auto"/>
        <w:jc w:val="both"/>
        <w:rPr>
          <w:rFonts w:asciiTheme="minorHAnsi" w:hAnsiTheme="minorHAnsi" w:cstheme="minorHAnsi"/>
          <w:color w:val="auto"/>
        </w:rPr>
      </w:pPr>
      <w:r>
        <w:rPr>
          <w:rFonts w:asciiTheme="minorHAnsi" w:hAnsiTheme="minorHAnsi" w:cstheme="minorHAnsi"/>
          <w:color w:val="auto"/>
        </w:rPr>
        <w:t>Finally, c</w:t>
      </w:r>
      <w:r w:rsidR="00FC656D">
        <w:rPr>
          <w:rFonts w:asciiTheme="minorHAnsi" w:hAnsiTheme="minorHAnsi" w:cstheme="minorHAnsi"/>
          <w:color w:val="auto"/>
        </w:rPr>
        <w:t>linopyroxene typically have very low Cl concentrations (Segee-Wright</w:t>
      </w:r>
      <w:r w:rsidR="00396E04">
        <w:rPr>
          <w:rFonts w:asciiTheme="minorHAnsi" w:hAnsiTheme="minorHAnsi" w:cstheme="minorHAnsi"/>
          <w:color w:val="auto"/>
        </w:rPr>
        <w:t>, pers. comm</w:t>
      </w:r>
      <w:r w:rsidR="00FC656D">
        <w:rPr>
          <w:rFonts w:asciiTheme="minorHAnsi" w:hAnsiTheme="minorHAnsi" w:cstheme="minorHAnsi"/>
          <w:color w:val="auto"/>
        </w:rPr>
        <w:t xml:space="preserve">). </w:t>
      </w:r>
      <w:r>
        <w:rPr>
          <w:rFonts w:asciiTheme="minorHAnsi" w:hAnsiTheme="minorHAnsi" w:cstheme="minorHAnsi"/>
          <w:color w:val="auto"/>
        </w:rPr>
        <w:t>Therefore, a</w:t>
      </w:r>
      <w:r w:rsidR="00290D33" w:rsidRPr="00290D33">
        <w:rPr>
          <w:rFonts w:asciiTheme="minorHAnsi" w:hAnsiTheme="minorHAnsi" w:cstheme="minorHAnsi"/>
          <w:color w:val="auto"/>
        </w:rPr>
        <w:t xml:space="preserve">ny </w:t>
      </w:r>
      <w:r>
        <w:rPr>
          <w:rFonts w:asciiTheme="minorHAnsi" w:hAnsiTheme="minorHAnsi" w:cstheme="minorHAnsi"/>
          <w:color w:val="auto"/>
        </w:rPr>
        <w:t xml:space="preserve">spot </w:t>
      </w:r>
      <w:r w:rsidR="00290D33" w:rsidRPr="00290D33">
        <w:rPr>
          <w:rFonts w:asciiTheme="minorHAnsi" w:hAnsiTheme="minorHAnsi" w:cstheme="minorHAnsi"/>
          <w:color w:val="auto"/>
        </w:rPr>
        <w:t>analysis with a</w:t>
      </w:r>
      <w:r>
        <w:rPr>
          <w:rFonts w:asciiTheme="minorHAnsi" w:hAnsiTheme="minorHAnsi" w:cstheme="minorHAnsi"/>
          <w:color w:val="auto"/>
        </w:rPr>
        <w:t xml:space="preserve"> measured </w:t>
      </w:r>
      <w:r w:rsidR="00290D33" w:rsidRPr="00290D33">
        <w:rPr>
          <w:rFonts w:asciiTheme="minorHAnsi" w:hAnsiTheme="minorHAnsi" w:cstheme="minorHAnsi"/>
          <w:color w:val="auto"/>
        </w:rPr>
        <w:t xml:space="preserve"> </w:t>
      </w:r>
      <w:r w:rsidR="00290D33" w:rsidRPr="00FC656D">
        <w:rPr>
          <w:rFonts w:asciiTheme="minorHAnsi" w:hAnsiTheme="minorHAnsi" w:cstheme="minorHAnsi"/>
          <w:color w:val="auto"/>
          <w:vertAlign w:val="superscript"/>
        </w:rPr>
        <w:t>35</w:t>
      </w:r>
      <w:r w:rsidR="00290D33" w:rsidRPr="00290D33">
        <w:rPr>
          <w:rFonts w:asciiTheme="minorHAnsi" w:hAnsiTheme="minorHAnsi" w:cstheme="minorHAnsi"/>
          <w:color w:val="auto"/>
        </w:rPr>
        <w:t>Cl/</w:t>
      </w:r>
      <w:r w:rsidR="00290D33" w:rsidRPr="00FC656D">
        <w:rPr>
          <w:rFonts w:asciiTheme="minorHAnsi" w:hAnsiTheme="minorHAnsi" w:cstheme="minorHAnsi"/>
          <w:color w:val="auto"/>
          <w:vertAlign w:val="superscript"/>
        </w:rPr>
        <w:t>28</w:t>
      </w:r>
      <w:r w:rsidR="00290D33" w:rsidRPr="00290D33">
        <w:rPr>
          <w:rFonts w:asciiTheme="minorHAnsi" w:hAnsiTheme="minorHAnsi" w:cstheme="minorHAnsi"/>
          <w:color w:val="auto"/>
        </w:rPr>
        <w:t>Si higher than 1x10</w:t>
      </w:r>
      <w:r w:rsidR="00290D33" w:rsidRPr="00FC656D">
        <w:rPr>
          <w:rFonts w:asciiTheme="minorHAnsi" w:hAnsiTheme="minorHAnsi" w:cstheme="minorHAnsi"/>
          <w:color w:val="auto"/>
          <w:vertAlign w:val="superscript"/>
        </w:rPr>
        <w:t>-4</w:t>
      </w:r>
      <w:r w:rsidR="00290D33" w:rsidRPr="00290D33">
        <w:rPr>
          <w:rFonts w:asciiTheme="minorHAnsi" w:hAnsiTheme="minorHAnsi" w:cstheme="minorHAnsi"/>
          <w:color w:val="auto"/>
        </w:rPr>
        <w:t xml:space="preserve"> was </w:t>
      </w:r>
      <w:r w:rsidR="00FC656D">
        <w:rPr>
          <w:rFonts w:asciiTheme="minorHAnsi" w:hAnsiTheme="minorHAnsi" w:cstheme="minorHAnsi"/>
          <w:color w:val="auto"/>
        </w:rPr>
        <w:t>rejected</w:t>
      </w:r>
      <w:r w:rsidR="00290D33" w:rsidRPr="00290D33">
        <w:rPr>
          <w:rFonts w:asciiTheme="minorHAnsi" w:hAnsiTheme="minorHAnsi" w:cstheme="minorHAnsi"/>
          <w:color w:val="auto"/>
        </w:rPr>
        <w:t xml:space="preserve"> because such high signals </w:t>
      </w:r>
      <w:r w:rsidR="00FC656D">
        <w:rPr>
          <w:rFonts w:asciiTheme="minorHAnsi" w:hAnsiTheme="minorHAnsi" w:cstheme="minorHAnsi"/>
          <w:color w:val="auto"/>
        </w:rPr>
        <w:t>likely reflect</w:t>
      </w:r>
      <w:r w:rsidR="00290D33" w:rsidRPr="00290D33">
        <w:rPr>
          <w:rFonts w:asciiTheme="minorHAnsi" w:hAnsiTheme="minorHAnsi" w:cstheme="minorHAnsi"/>
          <w:color w:val="auto"/>
        </w:rPr>
        <w:t xml:space="preserve"> </w:t>
      </w:r>
      <w:r w:rsidR="00FC656D">
        <w:rPr>
          <w:rFonts w:asciiTheme="minorHAnsi" w:hAnsiTheme="minorHAnsi" w:cstheme="minorHAnsi"/>
          <w:color w:val="auto"/>
        </w:rPr>
        <w:t>micro-</w:t>
      </w:r>
      <w:r w:rsidR="00290D33" w:rsidRPr="00290D33">
        <w:rPr>
          <w:rFonts w:asciiTheme="minorHAnsi" w:hAnsiTheme="minorHAnsi" w:cstheme="minorHAnsi"/>
          <w:color w:val="auto"/>
        </w:rPr>
        <w:t xml:space="preserve">inclusions or </w:t>
      </w:r>
      <w:r w:rsidR="00FC656D">
        <w:rPr>
          <w:rFonts w:asciiTheme="minorHAnsi" w:hAnsiTheme="minorHAnsi" w:cstheme="minorHAnsi"/>
          <w:color w:val="auto"/>
        </w:rPr>
        <w:t xml:space="preserve">other </w:t>
      </w:r>
      <w:r w:rsidR="00290D33" w:rsidRPr="00290D33">
        <w:rPr>
          <w:rFonts w:asciiTheme="minorHAnsi" w:hAnsiTheme="minorHAnsi" w:cstheme="minorHAnsi"/>
          <w:color w:val="auto"/>
        </w:rPr>
        <w:t xml:space="preserve">contamination </w:t>
      </w:r>
      <w:r w:rsidR="00FC656D">
        <w:rPr>
          <w:rFonts w:asciiTheme="minorHAnsi" w:hAnsiTheme="minorHAnsi" w:cstheme="minorHAnsi"/>
          <w:color w:val="auto"/>
        </w:rPr>
        <w:t>not representative of primary clinopyroxene composition</w:t>
      </w:r>
      <w:r w:rsidR="00290D33" w:rsidRPr="00290D33">
        <w:rPr>
          <w:rFonts w:asciiTheme="minorHAnsi" w:hAnsiTheme="minorHAnsi" w:cstheme="minorHAnsi"/>
          <w:color w:val="auto"/>
        </w:rPr>
        <w:t xml:space="preserve">. </w:t>
      </w:r>
      <w:r w:rsidR="00DC58EE">
        <w:rPr>
          <w:rFonts w:asciiTheme="minorHAnsi" w:hAnsiTheme="minorHAnsi" w:cstheme="minorHAnsi"/>
          <w:color w:val="auto"/>
        </w:rPr>
        <w:t>Based on the variance of H</w:t>
      </w:r>
      <w:r w:rsidR="00DC58EE">
        <w:rPr>
          <w:rFonts w:asciiTheme="minorHAnsi" w:hAnsiTheme="minorHAnsi" w:cstheme="minorHAnsi"/>
          <w:color w:val="auto"/>
          <w:vertAlign w:val="subscript"/>
        </w:rPr>
        <w:t>2</w:t>
      </w:r>
      <w:r w:rsidR="00DC58EE">
        <w:rPr>
          <w:rFonts w:asciiTheme="minorHAnsi" w:hAnsiTheme="minorHAnsi" w:cstheme="minorHAnsi"/>
          <w:color w:val="auto"/>
        </w:rPr>
        <w:t>O measurements for secondary standard PRM-53, analytical uncertainty for cpx [H</w:t>
      </w:r>
      <w:r w:rsidR="00DC58EE">
        <w:rPr>
          <w:rFonts w:asciiTheme="minorHAnsi" w:hAnsiTheme="minorHAnsi" w:cstheme="minorHAnsi"/>
          <w:color w:val="auto"/>
          <w:vertAlign w:val="subscript"/>
        </w:rPr>
        <w:t>2</w:t>
      </w:r>
      <w:r w:rsidR="00DC58EE">
        <w:rPr>
          <w:rFonts w:asciiTheme="minorHAnsi" w:hAnsiTheme="minorHAnsi" w:cstheme="minorHAnsi"/>
          <w:color w:val="auto"/>
        </w:rPr>
        <w:t>O] is estimated to be ~13% (1SD).</w:t>
      </w:r>
    </w:p>
    <w:p w14:paraId="12434F22" w14:textId="77777777" w:rsidR="00290D33" w:rsidRPr="00290D33" w:rsidRDefault="00290D33" w:rsidP="008A6767">
      <w:pPr>
        <w:pStyle w:val="Default"/>
        <w:spacing w:line="480" w:lineRule="auto"/>
        <w:jc w:val="both"/>
        <w:rPr>
          <w:rFonts w:asciiTheme="minorHAnsi" w:hAnsiTheme="minorHAnsi" w:cstheme="minorHAnsi"/>
          <w:color w:val="auto"/>
        </w:rPr>
      </w:pPr>
    </w:p>
    <w:p w14:paraId="7E91FB94" w14:textId="77777777" w:rsidR="00290D33" w:rsidRDefault="00290D33" w:rsidP="008A6767">
      <w:pPr>
        <w:pStyle w:val="Default"/>
        <w:spacing w:line="480" w:lineRule="auto"/>
        <w:jc w:val="both"/>
        <w:rPr>
          <w:rFonts w:asciiTheme="minorHAnsi" w:hAnsiTheme="minorHAnsi" w:cstheme="minorHAnsi"/>
          <w:b/>
          <w:bCs/>
          <w:i/>
          <w:iCs/>
          <w:color w:val="auto"/>
        </w:rPr>
      </w:pPr>
      <w:r w:rsidRPr="00290D33">
        <w:rPr>
          <w:rFonts w:asciiTheme="minorHAnsi" w:hAnsiTheme="minorHAnsi" w:cstheme="minorHAnsi"/>
          <w:b/>
          <w:bCs/>
          <w:i/>
          <w:iCs/>
          <w:color w:val="auto"/>
        </w:rPr>
        <w:t xml:space="preserve">Trace Element Analysis: </w:t>
      </w:r>
    </w:p>
    <w:p w14:paraId="1066E05E" w14:textId="77777777" w:rsidR="00290D33" w:rsidRPr="00290D33" w:rsidRDefault="00290D33" w:rsidP="008A6767">
      <w:pPr>
        <w:pStyle w:val="Default"/>
        <w:spacing w:line="480" w:lineRule="auto"/>
        <w:jc w:val="both"/>
        <w:rPr>
          <w:rFonts w:asciiTheme="minorHAnsi" w:hAnsiTheme="minorHAnsi" w:cstheme="minorHAnsi"/>
          <w:color w:val="auto"/>
        </w:rPr>
      </w:pPr>
    </w:p>
    <w:p w14:paraId="2D1A9EC0" w14:textId="5FF921DE" w:rsidR="009232E4" w:rsidRDefault="00290D33" w:rsidP="008A6767">
      <w:pPr>
        <w:pStyle w:val="Default"/>
        <w:spacing w:line="480" w:lineRule="auto"/>
        <w:jc w:val="both"/>
        <w:rPr>
          <w:rFonts w:asciiTheme="minorHAnsi" w:hAnsiTheme="minorHAnsi" w:cstheme="minorHAnsi"/>
          <w:color w:val="auto"/>
        </w:rPr>
      </w:pPr>
      <w:r w:rsidRPr="00290D33">
        <w:rPr>
          <w:rFonts w:asciiTheme="minorHAnsi" w:hAnsiTheme="minorHAnsi" w:cstheme="minorHAnsi"/>
          <w:color w:val="auto"/>
        </w:rPr>
        <w:t xml:space="preserve">Trace element concentrations were measured via Excimer LA-ICP-MS with a New Wave UP-193FX laser system coupled to an Agilent 7500Ce quadrupole at the University of Texas at Austin. Again, the same spots (or as close as possible) were analyzed </w:t>
      </w:r>
      <w:r w:rsidR="006150EF">
        <w:rPr>
          <w:rFonts w:asciiTheme="minorHAnsi" w:hAnsiTheme="minorHAnsi" w:cstheme="minorHAnsi"/>
          <w:color w:val="auto"/>
        </w:rPr>
        <w:t xml:space="preserve">to </w:t>
      </w:r>
      <w:r w:rsidRPr="00290D33">
        <w:rPr>
          <w:rFonts w:asciiTheme="minorHAnsi" w:hAnsiTheme="minorHAnsi" w:cstheme="minorHAnsi"/>
          <w:color w:val="auto"/>
        </w:rPr>
        <w:t>maintain consistency across all data sets. All grains were pre-ab</w:t>
      </w:r>
      <w:r w:rsidR="006150EF">
        <w:rPr>
          <w:rFonts w:asciiTheme="minorHAnsi" w:hAnsiTheme="minorHAnsi" w:cstheme="minorHAnsi"/>
          <w:color w:val="auto"/>
        </w:rPr>
        <w:t>la</w:t>
      </w:r>
      <w:r w:rsidRPr="00290D33">
        <w:rPr>
          <w:rFonts w:asciiTheme="minorHAnsi" w:hAnsiTheme="minorHAnsi" w:cstheme="minorHAnsi"/>
          <w:color w:val="auto"/>
        </w:rPr>
        <w:t>ted with a 100 μm spot size. Each analysis used a 90 μm spot size at 40% power and 10 Hz rep</w:t>
      </w:r>
      <w:r w:rsidR="006150EF">
        <w:rPr>
          <w:rFonts w:asciiTheme="minorHAnsi" w:hAnsiTheme="minorHAnsi" w:cstheme="minorHAnsi"/>
          <w:color w:val="auto"/>
        </w:rPr>
        <w:t>etition</w:t>
      </w:r>
      <w:r w:rsidRPr="00290D33">
        <w:rPr>
          <w:rFonts w:asciiTheme="minorHAnsi" w:hAnsiTheme="minorHAnsi" w:cstheme="minorHAnsi"/>
          <w:color w:val="auto"/>
        </w:rPr>
        <w:t xml:space="preserve"> rate. A 45 second gas blank was collected before each analysis followed by a 60 second laser dwell time. Ablated material was transported with a He sweep gas flow rate of 750 mL/min and an Ar carrier gas flow of 900 mL/min. NIST 612 (a synthetic glass) was used as a primary standard and BCR 2G (a USGS basalt) was used as a secondary standard. Three spot</w:t>
      </w:r>
      <w:r w:rsidR="00A460B4">
        <w:rPr>
          <w:rFonts w:asciiTheme="minorHAnsi" w:hAnsiTheme="minorHAnsi" w:cstheme="minorHAnsi"/>
          <w:color w:val="auto"/>
        </w:rPr>
        <w:t xml:space="preserve"> analyses</w:t>
      </w:r>
      <w:r w:rsidRPr="00290D33">
        <w:rPr>
          <w:rFonts w:asciiTheme="minorHAnsi" w:hAnsiTheme="minorHAnsi" w:cstheme="minorHAnsi"/>
          <w:color w:val="auto"/>
        </w:rPr>
        <w:t xml:space="preserve"> of NIST</w:t>
      </w:r>
      <w:r w:rsidR="00A460B4">
        <w:rPr>
          <w:rFonts w:asciiTheme="minorHAnsi" w:hAnsiTheme="minorHAnsi" w:cstheme="minorHAnsi"/>
          <w:color w:val="auto"/>
        </w:rPr>
        <w:t>-</w:t>
      </w:r>
      <w:r w:rsidRPr="00290D33">
        <w:rPr>
          <w:rFonts w:asciiTheme="minorHAnsi" w:hAnsiTheme="minorHAnsi" w:cstheme="minorHAnsi"/>
          <w:color w:val="auto"/>
        </w:rPr>
        <w:t>612 and BCR</w:t>
      </w:r>
      <w:r w:rsidR="00A460B4">
        <w:rPr>
          <w:rFonts w:asciiTheme="minorHAnsi" w:hAnsiTheme="minorHAnsi" w:cstheme="minorHAnsi"/>
          <w:color w:val="auto"/>
        </w:rPr>
        <w:t>-</w:t>
      </w:r>
      <w:r w:rsidRPr="00290D33">
        <w:rPr>
          <w:rFonts w:asciiTheme="minorHAnsi" w:hAnsiTheme="minorHAnsi" w:cstheme="minorHAnsi"/>
          <w:color w:val="auto"/>
        </w:rPr>
        <w:t xml:space="preserve">2G were analyzed at the beginning and end of the sequence, as well as between every hour of </w:t>
      </w:r>
      <w:r w:rsidRPr="00CF3254">
        <w:rPr>
          <w:rFonts w:asciiTheme="minorHAnsi" w:hAnsiTheme="minorHAnsi" w:cstheme="minorHAnsi"/>
          <w:color w:val="auto"/>
        </w:rPr>
        <w:t xml:space="preserve">analyses. Analyses of BCR-2G were </w:t>
      </w:r>
      <w:r w:rsidRPr="00EB3AD4">
        <w:rPr>
          <w:rFonts w:asciiTheme="minorHAnsi" w:hAnsiTheme="minorHAnsi" w:cstheme="minorHAnsi"/>
          <w:color w:val="auto"/>
        </w:rPr>
        <w:t>accurate within 6% of published values for all elements other than Ti (</w:t>
      </w:r>
      <w:r w:rsidR="00D27060" w:rsidRPr="00EB3AD4">
        <w:rPr>
          <w:rFonts w:asciiTheme="minorHAnsi" w:hAnsiTheme="minorHAnsi" w:cstheme="minorHAnsi"/>
          <w:color w:val="auto"/>
        </w:rPr>
        <w:t>8</w:t>
      </w:r>
      <w:r w:rsidRPr="00EB3AD4">
        <w:rPr>
          <w:rFonts w:asciiTheme="minorHAnsi" w:hAnsiTheme="minorHAnsi" w:cstheme="minorHAnsi"/>
          <w:color w:val="auto"/>
        </w:rPr>
        <w:t>%)</w:t>
      </w:r>
      <w:r w:rsidR="00CF3254" w:rsidRPr="00EB3AD4">
        <w:rPr>
          <w:rFonts w:asciiTheme="minorHAnsi" w:hAnsiTheme="minorHAnsi" w:cstheme="minorHAnsi"/>
          <w:color w:val="auto"/>
        </w:rPr>
        <w:t>, Y (8%), and Tb (9%)</w:t>
      </w:r>
      <w:r w:rsidRPr="00EB3AD4">
        <w:rPr>
          <w:rFonts w:asciiTheme="minorHAnsi" w:hAnsiTheme="minorHAnsi" w:cstheme="minorHAnsi"/>
          <w:color w:val="auto"/>
        </w:rPr>
        <w:t xml:space="preserve"> (see </w:t>
      </w:r>
      <w:r w:rsidR="00DE6C72" w:rsidRPr="00EB3AD4">
        <w:rPr>
          <w:rFonts w:asciiTheme="minorHAnsi" w:hAnsiTheme="minorHAnsi" w:cstheme="minorHAnsi"/>
          <w:color w:val="auto"/>
        </w:rPr>
        <w:t>Table S</w:t>
      </w:r>
      <w:r w:rsidR="00CF3254" w:rsidRPr="00EB3AD4">
        <w:rPr>
          <w:rFonts w:asciiTheme="minorHAnsi" w:hAnsiTheme="minorHAnsi" w:cstheme="minorHAnsi"/>
          <w:color w:val="auto"/>
        </w:rPr>
        <w:t>4</w:t>
      </w:r>
      <w:r w:rsidRPr="00EB3AD4">
        <w:rPr>
          <w:rFonts w:asciiTheme="minorHAnsi" w:hAnsiTheme="minorHAnsi" w:cstheme="minorHAnsi"/>
          <w:color w:val="auto"/>
        </w:rPr>
        <w:t>). Repeated analyses of BCR-2G were reproducible within 5% (1σ) for all elements other than Tm (1</w:t>
      </w:r>
      <w:r w:rsidR="00D27060" w:rsidRPr="00EB3AD4">
        <w:rPr>
          <w:rFonts w:asciiTheme="minorHAnsi" w:hAnsiTheme="minorHAnsi" w:cstheme="minorHAnsi"/>
          <w:color w:val="auto"/>
        </w:rPr>
        <w:t>3</w:t>
      </w:r>
      <w:r w:rsidRPr="00EB3AD4">
        <w:rPr>
          <w:rFonts w:asciiTheme="minorHAnsi" w:hAnsiTheme="minorHAnsi" w:cstheme="minorHAnsi"/>
          <w:color w:val="auto"/>
        </w:rPr>
        <w:t>%), Lu (11%), and U (</w:t>
      </w:r>
      <w:r w:rsidR="00D27060" w:rsidRPr="00EB3AD4">
        <w:rPr>
          <w:rFonts w:asciiTheme="minorHAnsi" w:hAnsiTheme="minorHAnsi" w:cstheme="minorHAnsi"/>
          <w:color w:val="auto"/>
        </w:rPr>
        <w:t>6</w:t>
      </w:r>
      <w:r w:rsidRPr="00EB3AD4">
        <w:rPr>
          <w:rFonts w:asciiTheme="minorHAnsi" w:hAnsiTheme="minorHAnsi" w:cstheme="minorHAnsi"/>
          <w:color w:val="auto"/>
        </w:rPr>
        <w:t xml:space="preserve">%). </w:t>
      </w:r>
      <w:r w:rsidR="00D27060" w:rsidRPr="00EB3AD4">
        <w:rPr>
          <w:rFonts w:asciiTheme="minorHAnsi" w:hAnsiTheme="minorHAnsi" w:cstheme="minorHAnsi"/>
          <w:color w:val="auto"/>
        </w:rPr>
        <w:t>Measured and published standard trace element concentrations are reported in Table S</w:t>
      </w:r>
      <w:r w:rsidR="00CF3254" w:rsidRPr="00EB3AD4">
        <w:rPr>
          <w:rFonts w:asciiTheme="minorHAnsi" w:hAnsiTheme="minorHAnsi" w:cstheme="minorHAnsi"/>
          <w:color w:val="auto"/>
        </w:rPr>
        <w:t>4</w:t>
      </w:r>
      <w:r w:rsidR="00D27060" w:rsidRPr="00EB3AD4">
        <w:rPr>
          <w:rFonts w:asciiTheme="minorHAnsi" w:hAnsiTheme="minorHAnsi" w:cstheme="minorHAnsi"/>
          <w:color w:val="auto"/>
        </w:rPr>
        <w:t>.</w:t>
      </w:r>
    </w:p>
    <w:p w14:paraId="733D07C3" w14:textId="77777777" w:rsidR="00DC58EE" w:rsidRDefault="00DC58EE" w:rsidP="008A6767">
      <w:pPr>
        <w:pStyle w:val="Default"/>
        <w:spacing w:line="480" w:lineRule="auto"/>
        <w:jc w:val="both"/>
        <w:rPr>
          <w:rFonts w:asciiTheme="minorHAnsi" w:hAnsiTheme="minorHAnsi" w:cstheme="minorHAnsi"/>
          <w:color w:val="auto"/>
        </w:rPr>
      </w:pPr>
    </w:p>
    <w:p w14:paraId="4B23C0E4" w14:textId="4107CD27" w:rsidR="00EA4F83" w:rsidRDefault="00DC58EE" w:rsidP="008A6767">
      <w:pPr>
        <w:pStyle w:val="Default"/>
        <w:spacing w:line="480" w:lineRule="auto"/>
        <w:jc w:val="both"/>
        <w:rPr>
          <w:rFonts w:asciiTheme="minorHAnsi" w:hAnsiTheme="minorHAnsi" w:cstheme="minorHAnsi"/>
          <w:b/>
          <w:bCs/>
          <w:i/>
          <w:iCs/>
          <w:color w:val="auto"/>
        </w:rPr>
      </w:pPr>
      <w:r w:rsidRPr="00F412F4">
        <w:rPr>
          <w:rFonts w:cstheme="minorHAnsi"/>
          <w:b/>
          <w:bCs/>
          <w:i/>
          <w:iCs/>
        </w:rPr>
        <w:t>Error propagation for melt [H</w:t>
      </w:r>
      <w:r w:rsidRPr="00F412F4">
        <w:rPr>
          <w:rFonts w:cstheme="minorHAnsi"/>
          <w:b/>
          <w:bCs/>
          <w:i/>
          <w:iCs/>
          <w:vertAlign w:val="subscript"/>
        </w:rPr>
        <w:t>2</w:t>
      </w:r>
      <w:r w:rsidRPr="00F412F4">
        <w:rPr>
          <w:rFonts w:cstheme="minorHAnsi"/>
          <w:b/>
          <w:bCs/>
          <w:i/>
          <w:iCs/>
        </w:rPr>
        <w:t>O] and [H</w:t>
      </w:r>
      <w:r w:rsidRPr="00F412F4">
        <w:rPr>
          <w:rFonts w:cstheme="minorHAnsi"/>
          <w:b/>
          <w:bCs/>
          <w:i/>
          <w:iCs/>
          <w:vertAlign w:val="subscript"/>
        </w:rPr>
        <w:t>2</w:t>
      </w:r>
      <w:r w:rsidRPr="00F412F4">
        <w:rPr>
          <w:rFonts w:cstheme="minorHAnsi"/>
          <w:b/>
          <w:bCs/>
          <w:i/>
          <w:iCs/>
        </w:rPr>
        <w:t>O/Ce] determinations:</w:t>
      </w:r>
    </w:p>
    <w:p w14:paraId="2ACFE082" w14:textId="77777777" w:rsidR="00EA4F83" w:rsidRPr="00EA4F83" w:rsidRDefault="00EA4F83" w:rsidP="008A6767">
      <w:pPr>
        <w:pStyle w:val="Default"/>
        <w:spacing w:line="480" w:lineRule="auto"/>
        <w:jc w:val="both"/>
        <w:rPr>
          <w:rFonts w:asciiTheme="minorHAnsi" w:hAnsiTheme="minorHAnsi" w:cstheme="minorHAnsi"/>
          <w:color w:val="auto"/>
        </w:rPr>
      </w:pPr>
    </w:p>
    <w:p w14:paraId="7684E17E" w14:textId="6C977627" w:rsidR="00DC58EE" w:rsidRDefault="004E45D7" w:rsidP="008A6767">
      <w:pPr>
        <w:pStyle w:val="Default"/>
        <w:spacing w:line="480" w:lineRule="auto"/>
        <w:jc w:val="both"/>
        <w:rPr>
          <w:rFonts w:asciiTheme="minorHAnsi" w:hAnsiTheme="minorHAnsi" w:cstheme="minorHAnsi"/>
          <w:color w:val="auto"/>
        </w:rPr>
      </w:pPr>
      <w:r>
        <w:rPr>
          <w:rFonts w:asciiTheme="minorHAnsi" w:hAnsiTheme="minorHAnsi" w:cstheme="minorHAnsi"/>
          <w:color w:val="auto"/>
        </w:rPr>
        <w:t>The analytical uncertainty on individual cpx [H</w:t>
      </w:r>
      <w:r>
        <w:rPr>
          <w:rFonts w:asciiTheme="minorHAnsi" w:hAnsiTheme="minorHAnsi" w:cstheme="minorHAnsi"/>
          <w:color w:val="auto"/>
          <w:vertAlign w:val="subscript"/>
        </w:rPr>
        <w:t>2</w:t>
      </w:r>
      <w:r>
        <w:rPr>
          <w:rFonts w:asciiTheme="minorHAnsi" w:hAnsiTheme="minorHAnsi" w:cstheme="minorHAnsi"/>
          <w:color w:val="auto"/>
        </w:rPr>
        <w:t>O] measurements is ~13%. Uncertaintly in melt [H</w:t>
      </w:r>
      <w:r>
        <w:rPr>
          <w:rFonts w:asciiTheme="minorHAnsi" w:hAnsiTheme="minorHAnsi" w:cstheme="minorHAnsi"/>
          <w:color w:val="auto"/>
          <w:vertAlign w:val="subscript"/>
        </w:rPr>
        <w:t>2</w:t>
      </w:r>
      <w:r>
        <w:rPr>
          <w:rFonts w:asciiTheme="minorHAnsi" w:hAnsiTheme="minorHAnsi" w:cstheme="minorHAnsi"/>
          <w:color w:val="auto"/>
        </w:rPr>
        <w:t>O] estimates are compounded by uncertainty in cpx/melt K</w:t>
      </w:r>
      <w:r>
        <w:rPr>
          <w:rFonts w:asciiTheme="minorHAnsi" w:hAnsiTheme="minorHAnsi" w:cstheme="minorHAnsi"/>
          <w:color w:val="auto"/>
          <w:vertAlign w:val="subscript"/>
        </w:rPr>
        <w:t>d</w:t>
      </w:r>
      <w:r>
        <w:rPr>
          <w:rFonts w:asciiTheme="minorHAnsi" w:hAnsiTheme="minorHAnsi" w:cstheme="minorHAnsi"/>
          <w:color w:val="auto"/>
        </w:rPr>
        <w:t>(H</w:t>
      </w:r>
      <w:r>
        <w:rPr>
          <w:rFonts w:asciiTheme="minorHAnsi" w:hAnsiTheme="minorHAnsi" w:cstheme="minorHAnsi"/>
          <w:color w:val="auto"/>
          <w:vertAlign w:val="subscript"/>
        </w:rPr>
        <w:t>2</w:t>
      </w:r>
      <w:r>
        <w:rPr>
          <w:rFonts w:asciiTheme="minorHAnsi" w:hAnsiTheme="minorHAnsi" w:cstheme="minorHAnsi"/>
          <w:color w:val="auto"/>
        </w:rPr>
        <w:t>O). We used three models (</w:t>
      </w:r>
      <w:r w:rsidRPr="00C4456B">
        <w:rPr>
          <w:rFonts w:cstheme="minorHAnsi"/>
        </w:rPr>
        <w:t>Novella et al.</w:t>
      </w:r>
      <w:r>
        <w:rPr>
          <w:rFonts w:cstheme="minorHAnsi"/>
        </w:rPr>
        <w:t xml:space="preserve">, 2014; </w:t>
      </w:r>
      <w:r w:rsidRPr="00C4456B">
        <w:rPr>
          <w:rFonts w:cstheme="minorHAnsi"/>
        </w:rPr>
        <w:t>O’Leary et al.</w:t>
      </w:r>
      <w:r>
        <w:rPr>
          <w:rFonts w:cstheme="minorHAnsi"/>
        </w:rPr>
        <w:t>,</w:t>
      </w:r>
      <w:r w:rsidRPr="00C4456B">
        <w:rPr>
          <w:rFonts w:cstheme="minorHAnsi"/>
        </w:rPr>
        <w:t>2010, Wade et al.</w:t>
      </w:r>
      <w:r>
        <w:rPr>
          <w:rFonts w:cstheme="minorHAnsi"/>
        </w:rPr>
        <w:t xml:space="preserve">, </w:t>
      </w:r>
      <w:r w:rsidRPr="00C4456B">
        <w:rPr>
          <w:rFonts w:cstheme="minorHAnsi"/>
        </w:rPr>
        <w:t>2008)</w:t>
      </w:r>
      <w:r>
        <w:rPr>
          <w:rFonts w:cstheme="minorHAnsi"/>
        </w:rPr>
        <w:t xml:space="preserve"> </w:t>
      </w:r>
      <w:r>
        <w:rPr>
          <w:rFonts w:asciiTheme="minorHAnsi" w:hAnsiTheme="minorHAnsi" w:cstheme="minorHAnsi"/>
          <w:color w:val="auto"/>
        </w:rPr>
        <w:t>to estimate cpx/melt K</w:t>
      </w:r>
      <w:r>
        <w:rPr>
          <w:rFonts w:asciiTheme="minorHAnsi" w:hAnsiTheme="minorHAnsi" w:cstheme="minorHAnsi"/>
          <w:color w:val="auto"/>
          <w:vertAlign w:val="subscript"/>
        </w:rPr>
        <w:t>d</w:t>
      </w:r>
      <w:r>
        <w:rPr>
          <w:rFonts w:asciiTheme="minorHAnsi" w:hAnsiTheme="minorHAnsi" w:cstheme="minorHAnsi"/>
          <w:color w:val="auto"/>
        </w:rPr>
        <w:t>(H</w:t>
      </w:r>
      <w:r>
        <w:rPr>
          <w:rFonts w:asciiTheme="minorHAnsi" w:hAnsiTheme="minorHAnsi" w:cstheme="minorHAnsi"/>
          <w:color w:val="auto"/>
          <w:vertAlign w:val="subscript"/>
        </w:rPr>
        <w:t>2</w:t>
      </w:r>
      <w:r>
        <w:rPr>
          <w:rFonts w:asciiTheme="minorHAnsi" w:hAnsiTheme="minorHAnsi" w:cstheme="minorHAnsi"/>
          <w:color w:val="auto"/>
        </w:rPr>
        <w:t>O) based on cpx major element composition. Although calculated K</w:t>
      </w:r>
      <w:r>
        <w:rPr>
          <w:rFonts w:asciiTheme="minorHAnsi" w:hAnsiTheme="minorHAnsi" w:cstheme="minorHAnsi"/>
          <w:color w:val="auto"/>
          <w:vertAlign w:val="subscript"/>
        </w:rPr>
        <w:t>d</w:t>
      </w:r>
      <w:r>
        <w:rPr>
          <w:rFonts w:asciiTheme="minorHAnsi" w:hAnsiTheme="minorHAnsi" w:cstheme="minorHAnsi"/>
          <w:color w:val="auto"/>
        </w:rPr>
        <w:t xml:space="preserve"> values are strongly correlated between the three models, we estimate the uncertainty in the K</w:t>
      </w:r>
      <w:r>
        <w:rPr>
          <w:rFonts w:asciiTheme="minorHAnsi" w:hAnsiTheme="minorHAnsi" w:cstheme="minorHAnsi"/>
          <w:color w:val="auto"/>
          <w:vertAlign w:val="subscript"/>
        </w:rPr>
        <w:t>d</w:t>
      </w:r>
      <w:r>
        <w:rPr>
          <w:rFonts w:asciiTheme="minorHAnsi" w:hAnsiTheme="minorHAnsi" w:cstheme="minorHAnsi"/>
          <w:color w:val="auto"/>
        </w:rPr>
        <w:t xml:space="preserve"> value as 1 SE of the mean, which averages ~15%. Because thr analytical error and error in K</w:t>
      </w:r>
      <w:r>
        <w:rPr>
          <w:rFonts w:asciiTheme="minorHAnsi" w:hAnsiTheme="minorHAnsi" w:cstheme="minorHAnsi"/>
          <w:color w:val="auto"/>
          <w:vertAlign w:val="subscript"/>
        </w:rPr>
        <w:t>d</w:t>
      </w:r>
      <w:r>
        <w:rPr>
          <w:rFonts w:asciiTheme="minorHAnsi" w:hAnsiTheme="minorHAnsi" w:cstheme="minorHAnsi"/>
          <w:color w:val="auto"/>
        </w:rPr>
        <w:t xml:space="preserve"> values are independent from each other, total variance in melt [H</w:t>
      </w:r>
      <w:r>
        <w:rPr>
          <w:rFonts w:asciiTheme="minorHAnsi" w:hAnsiTheme="minorHAnsi" w:cstheme="minorHAnsi"/>
          <w:color w:val="auto"/>
          <w:vertAlign w:val="subscript"/>
        </w:rPr>
        <w:t>2</w:t>
      </w:r>
      <w:r>
        <w:rPr>
          <w:rFonts w:asciiTheme="minorHAnsi" w:hAnsiTheme="minorHAnsi" w:cstheme="minorHAnsi"/>
          <w:color w:val="auto"/>
        </w:rPr>
        <w:t>O] can be approximated through the sum of squares:</w:t>
      </w:r>
    </w:p>
    <w:p w14:paraId="273B5E45" w14:textId="77777777" w:rsidR="004E45D7" w:rsidRDefault="004E45D7" w:rsidP="008A6767">
      <w:pPr>
        <w:pStyle w:val="Default"/>
        <w:spacing w:line="480" w:lineRule="auto"/>
        <w:jc w:val="both"/>
        <w:rPr>
          <w:rFonts w:asciiTheme="minorHAnsi" w:hAnsiTheme="minorHAnsi" w:cstheme="minorHAnsi"/>
          <w:color w:val="auto"/>
        </w:rPr>
      </w:pPr>
    </w:p>
    <w:p w14:paraId="646B3FCA" w14:textId="3F87B2C2" w:rsidR="004E45D7" w:rsidRDefault="000C2A20" w:rsidP="008A6767">
      <w:pPr>
        <w:pStyle w:val="Default"/>
        <w:spacing w:line="480" w:lineRule="auto"/>
        <w:jc w:val="both"/>
        <w:rPr>
          <w:rFonts w:asciiTheme="minorHAnsi" w:hAnsiTheme="minorHAnsi" w:cstheme="minorHAnsi"/>
          <w:color w:val="auto"/>
        </w:rPr>
      </w:pPr>
      <w:r>
        <w:rPr>
          <w:rFonts w:asciiTheme="minorHAnsi" w:hAnsiTheme="minorHAnsi" w:cstheme="minorHAnsi"/>
          <w:color w:val="auto"/>
        </w:rPr>
        <w:t>(</w:t>
      </w:r>
      <w:r w:rsidR="004E45D7">
        <w:rPr>
          <w:rFonts w:asciiTheme="minorHAnsi" w:hAnsiTheme="minorHAnsi" w:cstheme="minorHAnsi"/>
          <w:color w:val="auto"/>
        </w:rPr>
        <w:sym w:font="Symbol" w:char="F073"/>
      </w:r>
      <w:r>
        <w:rPr>
          <w:rFonts w:asciiTheme="minorHAnsi" w:hAnsiTheme="minorHAnsi" w:cstheme="minorHAnsi"/>
          <w:color w:val="auto"/>
          <w:vertAlign w:val="superscript"/>
        </w:rPr>
        <w:t>T</w:t>
      </w:r>
      <w:r>
        <w:rPr>
          <w:rFonts w:asciiTheme="minorHAnsi" w:hAnsiTheme="minorHAnsi" w:cstheme="minorHAnsi"/>
          <w:color w:val="auto"/>
        </w:rPr>
        <w:t>)</w:t>
      </w:r>
      <w:r>
        <w:rPr>
          <w:rFonts w:asciiTheme="minorHAnsi" w:hAnsiTheme="minorHAnsi" w:cstheme="minorHAnsi"/>
          <w:color w:val="auto"/>
          <w:vertAlign w:val="superscript"/>
        </w:rPr>
        <w:t>2</w:t>
      </w:r>
      <w:r>
        <w:rPr>
          <w:rFonts w:asciiTheme="minorHAnsi" w:hAnsiTheme="minorHAnsi" w:cstheme="minorHAnsi"/>
          <w:color w:val="auto"/>
        </w:rPr>
        <w:t xml:space="preserve"> = (</w:t>
      </w:r>
      <w:r>
        <w:rPr>
          <w:rFonts w:asciiTheme="minorHAnsi" w:hAnsiTheme="minorHAnsi" w:cstheme="minorHAnsi"/>
          <w:color w:val="auto"/>
        </w:rPr>
        <w:sym w:font="Symbol" w:char="F073"/>
      </w:r>
      <w:r>
        <w:rPr>
          <w:rFonts w:asciiTheme="minorHAnsi" w:hAnsiTheme="minorHAnsi" w:cstheme="minorHAnsi"/>
          <w:color w:val="auto"/>
          <w:vertAlign w:val="superscript"/>
        </w:rPr>
        <w:t>1</w:t>
      </w:r>
      <w:r>
        <w:rPr>
          <w:rFonts w:asciiTheme="minorHAnsi" w:hAnsiTheme="minorHAnsi" w:cstheme="minorHAnsi"/>
          <w:color w:val="auto"/>
        </w:rPr>
        <w:t>)</w:t>
      </w:r>
      <w:r>
        <w:rPr>
          <w:rFonts w:asciiTheme="minorHAnsi" w:hAnsiTheme="minorHAnsi" w:cstheme="minorHAnsi"/>
          <w:color w:val="auto"/>
          <w:vertAlign w:val="superscript"/>
        </w:rPr>
        <w:t>2</w:t>
      </w:r>
      <w:r>
        <w:rPr>
          <w:rFonts w:asciiTheme="minorHAnsi" w:hAnsiTheme="minorHAnsi" w:cstheme="minorHAnsi"/>
          <w:color w:val="auto"/>
        </w:rPr>
        <w:t xml:space="preserve"> + (</w:t>
      </w:r>
      <w:r>
        <w:rPr>
          <w:rFonts w:asciiTheme="minorHAnsi" w:hAnsiTheme="minorHAnsi" w:cstheme="minorHAnsi"/>
          <w:color w:val="auto"/>
        </w:rPr>
        <w:sym w:font="Symbol" w:char="F073"/>
      </w:r>
      <w:r>
        <w:rPr>
          <w:rFonts w:asciiTheme="minorHAnsi" w:hAnsiTheme="minorHAnsi" w:cstheme="minorHAnsi"/>
          <w:color w:val="auto"/>
          <w:vertAlign w:val="superscript"/>
        </w:rPr>
        <w:t>2</w:t>
      </w:r>
      <w:r>
        <w:rPr>
          <w:rFonts w:asciiTheme="minorHAnsi" w:hAnsiTheme="minorHAnsi" w:cstheme="minorHAnsi"/>
          <w:color w:val="auto"/>
        </w:rPr>
        <w:t>)</w:t>
      </w:r>
      <w:r>
        <w:rPr>
          <w:rFonts w:asciiTheme="minorHAnsi" w:hAnsiTheme="minorHAnsi" w:cstheme="minorHAnsi"/>
          <w:color w:val="auto"/>
          <w:vertAlign w:val="superscript"/>
        </w:rPr>
        <w:t>2</w:t>
      </w:r>
      <w:r>
        <w:rPr>
          <w:rFonts w:asciiTheme="minorHAnsi" w:hAnsiTheme="minorHAnsi" w:cstheme="minorHAnsi"/>
          <w:color w:val="auto"/>
        </w:rPr>
        <w:t xml:space="preserve"> + …</w:t>
      </w:r>
    </w:p>
    <w:p w14:paraId="16885432" w14:textId="77777777" w:rsidR="000C2A20" w:rsidRDefault="000C2A20" w:rsidP="008A6767">
      <w:pPr>
        <w:pStyle w:val="Default"/>
        <w:spacing w:line="480" w:lineRule="auto"/>
        <w:jc w:val="both"/>
        <w:rPr>
          <w:rFonts w:asciiTheme="minorHAnsi" w:hAnsiTheme="minorHAnsi" w:cstheme="minorHAnsi"/>
          <w:color w:val="auto"/>
        </w:rPr>
      </w:pPr>
    </w:p>
    <w:p w14:paraId="369CAA69" w14:textId="5FD7D081" w:rsidR="000C2A20" w:rsidRPr="00F47EF6" w:rsidRDefault="000C2A20" w:rsidP="008A6767">
      <w:pPr>
        <w:pStyle w:val="Default"/>
        <w:spacing w:line="480" w:lineRule="auto"/>
        <w:jc w:val="both"/>
        <w:rPr>
          <w:rFonts w:asciiTheme="minorHAnsi" w:hAnsiTheme="minorHAnsi" w:cstheme="minorHAnsi"/>
          <w:color w:val="auto"/>
        </w:rPr>
      </w:pPr>
      <w:r>
        <w:rPr>
          <w:rFonts w:asciiTheme="minorHAnsi" w:hAnsiTheme="minorHAnsi" w:cstheme="minorHAnsi"/>
          <w:color w:val="auto"/>
        </w:rPr>
        <w:t>For the above uncertainties in cpx [H</w:t>
      </w:r>
      <w:r>
        <w:rPr>
          <w:rFonts w:asciiTheme="minorHAnsi" w:hAnsiTheme="minorHAnsi" w:cstheme="minorHAnsi"/>
          <w:color w:val="auto"/>
          <w:vertAlign w:val="subscript"/>
        </w:rPr>
        <w:t>2</w:t>
      </w:r>
      <w:r>
        <w:rPr>
          <w:rFonts w:asciiTheme="minorHAnsi" w:hAnsiTheme="minorHAnsi" w:cstheme="minorHAnsi"/>
          <w:color w:val="auto"/>
        </w:rPr>
        <w:t>O] and cpx/melt K</w:t>
      </w:r>
      <w:r>
        <w:rPr>
          <w:rFonts w:asciiTheme="minorHAnsi" w:hAnsiTheme="minorHAnsi" w:cstheme="minorHAnsi"/>
          <w:color w:val="auto"/>
          <w:vertAlign w:val="subscript"/>
        </w:rPr>
        <w:t>d</w:t>
      </w:r>
      <w:r>
        <w:rPr>
          <w:rFonts w:asciiTheme="minorHAnsi" w:hAnsiTheme="minorHAnsi" w:cstheme="minorHAnsi"/>
          <w:color w:val="auto"/>
        </w:rPr>
        <w:t>(H</w:t>
      </w:r>
      <w:r>
        <w:rPr>
          <w:rFonts w:asciiTheme="minorHAnsi" w:hAnsiTheme="minorHAnsi" w:cstheme="minorHAnsi"/>
          <w:color w:val="auto"/>
          <w:vertAlign w:val="subscript"/>
        </w:rPr>
        <w:t>2</w:t>
      </w:r>
      <w:r>
        <w:rPr>
          <w:rFonts w:asciiTheme="minorHAnsi" w:hAnsiTheme="minorHAnsi" w:cstheme="minorHAnsi"/>
          <w:color w:val="auto"/>
        </w:rPr>
        <w:t>O), the total uncertainty in melt [H</w:t>
      </w:r>
      <w:r>
        <w:rPr>
          <w:rFonts w:asciiTheme="minorHAnsi" w:hAnsiTheme="minorHAnsi" w:cstheme="minorHAnsi"/>
          <w:color w:val="auto"/>
          <w:vertAlign w:val="subscript"/>
        </w:rPr>
        <w:t>2</w:t>
      </w:r>
      <w:r>
        <w:rPr>
          <w:rFonts w:asciiTheme="minorHAnsi" w:hAnsiTheme="minorHAnsi" w:cstheme="minorHAnsi"/>
          <w:color w:val="auto"/>
        </w:rPr>
        <w:t>O] is ~20%. Similar error propagation was used to estimate uncertainty in melt REE abundances and H</w:t>
      </w:r>
      <w:r>
        <w:rPr>
          <w:rFonts w:asciiTheme="minorHAnsi" w:hAnsiTheme="minorHAnsi" w:cstheme="minorHAnsi"/>
          <w:color w:val="auto"/>
          <w:vertAlign w:val="subscript"/>
        </w:rPr>
        <w:t>2</w:t>
      </w:r>
      <w:r>
        <w:rPr>
          <w:rFonts w:asciiTheme="minorHAnsi" w:hAnsiTheme="minorHAnsi" w:cstheme="minorHAnsi"/>
          <w:color w:val="auto"/>
        </w:rPr>
        <w:t>O/Ce ratios. Average uncertainty in REE cpx/melt K</w:t>
      </w:r>
      <w:r>
        <w:rPr>
          <w:rFonts w:asciiTheme="minorHAnsi" w:hAnsiTheme="minorHAnsi" w:cstheme="minorHAnsi"/>
          <w:color w:val="auto"/>
          <w:vertAlign w:val="subscript"/>
        </w:rPr>
        <w:t>d</w:t>
      </w:r>
      <w:r>
        <w:rPr>
          <w:rFonts w:asciiTheme="minorHAnsi" w:hAnsiTheme="minorHAnsi" w:cstheme="minorHAnsi"/>
          <w:color w:val="auto"/>
        </w:rPr>
        <w:t xml:space="preserve"> estimates varies from ~6% for Yb to ~20% for La and are generally larger than analytical uncertainty in cpx [REE] measurements. </w:t>
      </w:r>
      <w:r w:rsidR="00F47EF6">
        <w:rPr>
          <w:rFonts w:asciiTheme="minorHAnsi" w:hAnsiTheme="minorHAnsi" w:cstheme="minorHAnsi"/>
          <w:color w:val="auto"/>
        </w:rPr>
        <w:t>Error bars shown in figures are representative for samples spanning the range of measured composions and incorporate both analytical uncertainties and, where appropriate, uncertainty in calculated K</w:t>
      </w:r>
      <w:r w:rsidR="00F47EF6">
        <w:rPr>
          <w:rFonts w:asciiTheme="minorHAnsi" w:hAnsiTheme="minorHAnsi" w:cstheme="minorHAnsi"/>
          <w:color w:val="auto"/>
          <w:vertAlign w:val="subscript"/>
        </w:rPr>
        <w:t>d</w:t>
      </w:r>
      <w:r w:rsidR="00F47EF6">
        <w:rPr>
          <w:rFonts w:asciiTheme="minorHAnsi" w:hAnsiTheme="minorHAnsi" w:cstheme="minorHAnsi"/>
          <w:color w:val="auto"/>
        </w:rPr>
        <w:t xml:space="preserve"> values.</w:t>
      </w:r>
    </w:p>
    <w:p w14:paraId="5FA0F25A" w14:textId="77777777" w:rsidR="00455476" w:rsidRDefault="00455476" w:rsidP="008A6767">
      <w:pPr>
        <w:pStyle w:val="Default"/>
        <w:spacing w:line="480" w:lineRule="auto"/>
        <w:jc w:val="both"/>
        <w:rPr>
          <w:rFonts w:asciiTheme="minorHAnsi" w:hAnsiTheme="minorHAnsi" w:cstheme="minorHAnsi"/>
          <w:color w:val="auto"/>
        </w:rPr>
      </w:pPr>
    </w:p>
    <w:p w14:paraId="5666EC6F" w14:textId="7E707E5B" w:rsidR="00455476" w:rsidRDefault="00455476" w:rsidP="008A6767">
      <w:pPr>
        <w:pStyle w:val="Default"/>
        <w:spacing w:line="480" w:lineRule="auto"/>
        <w:jc w:val="both"/>
        <w:rPr>
          <w:rFonts w:asciiTheme="minorHAnsi" w:hAnsiTheme="minorHAnsi" w:cstheme="minorHAnsi"/>
          <w:b/>
          <w:bCs/>
          <w:color w:val="auto"/>
        </w:rPr>
      </w:pPr>
      <w:r>
        <w:rPr>
          <w:rFonts w:asciiTheme="minorHAnsi" w:hAnsiTheme="minorHAnsi" w:cstheme="minorHAnsi"/>
          <w:b/>
          <w:bCs/>
          <w:color w:val="auto"/>
        </w:rPr>
        <w:t>References for compiled MORB and OIB data:</w:t>
      </w:r>
    </w:p>
    <w:p w14:paraId="3C6ECB2D" w14:textId="77777777" w:rsidR="00455476" w:rsidRDefault="00455476" w:rsidP="008A6767">
      <w:pPr>
        <w:pStyle w:val="Default"/>
        <w:spacing w:line="480" w:lineRule="auto"/>
        <w:jc w:val="both"/>
        <w:rPr>
          <w:rFonts w:asciiTheme="minorHAnsi" w:hAnsiTheme="minorHAnsi" w:cstheme="minorHAnsi"/>
          <w:b/>
          <w:bCs/>
          <w:color w:val="auto"/>
        </w:rPr>
      </w:pPr>
    </w:p>
    <w:p w14:paraId="0B069BFD" w14:textId="13888994" w:rsidR="00455476" w:rsidRPr="00455476" w:rsidRDefault="00455476" w:rsidP="008A6767">
      <w:pPr>
        <w:pStyle w:val="Default"/>
        <w:spacing w:line="480" w:lineRule="auto"/>
        <w:jc w:val="both"/>
        <w:rPr>
          <w:rFonts w:asciiTheme="minorHAnsi" w:hAnsiTheme="minorHAnsi" w:cstheme="minorHAnsi"/>
          <w:color w:val="auto"/>
        </w:rPr>
      </w:pPr>
      <w:r w:rsidRPr="00455476">
        <w:rPr>
          <w:rFonts w:asciiTheme="minorHAnsi" w:hAnsiTheme="minorHAnsi" w:cstheme="minorHAnsi"/>
          <w:color w:val="auto"/>
        </w:rPr>
        <w:t xml:space="preserve">MORB and OIB data </w:t>
      </w:r>
      <w:r>
        <w:rPr>
          <w:rFonts w:asciiTheme="minorHAnsi" w:hAnsiTheme="minorHAnsi" w:cstheme="minorHAnsi"/>
          <w:color w:val="auto"/>
        </w:rPr>
        <w:t>presented in figures 4, 6, and 9 are from the following sources: Cabral et al. (2014</w:t>
      </w:r>
      <w:r w:rsidRPr="004F2474">
        <w:rPr>
          <w:rFonts w:asciiTheme="minorHAnsi" w:hAnsiTheme="minorHAnsi" w:cstheme="minorHAnsi"/>
          <w:color w:val="auto"/>
        </w:rPr>
        <w:t>), Halldorsson et al. (2016), Hanyu et al. (2019),</w:t>
      </w:r>
      <w:r>
        <w:rPr>
          <w:rFonts w:asciiTheme="minorHAnsi" w:hAnsiTheme="minorHAnsi" w:cstheme="minorHAnsi"/>
          <w:color w:val="auto"/>
        </w:rPr>
        <w:t xml:space="preserve"> Jack</w:t>
      </w:r>
      <w:r w:rsidR="00373B2F">
        <w:rPr>
          <w:rFonts w:asciiTheme="minorHAnsi" w:hAnsiTheme="minorHAnsi" w:cstheme="minorHAnsi"/>
          <w:color w:val="auto"/>
        </w:rPr>
        <w:t>s</w:t>
      </w:r>
      <w:r>
        <w:rPr>
          <w:rFonts w:asciiTheme="minorHAnsi" w:hAnsiTheme="minorHAnsi" w:cstheme="minorHAnsi"/>
          <w:color w:val="auto"/>
        </w:rPr>
        <w:t>on et al. (2015), Kendrick et al (2017), Le Voyer et al. (2019), Longpre et al. (2017</w:t>
      </w:r>
      <w:r w:rsidRPr="00943FF0">
        <w:rPr>
          <w:rFonts w:asciiTheme="minorHAnsi" w:hAnsiTheme="minorHAnsi" w:cstheme="minorHAnsi"/>
          <w:color w:val="auto"/>
        </w:rPr>
        <w:t>), Peterson et al (201</w:t>
      </w:r>
      <w:r w:rsidR="00B859EF" w:rsidRPr="00943FF0">
        <w:rPr>
          <w:rFonts w:asciiTheme="minorHAnsi" w:hAnsiTheme="minorHAnsi" w:cstheme="minorHAnsi"/>
          <w:color w:val="auto"/>
        </w:rPr>
        <w:t>7</w:t>
      </w:r>
      <w:r w:rsidRPr="00943FF0">
        <w:rPr>
          <w:rFonts w:asciiTheme="minorHAnsi" w:hAnsiTheme="minorHAnsi" w:cstheme="minorHAnsi"/>
          <w:color w:val="auto"/>
        </w:rPr>
        <w:t>), Reinhard et al. (2018), Rose-Koga et al. (2017), Saal et al. (2002), Shimizu et al. (2016), Sides et al. (2014).</w:t>
      </w:r>
    </w:p>
    <w:p w14:paraId="49CC003C" w14:textId="77777777" w:rsidR="00567FF6" w:rsidRDefault="00567FF6" w:rsidP="008A6767">
      <w:pPr>
        <w:pStyle w:val="Default"/>
        <w:spacing w:line="480" w:lineRule="auto"/>
        <w:jc w:val="both"/>
        <w:rPr>
          <w:rFonts w:asciiTheme="minorHAnsi" w:hAnsiTheme="minorHAnsi" w:cstheme="minorHAnsi"/>
          <w:color w:val="auto"/>
        </w:rPr>
      </w:pPr>
    </w:p>
    <w:p w14:paraId="64DBC834" w14:textId="77777777" w:rsidR="00567FF6" w:rsidRDefault="00567FF6" w:rsidP="008A6767">
      <w:pPr>
        <w:pStyle w:val="Default"/>
        <w:spacing w:line="480" w:lineRule="auto"/>
        <w:jc w:val="both"/>
        <w:rPr>
          <w:rFonts w:asciiTheme="minorHAnsi" w:hAnsiTheme="minorHAnsi" w:cstheme="minorHAnsi"/>
          <w:b/>
          <w:bCs/>
          <w:color w:val="auto"/>
        </w:rPr>
      </w:pPr>
      <w:r>
        <w:rPr>
          <w:rFonts w:asciiTheme="minorHAnsi" w:hAnsiTheme="minorHAnsi" w:cstheme="minorHAnsi"/>
          <w:b/>
          <w:bCs/>
          <w:color w:val="auto"/>
        </w:rPr>
        <w:t>Supplemental References:</w:t>
      </w:r>
    </w:p>
    <w:p w14:paraId="5E9C55A5" w14:textId="77777777" w:rsidR="00567FF6" w:rsidRDefault="00567FF6" w:rsidP="008A6767">
      <w:pPr>
        <w:pStyle w:val="Default"/>
        <w:spacing w:line="480" w:lineRule="auto"/>
        <w:jc w:val="both"/>
        <w:rPr>
          <w:rFonts w:asciiTheme="minorHAnsi" w:hAnsiTheme="minorHAnsi" w:cstheme="minorHAnsi"/>
          <w:b/>
          <w:bCs/>
          <w:color w:val="auto"/>
        </w:rPr>
      </w:pPr>
    </w:p>
    <w:p w14:paraId="078AEB97" w14:textId="77777777" w:rsidR="00DE01CA" w:rsidRDefault="00DE01CA" w:rsidP="008A6767">
      <w:pPr>
        <w:pStyle w:val="BodyText"/>
        <w:spacing w:line="480" w:lineRule="auto"/>
        <w:ind w:left="0"/>
        <w:rPr>
          <w:rFonts w:asciiTheme="minorHAnsi" w:hAnsiTheme="minorHAnsi" w:cstheme="minorHAnsi"/>
          <w:color w:val="212121"/>
          <w:sz w:val="24"/>
          <w:szCs w:val="24"/>
        </w:rPr>
      </w:pPr>
      <w:r w:rsidRPr="00DE01CA">
        <w:rPr>
          <w:rFonts w:asciiTheme="minorHAnsi" w:hAnsiTheme="minorHAnsi" w:cstheme="minorHAnsi"/>
          <w:color w:val="212121"/>
          <w:position w:val="2"/>
          <w:sz w:val="24"/>
          <w:szCs w:val="24"/>
        </w:rPr>
        <w:t>Cabral,</w:t>
      </w:r>
      <w:r w:rsidRPr="00DE01CA">
        <w:rPr>
          <w:rFonts w:asciiTheme="minorHAnsi" w:hAnsiTheme="minorHAnsi" w:cstheme="minorHAnsi"/>
          <w:color w:val="212121"/>
          <w:spacing w:val="-5"/>
          <w:position w:val="2"/>
          <w:sz w:val="24"/>
          <w:szCs w:val="24"/>
        </w:rPr>
        <w:t xml:space="preserve"> </w:t>
      </w:r>
      <w:r w:rsidRPr="00DE01CA">
        <w:rPr>
          <w:rFonts w:asciiTheme="minorHAnsi" w:hAnsiTheme="minorHAnsi" w:cstheme="minorHAnsi"/>
          <w:color w:val="212121"/>
          <w:position w:val="2"/>
          <w:sz w:val="24"/>
          <w:szCs w:val="24"/>
        </w:rPr>
        <w:t>RA, MG</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Jackson,</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KT</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Koga,</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EF</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Rose‐Koga, EH</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Hauri,</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MJ Whitehouse, AA Price, JMD Day, N Shimizu, KA Kelly</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(2014),</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Volatile</w:t>
      </w:r>
      <w:r w:rsidRPr="00DE01CA">
        <w:rPr>
          <w:rFonts w:asciiTheme="minorHAnsi" w:hAnsiTheme="minorHAnsi" w:cstheme="minorHAnsi"/>
          <w:color w:val="212121"/>
          <w:spacing w:val="-5"/>
          <w:position w:val="2"/>
          <w:sz w:val="24"/>
          <w:szCs w:val="24"/>
        </w:rPr>
        <w:t xml:space="preserve"> </w:t>
      </w:r>
      <w:r w:rsidRPr="00DE01CA">
        <w:rPr>
          <w:rFonts w:asciiTheme="minorHAnsi" w:hAnsiTheme="minorHAnsi" w:cstheme="minorHAnsi"/>
          <w:color w:val="212121"/>
          <w:position w:val="2"/>
          <w:sz w:val="24"/>
          <w:szCs w:val="24"/>
        </w:rPr>
        <w:t>cycling</w:t>
      </w:r>
      <w:r w:rsidRPr="00DE01CA">
        <w:rPr>
          <w:rFonts w:asciiTheme="minorHAnsi" w:hAnsiTheme="minorHAnsi" w:cstheme="minorHAnsi"/>
          <w:color w:val="212121"/>
          <w:spacing w:val="-5"/>
          <w:position w:val="2"/>
          <w:sz w:val="24"/>
          <w:szCs w:val="24"/>
        </w:rPr>
        <w:t xml:space="preserve"> </w:t>
      </w:r>
      <w:r w:rsidRPr="00DE01CA">
        <w:rPr>
          <w:rFonts w:asciiTheme="minorHAnsi" w:hAnsiTheme="minorHAnsi" w:cstheme="minorHAnsi"/>
          <w:color w:val="212121"/>
          <w:position w:val="2"/>
          <w:sz w:val="24"/>
          <w:szCs w:val="24"/>
        </w:rPr>
        <w:t>of</w:t>
      </w:r>
      <w:r w:rsidRPr="00DE01CA">
        <w:rPr>
          <w:rFonts w:asciiTheme="minorHAnsi" w:hAnsiTheme="minorHAnsi" w:cstheme="minorHAnsi"/>
          <w:color w:val="212121"/>
          <w:spacing w:val="-2"/>
          <w:position w:val="2"/>
          <w:sz w:val="24"/>
          <w:szCs w:val="24"/>
        </w:rPr>
        <w:t xml:space="preserve"> </w:t>
      </w:r>
      <w:r w:rsidRPr="00DE01CA">
        <w:rPr>
          <w:rFonts w:asciiTheme="minorHAnsi" w:hAnsiTheme="minorHAnsi" w:cstheme="minorHAnsi"/>
          <w:spacing w:val="-4"/>
          <w:position w:val="2"/>
          <w:sz w:val="24"/>
          <w:szCs w:val="24"/>
        </w:rPr>
        <w:t>H</w:t>
      </w:r>
      <w:r w:rsidRPr="00DE01CA">
        <w:rPr>
          <w:rFonts w:asciiTheme="minorHAnsi" w:hAnsiTheme="minorHAnsi" w:cstheme="minorHAnsi"/>
          <w:spacing w:val="-4"/>
          <w:sz w:val="24"/>
          <w:szCs w:val="24"/>
        </w:rPr>
        <w:t>2</w:t>
      </w:r>
      <w:r w:rsidRPr="00DE01CA">
        <w:rPr>
          <w:rFonts w:asciiTheme="minorHAnsi" w:hAnsiTheme="minorHAnsi" w:cstheme="minorHAnsi"/>
          <w:spacing w:val="-4"/>
          <w:position w:val="2"/>
          <w:sz w:val="24"/>
          <w:szCs w:val="24"/>
        </w:rPr>
        <w:t>O</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position w:val="2"/>
          <w:sz w:val="24"/>
          <w:szCs w:val="24"/>
        </w:rPr>
        <w:t>CO</w:t>
      </w:r>
      <w:r w:rsidRPr="00DE01CA">
        <w:rPr>
          <w:rFonts w:asciiTheme="minorHAnsi" w:hAnsiTheme="minorHAnsi" w:cstheme="minorHAnsi"/>
          <w:sz w:val="24"/>
          <w:szCs w:val="24"/>
        </w:rPr>
        <w:t>2</w:t>
      </w:r>
      <w:r w:rsidRPr="00DE01CA">
        <w:rPr>
          <w:rFonts w:asciiTheme="minorHAnsi" w:hAnsiTheme="minorHAnsi" w:cstheme="minorHAnsi"/>
          <w:color w:val="212121"/>
          <w:position w:val="2"/>
          <w:sz w:val="24"/>
          <w:szCs w:val="24"/>
        </w:rPr>
        <w:t>,</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F,</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and</w:t>
      </w:r>
      <w:r w:rsidRPr="00DE01CA">
        <w:rPr>
          <w:rFonts w:asciiTheme="minorHAnsi" w:hAnsiTheme="minorHAnsi" w:cstheme="minorHAnsi"/>
          <w:color w:val="212121"/>
          <w:spacing w:val="-2"/>
          <w:position w:val="2"/>
          <w:sz w:val="24"/>
          <w:szCs w:val="24"/>
        </w:rPr>
        <w:t xml:space="preserve"> </w:t>
      </w:r>
      <w:r w:rsidRPr="00DE01CA">
        <w:rPr>
          <w:rFonts w:asciiTheme="minorHAnsi" w:hAnsiTheme="minorHAnsi" w:cstheme="minorHAnsi"/>
          <w:color w:val="212121"/>
          <w:position w:val="2"/>
          <w:sz w:val="24"/>
          <w:szCs w:val="24"/>
        </w:rPr>
        <w:t>Cl</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in</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the</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HIMU</w:t>
      </w:r>
      <w:r w:rsidRPr="00DE01CA">
        <w:rPr>
          <w:rFonts w:asciiTheme="minorHAnsi" w:hAnsiTheme="minorHAnsi" w:cstheme="minorHAnsi"/>
          <w:color w:val="212121"/>
          <w:spacing w:val="-1"/>
          <w:position w:val="2"/>
          <w:sz w:val="24"/>
          <w:szCs w:val="24"/>
        </w:rPr>
        <w:t xml:space="preserve"> </w:t>
      </w:r>
      <w:r w:rsidRPr="00DE01CA">
        <w:rPr>
          <w:rFonts w:asciiTheme="minorHAnsi" w:hAnsiTheme="minorHAnsi" w:cstheme="minorHAnsi"/>
          <w:color w:val="212121"/>
          <w:position w:val="2"/>
          <w:sz w:val="24"/>
          <w:szCs w:val="24"/>
        </w:rPr>
        <w:t>mantle:</w:t>
      </w:r>
      <w:r w:rsidRPr="00DE01CA">
        <w:rPr>
          <w:rFonts w:asciiTheme="minorHAnsi" w:hAnsiTheme="minorHAnsi" w:cstheme="minorHAnsi"/>
          <w:color w:val="212121"/>
          <w:spacing w:val="-1"/>
          <w:position w:val="2"/>
          <w:sz w:val="24"/>
          <w:szCs w:val="24"/>
        </w:rPr>
        <w:t xml:space="preserve"> </w:t>
      </w:r>
      <w:r w:rsidRPr="00DE01CA">
        <w:rPr>
          <w:rFonts w:asciiTheme="minorHAnsi" w:hAnsiTheme="minorHAnsi" w:cstheme="minorHAnsi"/>
          <w:color w:val="212121"/>
          <w:position w:val="2"/>
          <w:sz w:val="24"/>
          <w:szCs w:val="24"/>
        </w:rPr>
        <w:t>A</w:t>
      </w:r>
      <w:r w:rsidRPr="00DE01CA">
        <w:rPr>
          <w:rFonts w:asciiTheme="minorHAnsi" w:hAnsiTheme="minorHAnsi" w:cstheme="minorHAnsi"/>
          <w:color w:val="212121"/>
          <w:spacing w:val="-5"/>
          <w:position w:val="2"/>
          <w:sz w:val="24"/>
          <w:szCs w:val="24"/>
        </w:rPr>
        <w:t xml:space="preserve"> </w:t>
      </w:r>
      <w:r w:rsidRPr="00DE01CA">
        <w:rPr>
          <w:rFonts w:asciiTheme="minorHAnsi" w:hAnsiTheme="minorHAnsi" w:cstheme="minorHAnsi"/>
          <w:color w:val="212121"/>
          <w:position w:val="2"/>
          <w:sz w:val="24"/>
          <w:szCs w:val="24"/>
        </w:rPr>
        <w:t>new</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window</w:t>
      </w:r>
      <w:r w:rsidRPr="00DE01CA">
        <w:rPr>
          <w:rFonts w:asciiTheme="minorHAnsi" w:hAnsiTheme="minorHAnsi" w:cstheme="minorHAnsi"/>
          <w:color w:val="212121"/>
          <w:spacing w:val="-5"/>
          <w:position w:val="2"/>
          <w:sz w:val="24"/>
          <w:szCs w:val="24"/>
        </w:rPr>
        <w:t xml:space="preserve"> </w:t>
      </w:r>
      <w:r w:rsidRPr="00DE01CA">
        <w:rPr>
          <w:rFonts w:asciiTheme="minorHAnsi" w:hAnsiTheme="minorHAnsi" w:cstheme="minorHAnsi"/>
          <w:color w:val="212121"/>
          <w:position w:val="2"/>
          <w:sz w:val="24"/>
          <w:szCs w:val="24"/>
        </w:rPr>
        <w:t>provided</w:t>
      </w:r>
      <w:r w:rsidRPr="00DE01CA">
        <w:rPr>
          <w:rFonts w:asciiTheme="minorHAnsi" w:hAnsiTheme="minorHAnsi" w:cstheme="minorHAnsi"/>
          <w:color w:val="212121"/>
          <w:spacing w:val="-2"/>
          <w:position w:val="2"/>
          <w:sz w:val="24"/>
          <w:szCs w:val="24"/>
        </w:rPr>
        <w:t xml:space="preserve"> </w:t>
      </w:r>
      <w:r w:rsidRPr="00DE01CA">
        <w:rPr>
          <w:rFonts w:asciiTheme="minorHAnsi" w:hAnsiTheme="minorHAnsi" w:cstheme="minorHAnsi"/>
          <w:color w:val="212121"/>
          <w:position w:val="2"/>
          <w:sz w:val="24"/>
          <w:szCs w:val="24"/>
        </w:rPr>
        <w:t>by</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melt</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inclusions</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from</w:t>
      </w:r>
      <w:r w:rsidRPr="00DE01CA">
        <w:rPr>
          <w:rFonts w:asciiTheme="minorHAnsi" w:hAnsiTheme="minorHAnsi" w:cstheme="minorHAnsi"/>
          <w:color w:val="212121"/>
          <w:spacing w:val="-7"/>
          <w:position w:val="2"/>
          <w:sz w:val="24"/>
          <w:szCs w:val="24"/>
        </w:rPr>
        <w:t xml:space="preserve"> </w:t>
      </w:r>
      <w:r w:rsidRPr="00DE01CA">
        <w:rPr>
          <w:rFonts w:asciiTheme="minorHAnsi" w:hAnsiTheme="minorHAnsi" w:cstheme="minorHAnsi"/>
          <w:color w:val="212121"/>
          <w:position w:val="2"/>
          <w:sz w:val="24"/>
          <w:szCs w:val="24"/>
        </w:rPr>
        <w:t>oceanic</w:t>
      </w:r>
      <w:r w:rsidRPr="00DE01CA">
        <w:rPr>
          <w:rFonts w:asciiTheme="minorHAnsi" w:hAnsiTheme="minorHAnsi" w:cstheme="minorHAnsi"/>
          <w:color w:val="212121"/>
          <w:spacing w:val="-3"/>
          <w:position w:val="2"/>
          <w:sz w:val="24"/>
          <w:szCs w:val="24"/>
        </w:rPr>
        <w:t xml:space="preserve"> </w:t>
      </w:r>
      <w:r w:rsidRPr="00DE01CA">
        <w:rPr>
          <w:rFonts w:asciiTheme="minorHAnsi" w:hAnsiTheme="minorHAnsi" w:cstheme="minorHAnsi"/>
          <w:color w:val="212121"/>
          <w:position w:val="2"/>
          <w:sz w:val="24"/>
          <w:szCs w:val="24"/>
        </w:rPr>
        <w:t>hot</w:t>
      </w:r>
      <w:r w:rsidRPr="00DE01CA">
        <w:rPr>
          <w:rFonts w:asciiTheme="minorHAnsi" w:hAnsiTheme="minorHAnsi" w:cstheme="minorHAnsi"/>
          <w:color w:val="212121"/>
          <w:spacing w:val="-4"/>
          <w:position w:val="2"/>
          <w:sz w:val="24"/>
          <w:szCs w:val="24"/>
        </w:rPr>
        <w:t xml:space="preserve"> </w:t>
      </w:r>
      <w:r w:rsidRPr="00DE01CA">
        <w:rPr>
          <w:rFonts w:asciiTheme="minorHAnsi" w:hAnsiTheme="minorHAnsi" w:cstheme="minorHAnsi"/>
          <w:color w:val="212121"/>
          <w:position w:val="2"/>
          <w:sz w:val="24"/>
          <w:szCs w:val="24"/>
        </w:rPr>
        <w:t xml:space="preserve">spot </w:t>
      </w:r>
      <w:r w:rsidRPr="00DE01CA">
        <w:rPr>
          <w:rFonts w:asciiTheme="minorHAnsi" w:hAnsiTheme="minorHAnsi" w:cstheme="minorHAnsi"/>
          <w:color w:val="212121"/>
          <w:sz w:val="24"/>
          <w:szCs w:val="24"/>
        </w:rPr>
        <w:t xml:space="preserve">lavas at Mangaia, Cook Islands. </w:t>
      </w:r>
      <w:r w:rsidRPr="00DE01CA">
        <w:rPr>
          <w:rFonts w:asciiTheme="minorHAnsi" w:hAnsiTheme="minorHAnsi" w:cstheme="minorHAnsi"/>
          <w:i/>
          <w:color w:val="212121"/>
          <w:sz w:val="24"/>
          <w:szCs w:val="24"/>
        </w:rPr>
        <w:t>Geochem. Geophys. Geosys.</w:t>
      </w:r>
      <w:r w:rsidRPr="00DE01CA">
        <w:rPr>
          <w:rFonts w:asciiTheme="minorHAnsi" w:hAnsiTheme="minorHAnsi" w:cstheme="minorHAnsi"/>
          <w:color w:val="212121"/>
          <w:sz w:val="24"/>
          <w:szCs w:val="24"/>
        </w:rPr>
        <w:t xml:space="preserve">, </w:t>
      </w:r>
      <w:r w:rsidRPr="00DE01CA">
        <w:rPr>
          <w:rFonts w:asciiTheme="minorHAnsi" w:hAnsiTheme="minorHAnsi" w:cstheme="minorHAnsi"/>
          <w:iCs/>
          <w:color w:val="212121"/>
          <w:sz w:val="24"/>
          <w:szCs w:val="24"/>
        </w:rPr>
        <w:t>15, 4445</w:t>
      </w:r>
      <w:r w:rsidRPr="00DE01CA">
        <w:rPr>
          <w:rFonts w:asciiTheme="minorHAnsi" w:hAnsiTheme="minorHAnsi" w:cstheme="minorHAnsi"/>
          <w:color w:val="212121"/>
          <w:sz w:val="24"/>
          <w:szCs w:val="24"/>
        </w:rPr>
        <w:t>-4467.</w:t>
      </w:r>
    </w:p>
    <w:p w14:paraId="2E046905" w14:textId="77777777" w:rsidR="00373B2F" w:rsidRDefault="00373B2F" w:rsidP="008A6767">
      <w:pPr>
        <w:pStyle w:val="BodyText"/>
        <w:spacing w:line="480" w:lineRule="auto"/>
        <w:ind w:left="0"/>
        <w:rPr>
          <w:rFonts w:asciiTheme="minorHAnsi" w:hAnsiTheme="minorHAnsi" w:cstheme="minorHAnsi"/>
          <w:color w:val="212121"/>
          <w:sz w:val="24"/>
          <w:szCs w:val="24"/>
        </w:rPr>
      </w:pPr>
    </w:p>
    <w:p w14:paraId="2CF06E67" w14:textId="723E3FA5" w:rsidR="00373B2F" w:rsidRPr="006940D8" w:rsidRDefault="00373B2F" w:rsidP="008A6767">
      <w:pPr>
        <w:pStyle w:val="BodyText"/>
        <w:spacing w:line="480" w:lineRule="auto"/>
        <w:ind w:left="0"/>
        <w:rPr>
          <w:rFonts w:asciiTheme="minorHAnsi" w:hAnsiTheme="minorHAnsi" w:cstheme="minorHAnsi"/>
          <w:color w:val="212121"/>
          <w:sz w:val="24"/>
          <w:szCs w:val="24"/>
        </w:rPr>
      </w:pPr>
      <w:r>
        <w:rPr>
          <w:rFonts w:asciiTheme="minorHAnsi" w:hAnsiTheme="minorHAnsi" w:cstheme="minorHAnsi"/>
          <w:color w:val="212121"/>
          <w:sz w:val="24"/>
          <w:szCs w:val="24"/>
        </w:rPr>
        <w:t>Halldórsson, SA</w:t>
      </w:r>
      <w:r w:rsidRPr="006940D8">
        <w:rPr>
          <w:rFonts w:asciiTheme="minorHAnsi" w:hAnsiTheme="minorHAnsi" w:cstheme="minorHAnsi"/>
          <w:color w:val="212121"/>
          <w:sz w:val="24"/>
          <w:szCs w:val="24"/>
        </w:rPr>
        <w:t xml:space="preserve">, JD Barnes, A Stefánsson, DR Hilton, EH Hauri, EW Marshall (2016), </w:t>
      </w:r>
      <w:r w:rsidR="000B4C6A" w:rsidRPr="006940D8">
        <w:rPr>
          <w:rFonts w:asciiTheme="minorHAnsi" w:hAnsiTheme="minorHAnsi" w:cstheme="minorHAnsi"/>
          <w:color w:val="212121"/>
          <w:sz w:val="24"/>
          <w:szCs w:val="24"/>
        </w:rPr>
        <w:t xml:space="preserve">Subducted lithosphere controls halogen enrichments in the Icelan mantle plume source. </w:t>
      </w:r>
      <w:r w:rsidR="000B4C6A" w:rsidRPr="006940D8">
        <w:rPr>
          <w:rFonts w:asciiTheme="minorHAnsi" w:hAnsiTheme="minorHAnsi" w:cstheme="minorHAnsi"/>
          <w:i/>
          <w:iCs/>
          <w:color w:val="212121"/>
          <w:sz w:val="24"/>
          <w:szCs w:val="24"/>
        </w:rPr>
        <w:t>Geol.</w:t>
      </w:r>
      <w:r w:rsidR="000B4C6A" w:rsidRPr="006940D8">
        <w:rPr>
          <w:rFonts w:asciiTheme="minorHAnsi" w:hAnsiTheme="minorHAnsi" w:cstheme="minorHAnsi"/>
          <w:color w:val="212121"/>
          <w:sz w:val="24"/>
          <w:szCs w:val="24"/>
        </w:rPr>
        <w:t xml:space="preserve"> 44, 679-682.</w:t>
      </w:r>
    </w:p>
    <w:p w14:paraId="43310BB2" w14:textId="77777777" w:rsidR="006940D8" w:rsidRPr="006940D8" w:rsidRDefault="006940D8" w:rsidP="008A6767">
      <w:pPr>
        <w:pStyle w:val="BodyText"/>
        <w:spacing w:line="480" w:lineRule="auto"/>
        <w:ind w:left="0"/>
        <w:rPr>
          <w:rFonts w:asciiTheme="minorHAnsi" w:hAnsiTheme="minorHAnsi" w:cstheme="minorHAnsi"/>
          <w:color w:val="212121"/>
          <w:sz w:val="24"/>
          <w:szCs w:val="24"/>
        </w:rPr>
      </w:pPr>
    </w:p>
    <w:p w14:paraId="01FD97AB" w14:textId="0039A95A" w:rsidR="006940D8" w:rsidRPr="006940D8" w:rsidRDefault="006940D8" w:rsidP="008A6767">
      <w:pPr>
        <w:pStyle w:val="Heading3"/>
        <w:shd w:val="clear" w:color="auto" w:fill="FFFFFF"/>
        <w:spacing w:before="0" w:beforeAutospacing="0" w:after="0" w:afterAutospacing="0" w:line="480" w:lineRule="auto"/>
        <w:jc w:val="both"/>
        <w:rPr>
          <w:rFonts w:asciiTheme="minorHAnsi" w:hAnsiTheme="minorHAnsi" w:cstheme="minorHAnsi"/>
          <w:b w:val="0"/>
          <w:bCs w:val="0"/>
          <w:color w:val="000000"/>
          <w:sz w:val="24"/>
          <w:szCs w:val="24"/>
        </w:rPr>
      </w:pPr>
      <w:r w:rsidRPr="006940D8">
        <w:rPr>
          <w:rFonts w:asciiTheme="minorHAnsi" w:hAnsiTheme="minorHAnsi" w:cstheme="minorHAnsi"/>
          <w:b w:val="0"/>
          <w:bCs w:val="0"/>
          <w:color w:val="212121"/>
          <w:sz w:val="24"/>
          <w:szCs w:val="24"/>
        </w:rPr>
        <w:t>Hany</w:t>
      </w:r>
      <w:r>
        <w:rPr>
          <w:rFonts w:asciiTheme="minorHAnsi" w:hAnsiTheme="minorHAnsi" w:cstheme="minorHAnsi"/>
          <w:b w:val="0"/>
          <w:bCs w:val="0"/>
          <w:color w:val="212121"/>
          <w:sz w:val="24"/>
          <w:szCs w:val="24"/>
        </w:rPr>
        <w:t>u</w:t>
      </w:r>
      <w:r w:rsidRPr="006940D8">
        <w:rPr>
          <w:rFonts w:asciiTheme="minorHAnsi" w:hAnsiTheme="minorHAnsi" w:cstheme="minorHAnsi"/>
          <w:b w:val="0"/>
          <w:bCs w:val="0"/>
          <w:color w:val="212121"/>
          <w:sz w:val="24"/>
          <w:szCs w:val="24"/>
        </w:rPr>
        <w:t xml:space="preserve">, T, K Shimizu, T Ushikubo, KI Kimura, Q Chang, M Hamada, M Ito, H Iwamori, I Ishikawa (2019), Tiny </w:t>
      </w:r>
      <w:r>
        <w:rPr>
          <w:rFonts w:asciiTheme="minorHAnsi" w:hAnsiTheme="minorHAnsi" w:cstheme="minorHAnsi"/>
          <w:b w:val="0"/>
          <w:bCs w:val="0"/>
          <w:color w:val="212121"/>
          <w:sz w:val="24"/>
          <w:szCs w:val="24"/>
        </w:rPr>
        <w:t>d</w:t>
      </w:r>
      <w:r w:rsidRPr="006940D8">
        <w:rPr>
          <w:rFonts w:asciiTheme="minorHAnsi" w:hAnsiTheme="minorHAnsi" w:cstheme="minorHAnsi"/>
          <w:b w:val="0"/>
          <w:bCs w:val="0"/>
          <w:color w:val="212121"/>
          <w:sz w:val="24"/>
          <w:szCs w:val="24"/>
        </w:rPr>
        <w:t xml:space="preserve">roplets of ocean island basalts unveil Earth’s deep chlorine cycle. </w:t>
      </w:r>
      <w:r w:rsidRPr="006940D8">
        <w:rPr>
          <w:rFonts w:asciiTheme="minorHAnsi" w:hAnsiTheme="minorHAnsi" w:cstheme="minorHAnsi"/>
          <w:b w:val="0"/>
          <w:bCs w:val="0"/>
          <w:i/>
          <w:iCs/>
          <w:color w:val="212121"/>
          <w:sz w:val="24"/>
          <w:szCs w:val="24"/>
        </w:rPr>
        <w:t xml:space="preserve">Nature Comm. </w:t>
      </w:r>
      <w:r w:rsidRPr="006940D8">
        <w:rPr>
          <w:rFonts w:asciiTheme="minorHAnsi" w:hAnsiTheme="minorHAnsi" w:cstheme="minorHAnsi"/>
          <w:b w:val="0"/>
          <w:bCs w:val="0"/>
          <w:color w:val="212121"/>
          <w:sz w:val="24"/>
          <w:szCs w:val="24"/>
        </w:rPr>
        <w:t xml:space="preserve">10, </w:t>
      </w:r>
      <w:r w:rsidRPr="006940D8">
        <w:rPr>
          <w:rFonts w:asciiTheme="minorHAnsi" w:hAnsiTheme="minorHAnsi" w:cstheme="minorHAnsi"/>
          <w:b w:val="0"/>
          <w:bCs w:val="0"/>
          <w:color w:val="000000"/>
          <w:sz w:val="24"/>
          <w:szCs w:val="24"/>
        </w:rPr>
        <w:t xml:space="preserve">DOI: </w:t>
      </w:r>
      <w:r w:rsidRPr="006940D8">
        <w:rPr>
          <w:rFonts w:asciiTheme="minorHAnsi" w:hAnsiTheme="minorHAnsi" w:cstheme="minorHAnsi"/>
          <w:b w:val="0"/>
          <w:bCs w:val="0"/>
          <w:color w:val="000000"/>
          <w:sz w:val="24"/>
          <w:szCs w:val="24"/>
          <w:shd w:val="clear" w:color="auto" w:fill="FFFFFF"/>
        </w:rPr>
        <w:t>10.1038/s41467-018-07955-8</w:t>
      </w:r>
    </w:p>
    <w:p w14:paraId="28C38826" w14:textId="77777777" w:rsidR="00373B2F" w:rsidRPr="006940D8" w:rsidRDefault="00373B2F" w:rsidP="008A6767">
      <w:pPr>
        <w:pStyle w:val="BodyText"/>
        <w:spacing w:line="480" w:lineRule="auto"/>
        <w:ind w:left="0"/>
        <w:rPr>
          <w:rFonts w:asciiTheme="minorHAnsi" w:hAnsiTheme="minorHAnsi" w:cstheme="minorHAnsi"/>
          <w:color w:val="212121"/>
          <w:sz w:val="24"/>
          <w:szCs w:val="24"/>
        </w:rPr>
      </w:pPr>
    </w:p>
    <w:p w14:paraId="062715FB" w14:textId="4D3BC08D" w:rsidR="00373B2F" w:rsidRDefault="00373B2F" w:rsidP="008A6767">
      <w:pPr>
        <w:pStyle w:val="BodyText"/>
        <w:spacing w:line="480" w:lineRule="auto"/>
        <w:ind w:left="0"/>
        <w:rPr>
          <w:rFonts w:asciiTheme="minorHAnsi" w:hAnsiTheme="minorHAnsi" w:cstheme="minorHAnsi"/>
          <w:color w:val="212121"/>
          <w:sz w:val="24"/>
          <w:szCs w:val="24"/>
        </w:rPr>
      </w:pPr>
      <w:r w:rsidRPr="006940D8">
        <w:rPr>
          <w:rFonts w:asciiTheme="minorHAnsi" w:hAnsiTheme="minorHAnsi" w:cstheme="minorHAnsi"/>
          <w:color w:val="212121"/>
          <w:sz w:val="24"/>
          <w:szCs w:val="24"/>
        </w:rPr>
        <w:t xml:space="preserve">Jackson, MG, KT Koga, A Price, JG Konter, AAP Koppers, VA Finlayson, </w:t>
      </w:r>
      <w:r w:rsidRPr="006940D8">
        <w:rPr>
          <w:rFonts w:asciiTheme="minorHAnsi" w:hAnsiTheme="minorHAnsi" w:cstheme="minorHAnsi"/>
          <w:sz w:val="24"/>
          <w:szCs w:val="24"/>
        </w:rPr>
        <w:t>et al.</w:t>
      </w:r>
      <w:r w:rsidRPr="006940D8">
        <w:rPr>
          <w:rFonts w:asciiTheme="minorHAnsi" w:hAnsiTheme="minorHAnsi" w:cstheme="minorHAnsi"/>
          <w:spacing w:val="40"/>
          <w:sz w:val="24"/>
          <w:szCs w:val="24"/>
        </w:rPr>
        <w:t xml:space="preserve"> </w:t>
      </w:r>
      <w:r w:rsidRPr="006940D8">
        <w:rPr>
          <w:rFonts w:asciiTheme="minorHAnsi" w:hAnsiTheme="minorHAnsi" w:cstheme="minorHAnsi"/>
          <w:color w:val="212121"/>
          <w:sz w:val="24"/>
          <w:szCs w:val="24"/>
        </w:rPr>
        <w:t>(2015), Deeply dredged</w:t>
      </w:r>
      <w:r w:rsidRPr="006940D8">
        <w:rPr>
          <w:rFonts w:asciiTheme="minorHAnsi" w:hAnsiTheme="minorHAnsi" w:cstheme="minorHAnsi"/>
          <w:color w:val="212121"/>
          <w:spacing w:val="-3"/>
          <w:sz w:val="24"/>
          <w:szCs w:val="24"/>
        </w:rPr>
        <w:t xml:space="preserve"> </w:t>
      </w:r>
      <w:r w:rsidRPr="006940D8">
        <w:rPr>
          <w:rFonts w:asciiTheme="minorHAnsi" w:hAnsiTheme="minorHAnsi" w:cstheme="minorHAnsi"/>
          <w:color w:val="212121"/>
          <w:sz w:val="24"/>
          <w:szCs w:val="24"/>
        </w:rPr>
        <w:t>submarine</w:t>
      </w:r>
      <w:r w:rsidRPr="006940D8">
        <w:rPr>
          <w:rFonts w:asciiTheme="minorHAnsi" w:hAnsiTheme="minorHAnsi" w:cstheme="minorHAnsi"/>
          <w:color w:val="212121"/>
          <w:spacing w:val="-4"/>
          <w:sz w:val="24"/>
          <w:szCs w:val="24"/>
        </w:rPr>
        <w:t xml:space="preserve"> </w:t>
      </w:r>
      <w:r w:rsidRPr="006940D8">
        <w:rPr>
          <w:rFonts w:asciiTheme="minorHAnsi" w:hAnsiTheme="minorHAnsi" w:cstheme="minorHAnsi"/>
          <w:color w:val="212121"/>
          <w:sz w:val="24"/>
          <w:szCs w:val="24"/>
        </w:rPr>
        <w:t>HIMU</w:t>
      </w:r>
      <w:r w:rsidRPr="00C4456B">
        <w:rPr>
          <w:rFonts w:asciiTheme="minorHAnsi" w:hAnsiTheme="minorHAnsi" w:cstheme="minorHAnsi"/>
          <w:color w:val="212121"/>
          <w:spacing w:val="-2"/>
          <w:sz w:val="24"/>
          <w:szCs w:val="24"/>
        </w:rPr>
        <w:t xml:space="preserve"> </w:t>
      </w:r>
      <w:r w:rsidRPr="00C4456B">
        <w:rPr>
          <w:rFonts w:asciiTheme="minorHAnsi" w:hAnsiTheme="minorHAnsi" w:cstheme="minorHAnsi"/>
          <w:color w:val="212121"/>
          <w:sz w:val="24"/>
          <w:szCs w:val="24"/>
        </w:rPr>
        <w:t>glasses</w:t>
      </w:r>
      <w:r w:rsidRPr="00C4456B">
        <w:rPr>
          <w:rFonts w:asciiTheme="minorHAnsi" w:hAnsiTheme="minorHAnsi" w:cstheme="minorHAnsi"/>
          <w:color w:val="212121"/>
          <w:spacing w:val="-2"/>
          <w:sz w:val="24"/>
          <w:szCs w:val="24"/>
        </w:rPr>
        <w:t xml:space="preserve"> </w:t>
      </w:r>
      <w:r w:rsidRPr="00C4456B">
        <w:rPr>
          <w:rFonts w:asciiTheme="minorHAnsi" w:hAnsiTheme="minorHAnsi" w:cstheme="minorHAnsi"/>
          <w:color w:val="212121"/>
          <w:sz w:val="24"/>
          <w:szCs w:val="24"/>
        </w:rPr>
        <w:t>from</w:t>
      </w:r>
      <w:r w:rsidRPr="00C4456B">
        <w:rPr>
          <w:rFonts w:asciiTheme="minorHAnsi" w:hAnsiTheme="minorHAnsi" w:cstheme="minorHAnsi"/>
          <w:color w:val="212121"/>
          <w:spacing w:val="-8"/>
          <w:sz w:val="24"/>
          <w:szCs w:val="24"/>
        </w:rPr>
        <w:t xml:space="preserve"> </w:t>
      </w:r>
      <w:r w:rsidRPr="00C4456B">
        <w:rPr>
          <w:rFonts w:asciiTheme="minorHAnsi" w:hAnsiTheme="minorHAnsi" w:cstheme="minorHAnsi"/>
          <w:color w:val="212121"/>
          <w:sz w:val="24"/>
          <w:szCs w:val="24"/>
        </w:rPr>
        <w:t>the</w:t>
      </w:r>
      <w:r w:rsidRPr="00C4456B">
        <w:rPr>
          <w:rFonts w:asciiTheme="minorHAnsi" w:hAnsiTheme="minorHAnsi" w:cstheme="minorHAnsi"/>
          <w:color w:val="212121"/>
          <w:spacing w:val="-4"/>
          <w:sz w:val="24"/>
          <w:szCs w:val="24"/>
        </w:rPr>
        <w:t xml:space="preserve"> </w:t>
      </w:r>
      <w:r w:rsidRPr="00C4456B">
        <w:rPr>
          <w:rFonts w:asciiTheme="minorHAnsi" w:hAnsiTheme="minorHAnsi" w:cstheme="minorHAnsi"/>
          <w:color w:val="212121"/>
          <w:sz w:val="24"/>
          <w:szCs w:val="24"/>
        </w:rPr>
        <w:t>Tuvalu</w:t>
      </w:r>
      <w:r w:rsidRPr="00C4456B">
        <w:rPr>
          <w:rFonts w:asciiTheme="minorHAnsi" w:hAnsiTheme="minorHAnsi" w:cstheme="minorHAnsi"/>
          <w:color w:val="212121"/>
          <w:spacing w:val="-5"/>
          <w:sz w:val="24"/>
          <w:szCs w:val="24"/>
        </w:rPr>
        <w:t xml:space="preserve"> </w:t>
      </w:r>
      <w:r w:rsidRPr="00C4456B">
        <w:rPr>
          <w:rFonts w:asciiTheme="minorHAnsi" w:hAnsiTheme="minorHAnsi" w:cstheme="minorHAnsi"/>
          <w:color w:val="212121"/>
          <w:sz w:val="24"/>
          <w:szCs w:val="24"/>
        </w:rPr>
        <w:t>Islands,</w:t>
      </w:r>
      <w:r w:rsidRPr="00C4456B">
        <w:rPr>
          <w:rFonts w:asciiTheme="minorHAnsi" w:hAnsiTheme="minorHAnsi" w:cstheme="minorHAnsi"/>
          <w:color w:val="212121"/>
          <w:spacing w:val="-4"/>
          <w:sz w:val="24"/>
          <w:szCs w:val="24"/>
        </w:rPr>
        <w:t xml:space="preserve"> </w:t>
      </w:r>
      <w:r w:rsidRPr="00C4456B">
        <w:rPr>
          <w:rFonts w:asciiTheme="minorHAnsi" w:hAnsiTheme="minorHAnsi" w:cstheme="minorHAnsi"/>
          <w:color w:val="212121"/>
          <w:sz w:val="24"/>
          <w:szCs w:val="24"/>
        </w:rPr>
        <w:t>Polynesia:</w:t>
      </w:r>
      <w:r w:rsidRPr="00C4456B">
        <w:rPr>
          <w:rFonts w:asciiTheme="minorHAnsi" w:hAnsiTheme="minorHAnsi" w:cstheme="minorHAnsi"/>
          <w:color w:val="212121"/>
          <w:spacing w:val="-5"/>
          <w:sz w:val="24"/>
          <w:szCs w:val="24"/>
        </w:rPr>
        <w:t xml:space="preserve"> </w:t>
      </w:r>
      <w:r w:rsidRPr="00C4456B">
        <w:rPr>
          <w:rFonts w:asciiTheme="minorHAnsi" w:hAnsiTheme="minorHAnsi" w:cstheme="minorHAnsi"/>
          <w:color w:val="212121"/>
          <w:sz w:val="24"/>
          <w:szCs w:val="24"/>
        </w:rPr>
        <w:t>Implications</w:t>
      </w:r>
      <w:r w:rsidRPr="00C4456B">
        <w:rPr>
          <w:rFonts w:asciiTheme="minorHAnsi" w:hAnsiTheme="minorHAnsi" w:cstheme="minorHAnsi"/>
          <w:color w:val="212121"/>
          <w:spacing w:val="-5"/>
          <w:sz w:val="24"/>
          <w:szCs w:val="24"/>
        </w:rPr>
        <w:t xml:space="preserve"> </w:t>
      </w:r>
      <w:r w:rsidRPr="00C4456B">
        <w:rPr>
          <w:rFonts w:asciiTheme="minorHAnsi" w:hAnsiTheme="minorHAnsi" w:cstheme="minorHAnsi"/>
          <w:color w:val="212121"/>
          <w:sz w:val="24"/>
          <w:szCs w:val="24"/>
        </w:rPr>
        <w:t>for</w:t>
      </w:r>
      <w:r w:rsidRPr="00C4456B">
        <w:rPr>
          <w:rFonts w:asciiTheme="minorHAnsi" w:hAnsiTheme="minorHAnsi" w:cstheme="minorHAnsi"/>
          <w:color w:val="212121"/>
          <w:spacing w:val="-4"/>
          <w:sz w:val="24"/>
          <w:szCs w:val="24"/>
        </w:rPr>
        <w:t xml:space="preserve"> </w:t>
      </w:r>
      <w:r w:rsidRPr="00C4456B">
        <w:rPr>
          <w:rFonts w:asciiTheme="minorHAnsi" w:hAnsiTheme="minorHAnsi" w:cstheme="minorHAnsi"/>
          <w:color w:val="212121"/>
          <w:sz w:val="24"/>
          <w:szCs w:val="24"/>
        </w:rPr>
        <w:t>volatile</w:t>
      </w:r>
      <w:r w:rsidRPr="00C4456B">
        <w:rPr>
          <w:rFonts w:asciiTheme="minorHAnsi" w:hAnsiTheme="minorHAnsi" w:cstheme="minorHAnsi"/>
          <w:color w:val="212121"/>
          <w:spacing w:val="-4"/>
          <w:sz w:val="24"/>
          <w:szCs w:val="24"/>
        </w:rPr>
        <w:t xml:space="preserve"> </w:t>
      </w:r>
      <w:r w:rsidRPr="00C4456B">
        <w:rPr>
          <w:rFonts w:asciiTheme="minorHAnsi" w:hAnsiTheme="minorHAnsi" w:cstheme="minorHAnsi"/>
          <w:color w:val="212121"/>
          <w:sz w:val="24"/>
          <w:szCs w:val="24"/>
        </w:rPr>
        <w:t>budgets</w:t>
      </w:r>
      <w:r w:rsidRPr="00C4456B">
        <w:rPr>
          <w:rFonts w:asciiTheme="minorHAnsi" w:hAnsiTheme="minorHAnsi" w:cstheme="minorHAnsi"/>
          <w:color w:val="212121"/>
          <w:spacing w:val="-5"/>
          <w:sz w:val="24"/>
          <w:szCs w:val="24"/>
        </w:rPr>
        <w:t xml:space="preserve"> </w:t>
      </w:r>
      <w:r w:rsidRPr="00C4456B">
        <w:rPr>
          <w:rFonts w:asciiTheme="minorHAnsi" w:hAnsiTheme="minorHAnsi" w:cstheme="minorHAnsi"/>
          <w:color w:val="212121"/>
          <w:sz w:val="24"/>
          <w:szCs w:val="24"/>
        </w:rPr>
        <w:t xml:space="preserve">of recycled oceanic crust. </w:t>
      </w:r>
      <w:r w:rsidRPr="00C4456B">
        <w:rPr>
          <w:rFonts w:asciiTheme="minorHAnsi" w:hAnsiTheme="minorHAnsi" w:cstheme="minorHAnsi"/>
          <w:i/>
          <w:color w:val="212121"/>
          <w:sz w:val="24"/>
          <w:szCs w:val="24"/>
        </w:rPr>
        <w:t>Geochem. Geophys. Geosys.</w:t>
      </w:r>
      <w:r w:rsidRPr="00C4456B">
        <w:rPr>
          <w:rFonts w:asciiTheme="minorHAnsi" w:hAnsiTheme="minorHAnsi" w:cstheme="minorHAnsi"/>
          <w:color w:val="212121"/>
          <w:sz w:val="24"/>
          <w:szCs w:val="24"/>
        </w:rPr>
        <w:t xml:space="preserve">, </w:t>
      </w:r>
      <w:r w:rsidRPr="00C4456B">
        <w:rPr>
          <w:rFonts w:asciiTheme="minorHAnsi" w:hAnsiTheme="minorHAnsi" w:cstheme="minorHAnsi"/>
          <w:iCs/>
          <w:color w:val="212121"/>
          <w:sz w:val="24"/>
          <w:szCs w:val="24"/>
        </w:rPr>
        <w:t>16,</w:t>
      </w:r>
      <w:r w:rsidRPr="00C4456B">
        <w:rPr>
          <w:rFonts w:asciiTheme="minorHAnsi" w:hAnsiTheme="minorHAnsi" w:cstheme="minorHAnsi"/>
          <w:color w:val="212121"/>
          <w:sz w:val="24"/>
          <w:szCs w:val="24"/>
        </w:rPr>
        <w:t xml:space="preserve"> 3210-3234.</w:t>
      </w:r>
    </w:p>
    <w:p w14:paraId="4903355C" w14:textId="77777777" w:rsidR="00375933" w:rsidRDefault="00375933" w:rsidP="008A6767">
      <w:pPr>
        <w:pStyle w:val="BodyText"/>
        <w:spacing w:line="480" w:lineRule="auto"/>
        <w:ind w:left="0"/>
        <w:rPr>
          <w:rFonts w:asciiTheme="minorHAnsi" w:hAnsiTheme="minorHAnsi" w:cstheme="minorHAnsi"/>
          <w:color w:val="212121"/>
          <w:sz w:val="24"/>
          <w:szCs w:val="24"/>
        </w:rPr>
      </w:pPr>
    </w:p>
    <w:p w14:paraId="225CC9E1" w14:textId="107E7B49" w:rsidR="00375933" w:rsidRPr="00375933" w:rsidRDefault="00375933" w:rsidP="008A6767">
      <w:pPr>
        <w:pStyle w:val="BodyText"/>
        <w:spacing w:line="480" w:lineRule="auto"/>
        <w:ind w:left="0"/>
        <w:rPr>
          <w:rFonts w:asciiTheme="minorHAnsi" w:hAnsiTheme="minorHAnsi" w:cstheme="minorHAnsi"/>
          <w:color w:val="212121"/>
          <w:spacing w:val="-5"/>
          <w:sz w:val="24"/>
          <w:szCs w:val="24"/>
        </w:rPr>
      </w:pPr>
      <w:r w:rsidRPr="00C4456B">
        <w:rPr>
          <w:rFonts w:asciiTheme="minorHAnsi" w:hAnsiTheme="minorHAnsi" w:cstheme="minorHAnsi"/>
          <w:color w:val="212121"/>
          <w:sz w:val="24"/>
          <w:szCs w:val="24"/>
        </w:rPr>
        <w:t>Jarosewich,</w:t>
      </w:r>
      <w:r w:rsidRPr="00C4456B">
        <w:rPr>
          <w:rFonts w:asciiTheme="minorHAnsi" w:hAnsiTheme="minorHAnsi" w:cstheme="minorHAnsi"/>
          <w:color w:val="212121"/>
          <w:spacing w:val="35"/>
          <w:sz w:val="24"/>
          <w:szCs w:val="24"/>
        </w:rPr>
        <w:t xml:space="preserve"> </w:t>
      </w:r>
      <w:r w:rsidRPr="00C4456B">
        <w:rPr>
          <w:rFonts w:asciiTheme="minorHAnsi" w:hAnsiTheme="minorHAnsi" w:cstheme="minorHAnsi"/>
          <w:color w:val="212121"/>
          <w:sz w:val="24"/>
          <w:szCs w:val="24"/>
        </w:rPr>
        <w:t>E, JA</w:t>
      </w:r>
      <w:r w:rsidRPr="00C4456B">
        <w:rPr>
          <w:rFonts w:asciiTheme="minorHAnsi" w:hAnsiTheme="minorHAnsi" w:cstheme="minorHAnsi"/>
          <w:color w:val="212121"/>
          <w:spacing w:val="35"/>
          <w:sz w:val="24"/>
          <w:szCs w:val="24"/>
        </w:rPr>
        <w:t xml:space="preserve"> </w:t>
      </w:r>
      <w:r w:rsidRPr="00C4456B">
        <w:rPr>
          <w:rFonts w:asciiTheme="minorHAnsi" w:hAnsiTheme="minorHAnsi" w:cstheme="minorHAnsi"/>
          <w:color w:val="212121"/>
          <w:sz w:val="24"/>
          <w:szCs w:val="24"/>
        </w:rPr>
        <w:t>Nelen,</w:t>
      </w:r>
      <w:r w:rsidRPr="00C4456B">
        <w:rPr>
          <w:rFonts w:asciiTheme="minorHAnsi" w:hAnsiTheme="minorHAnsi" w:cstheme="minorHAnsi"/>
          <w:color w:val="212121"/>
          <w:spacing w:val="36"/>
          <w:sz w:val="24"/>
          <w:szCs w:val="24"/>
        </w:rPr>
        <w:t xml:space="preserve"> </w:t>
      </w:r>
      <w:r w:rsidRPr="00C4456B">
        <w:rPr>
          <w:rFonts w:asciiTheme="minorHAnsi" w:hAnsiTheme="minorHAnsi" w:cstheme="minorHAnsi"/>
          <w:color w:val="212121"/>
          <w:sz w:val="24"/>
          <w:szCs w:val="24"/>
        </w:rPr>
        <w:t>JA</w:t>
      </w:r>
      <w:r w:rsidRPr="00C4456B">
        <w:rPr>
          <w:rFonts w:asciiTheme="minorHAnsi" w:hAnsiTheme="minorHAnsi" w:cstheme="minorHAnsi"/>
          <w:color w:val="212121"/>
          <w:spacing w:val="34"/>
          <w:sz w:val="24"/>
          <w:szCs w:val="24"/>
        </w:rPr>
        <w:t xml:space="preserve"> </w:t>
      </w:r>
      <w:r w:rsidRPr="00C4456B">
        <w:rPr>
          <w:rFonts w:asciiTheme="minorHAnsi" w:hAnsiTheme="minorHAnsi" w:cstheme="minorHAnsi"/>
          <w:color w:val="212121"/>
          <w:sz w:val="24"/>
          <w:szCs w:val="24"/>
        </w:rPr>
        <w:t>Norberg (1980),</w:t>
      </w:r>
      <w:r w:rsidRPr="00C4456B">
        <w:rPr>
          <w:rFonts w:asciiTheme="minorHAnsi" w:hAnsiTheme="minorHAnsi" w:cstheme="minorHAnsi"/>
          <w:color w:val="212121"/>
          <w:spacing w:val="35"/>
          <w:sz w:val="24"/>
          <w:szCs w:val="24"/>
        </w:rPr>
        <w:t xml:space="preserve"> </w:t>
      </w:r>
      <w:r w:rsidRPr="00C4456B">
        <w:rPr>
          <w:rFonts w:asciiTheme="minorHAnsi" w:hAnsiTheme="minorHAnsi" w:cstheme="minorHAnsi"/>
          <w:color w:val="212121"/>
          <w:sz w:val="24"/>
          <w:szCs w:val="24"/>
        </w:rPr>
        <w:t>Reference</w:t>
      </w:r>
      <w:r w:rsidRPr="00C4456B">
        <w:rPr>
          <w:rFonts w:asciiTheme="minorHAnsi" w:hAnsiTheme="minorHAnsi" w:cstheme="minorHAnsi"/>
          <w:color w:val="212121"/>
          <w:spacing w:val="35"/>
          <w:sz w:val="24"/>
          <w:szCs w:val="24"/>
        </w:rPr>
        <w:t xml:space="preserve"> </w:t>
      </w:r>
      <w:r w:rsidRPr="00C4456B">
        <w:rPr>
          <w:rFonts w:asciiTheme="minorHAnsi" w:hAnsiTheme="minorHAnsi" w:cstheme="minorHAnsi"/>
          <w:color w:val="212121"/>
          <w:sz w:val="24"/>
          <w:szCs w:val="24"/>
        </w:rPr>
        <w:t>samples</w:t>
      </w:r>
      <w:r w:rsidRPr="00C4456B">
        <w:rPr>
          <w:rFonts w:asciiTheme="minorHAnsi" w:hAnsiTheme="minorHAnsi" w:cstheme="minorHAnsi"/>
          <w:color w:val="212121"/>
          <w:spacing w:val="37"/>
          <w:sz w:val="24"/>
          <w:szCs w:val="24"/>
        </w:rPr>
        <w:t xml:space="preserve"> </w:t>
      </w:r>
      <w:r w:rsidRPr="00C4456B">
        <w:rPr>
          <w:rFonts w:asciiTheme="minorHAnsi" w:hAnsiTheme="minorHAnsi" w:cstheme="minorHAnsi"/>
          <w:color w:val="212121"/>
          <w:sz w:val="24"/>
          <w:szCs w:val="24"/>
        </w:rPr>
        <w:t>for</w:t>
      </w:r>
      <w:r w:rsidRPr="00C4456B">
        <w:rPr>
          <w:rFonts w:asciiTheme="minorHAnsi" w:hAnsiTheme="minorHAnsi" w:cstheme="minorHAnsi"/>
          <w:color w:val="212121"/>
          <w:spacing w:val="35"/>
          <w:sz w:val="24"/>
          <w:szCs w:val="24"/>
        </w:rPr>
        <w:t xml:space="preserve"> </w:t>
      </w:r>
      <w:r w:rsidRPr="00C4456B">
        <w:rPr>
          <w:rFonts w:asciiTheme="minorHAnsi" w:hAnsiTheme="minorHAnsi" w:cstheme="minorHAnsi"/>
          <w:color w:val="212121"/>
          <w:sz w:val="24"/>
          <w:szCs w:val="24"/>
        </w:rPr>
        <w:t>electron</w:t>
      </w:r>
      <w:r w:rsidRPr="00C4456B">
        <w:rPr>
          <w:rFonts w:asciiTheme="minorHAnsi" w:hAnsiTheme="minorHAnsi" w:cstheme="minorHAnsi"/>
          <w:color w:val="212121"/>
          <w:spacing w:val="36"/>
          <w:sz w:val="24"/>
          <w:szCs w:val="24"/>
        </w:rPr>
        <w:t xml:space="preserve"> </w:t>
      </w:r>
      <w:r w:rsidRPr="00C4456B">
        <w:rPr>
          <w:rFonts w:asciiTheme="minorHAnsi" w:hAnsiTheme="minorHAnsi" w:cstheme="minorHAnsi"/>
          <w:color w:val="212121"/>
          <w:sz w:val="24"/>
          <w:szCs w:val="24"/>
        </w:rPr>
        <w:t>microprobe</w:t>
      </w:r>
      <w:r w:rsidRPr="00C4456B">
        <w:rPr>
          <w:rFonts w:asciiTheme="minorHAnsi" w:hAnsiTheme="minorHAnsi" w:cstheme="minorHAnsi"/>
          <w:color w:val="212121"/>
          <w:spacing w:val="36"/>
          <w:sz w:val="24"/>
          <w:szCs w:val="24"/>
        </w:rPr>
        <w:t xml:space="preserve"> </w:t>
      </w:r>
      <w:r w:rsidRPr="00C4456B">
        <w:rPr>
          <w:rFonts w:asciiTheme="minorHAnsi" w:hAnsiTheme="minorHAnsi" w:cstheme="minorHAnsi"/>
          <w:color w:val="212121"/>
          <w:spacing w:val="-2"/>
          <w:sz w:val="24"/>
          <w:szCs w:val="24"/>
        </w:rPr>
        <w:t xml:space="preserve">analysis. </w:t>
      </w:r>
      <w:r w:rsidRPr="00C4456B">
        <w:rPr>
          <w:rFonts w:asciiTheme="minorHAnsi" w:hAnsiTheme="minorHAnsi" w:cstheme="minorHAnsi"/>
          <w:i/>
          <w:color w:val="212121"/>
          <w:sz w:val="24"/>
          <w:szCs w:val="24"/>
        </w:rPr>
        <w:t>Geostand.</w:t>
      </w:r>
      <w:r w:rsidRPr="00C4456B">
        <w:rPr>
          <w:rFonts w:asciiTheme="minorHAnsi" w:hAnsiTheme="minorHAnsi" w:cstheme="minorHAnsi"/>
          <w:i/>
          <w:color w:val="212121"/>
          <w:spacing w:val="-8"/>
          <w:sz w:val="24"/>
          <w:szCs w:val="24"/>
        </w:rPr>
        <w:t xml:space="preserve"> </w:t>
      </w:r>
      <w:r w:rsidRPr="00C4456B">
        <w:rPr>
          <w:rFonts w:asciiTheme="minorHAnsi" w:hAnsiTheme="minorHAnsi" w:cstheme="minorHAnsi"/>
          <w:i/>
          <w:color w:val="212121"/>
          <w:sz w:val="24"/>
          <w:szCs w:val="24"/>
        </w:rPr>
        <w:t>News.</w:t>
      </w:r>
      <w:r w:rsidRPr="00C4456B">
        <w:rPr>
          <w:rFonts w:asciiTheme="minorHAnsi" w:hAnsiTheme="minorHAnsi" w:cstheme="minorHAnsi"/>
          <w:color w:val="212121"/>
          <w:sz w:val="24"/>
          <w:szCs w:val="24"/>
        </w:rPr>
        <w:t>,</w:t>
      </w:r>
      <w:r w:rsidRPr="00C4456B">
        <w:rPr>
          <w:rFonts w:asciiTheme="minorHAnsi" w:hAnsiTheme="minorHAnsi" w:cstheme="minorHAnsi"/>
          <w:color w:val="212121"/>
          <w:spacing w:val="-6"/>
          <w:sz w:val="24"/>
          <w:szCs w:val="24"/>
        </w:rPr>
        <w:t xml:space="preserve"> </w:t>
      </w:r>
      <w:r w:rsidRPr="00C4456B">
        <w:rPr>
          <w:rFonts w:asciiTheme="minorHAnsi" w:hAnsiTheme="minorHAnsi" w:cstheme="minorHAnsi"/>
          <w:iCs/>
          <w:color w:val="212121"/>
          <w:sz w:val="24"/>
          <w:szCs w:val="24"/>
        </w:rPr>
        <w:t>4</w:t>
      </w:r>
      <w:r w:rsidRPr="00C4456B">
        <w:rPr>
          <w:rFonts w:asciiTheme="minorHAnsi" w:hAnsiTheme="minorHAnsi" w:cstheme="minorHAnsi"/>
          <w:color w:val="212121"/>
          <w:sz w:val="24"/>
          <w:szCs w:val="24"/>
        </w:rPr>
        <w:t>,</w:t>
      </w:r>
      <w:r w:rsidRPr="00C4456B">
        <w:rPr>
          <w:rFonts w:asciiTheme="minorHAnsi" w:hAnsiTheme="minorHAnsi" w:cstheme="minorHAnsi"/>
          <w:color w:val="212121"/>
          <w:spacing w:val="-7"/>
          <w:sz w:val="24"/>
          <w:szCs w:val="24"/>
        </w:rPr>
        <w:t xml:space="preserve"> </w:t>
      </w:r>
      <w:r w:rsidRPr="00C4456B">
        <w:rPr>
          <w:rFonts w:asciiTheme="minorHAnsi" w:hAnsiTheme="minorHAnsi" w:cstheme="minorHAnsi"/>
          <w:color w:val="212121"/>
          <w:sz w:val="24"/>
          <w:szCs w:val="24"/>
        </w:rPr>
        <w:t>43-</w:t>
      </w:r>
      <w:r w:rsidRPr="00C4456B">
        <w:rPr>
          <w:rFonts w:asciiTheme="minorHAnsi" w:hAnsiTheme="minorHAnsi" w:cstheme="minorHAnsi"/>
          <w:color w:val="212121"/>
          <w:spacing w:val="-5"/>
          <w:sz w:val="24"/>
          <w:szCs w:val="24"/>
        </w:rPr>
        <w:t>47.</w:t>
      </w:r>
    </w:p>
    <w:p w14:paraId="0593FA15" w14:textId="77777777" w:rsidR="00DE01CA" w:rsidRPr="00DE01CA" w:rsidRDefault="00DE01CA" w:rsidP="008A6767">
      <w:pPr>
        <w:pStyle w:val="BodyText"/>
        <w:spacing w:line="480" w:lineRule="auto"/>
        <w:ind w:left="0"/>
        <w:rPr>
          <w:rFonts w:asciiTheme="minorHAnsi" w:hAnsiTheme="minorHAnsi" w:cstheme="minorHAnsi"/>
          <w:color w:val="212121"/>
          <w:sz w:val="24"/>
          <w:szCs w:val="24"/>
        </w:rPr>
      </w:pPr>
    </w:p>
    <w:p w14:paraId="2E8E8438" w14:textId="777CB0B5" w:rsidR="00567FF6" w:rsidRDefault="00567FF6" w:rsidP="008A6767">
      <w:pPr>
        <w:pStyle w:val="BodyText"/>
        <w:spacing w:line="480" w:lineRule="auto"/>
        <w:ind w:left="0"/>
        <w:rPr>
          <w:rFonts w:asciiTheme="minorHAnsi" w:hAnsiTheme="minorHAnsi" w:cstheme="minorHAnsi"/>
          <w:sz w:val="24"/>
          <w:szCs w:val="24"/>
        </w:rPr>
      </w:pPr>
      <w:r w:rsidRPr="00DE01CA">
        <w:rPr>
          <w:rFonts w:asciiTheme="minorHAnsi" w:hAnsiTheme="minorHAnsi" w:cstheme="minorHAnsi"/>
          <w:sz w:val="24"/>
          <w:szCs w:val="24"/>
        </w:rPr>
        <w:t xml:space="preserve">Jochum, KP, M Willbold, I Raczek, B Stoll, K Herwig (2005), Chemical characterization of the USGS reference glasses GSA-1G, GSC-1G, GSD-1G, GSE-1G, BCR-2G, BHVO-2G and BIR-1G using EPMA, ID-TIMS and LA-ICP-MS. </w:t>
      </w:r>
      <w:r w:rsidRPr="00DE01CA">
        <w:rPr>
          <w:rFonts w:asciiTheme="minorHAnsi" w:hAnsiTheme="minorHAnsi" w:cstheme="minorHAnsi"/>
          <w:i/>
          <w:iCs/>
          <w:sz w:val="24"/>
          <w:szCs w:val="24"/>
        </w:rPr>
        <w:t>Geostand. Geoanal. Res.</w:t>
      </w:r>
      <w:r w:rsidRPr="00DE01CA">
        <w:rPr>
          <w:rFonts w:asciiTheme="minorHAnsi" w:hAnsiTheme="minorHAnsi" w:cstheme="minorHAnsi"/>
          <w:sz w:val="24"/>
          <w:szCs w:val="24"/>
        </w:rPr>
        <w:t xml:space="preserve"> 29, 285-302.</w:t>
      </w:r>
    </w:p>
    <w:p w14:paraId="1452E0B0" w14:textId="77777777" w:rsidR="00373B2F" w:rsidRDefault="00373B2F" w:rsidP="008A6767">
      <w:pPr>
        <w:pStyle w:val="BodyText"/>
        <w:spacing w:line="480" w:lineRule="auto"/>
        <w:ind w:left="0"/>
        <w:rPr>
          <w:rFonts w:asciiTheme="minorHAnsi" w:hAnsiTheme="minorHAnsi" w:cstheme="minorHAnsi"/>
          <w:sz w:val="24"/>
          <w:szCs w:val="24"/>
        </w:rPr>
      </w:pPr>
    </w:p>
    <w:p w14:paraId="652B92B3" w14:textId="77777777" w:rsidR="00373B2F" w:rsidRPr="00524FEE" w:rsidRDefault="00373B2F" w:rsidP="008A6767">
      <w:pPr>
        <w:pStyle w:val="BodyText"/>
        <w:spacing w:line="480" w:lineRule="auto"/>
        <w:ind w:left="0"/>
        <w:rPr>
          <w:rFonts w:asciiTheme="minorHAnsi" w:hAnsiTheme="minorHAnsi" w:cstheme="minorHAnsi"/>
          <w:color w:val="212121"/>
          <w:spacing w:val="-5"/>
          <w:sz w:val="24"/>
          <w:szCs w:val="24"/>
        </w:rPr>
      </w:pPr>
      <w:r>
        <w:rPr>
          <w:rFonts w:asciiTheme="minorHAnsi" w:hAnsiTheme="minorHAnsi" w:cstheme="minorHAnsi"/>
          <w:color w:val="212121"/>
          <w:sz w:val="24"/>
          <w:szCs w:val="24"/>
        </w:rPr>
        <w:t xml:space="preserve">Kendrick, MA, C Hémond, VS Kamenetsky, L Danyushevsky, CW Devey, T Rodemann, MG Jackson, MR Perfit (2017), Seawater cycled throughout Earth’s mantle in partially serpentinized lithosphere. </w:t>
      </w:r>
      <w:r>
        <w:rPr>
          <w:rFonts w:asciiTheme="minorHAnsi" w:hAnsiTheme="minorHAnsi" w:cstheme="minorHAnsi"/>
          <w:i/>
          <w:iCs/>
          <w:color w:val="212121"/>
          <w:sz w:val="24"/>
          <w:szCs w:val="24"/>
        </w:rPr>
        <w:t xml:space="preserve">Nature Geosci. </w:t>
      </w:r>
      <w:r>
        <w:rPr>
          <w:rFonts w:asciiTheme="minorHAnsi" w:hAnsiTheme="minorHAnsi" w:cstheme="minorHAnsi"/>
          <w:color w:val="212121"/>
          <w:sz w:val="24"/>
          <w:szCs w:val="24"/>
        </w:rPr>
        <w:t>10, 222-228.</w:t>
      </w:r>
    </w:p>
    <w:p w14:paraId="09395F31" w14:textId="77777777" w:rsidR="00373B2F" w:rsidRDefault="00373B2F" w:rsidP="008A6767">
      <w:pPr>
        <w:pStyle w:val="BodyText"/>
        <w:spacing w:line="480" w:lineRule="auto"/>
        <w:ind w:left="0"/>
        <w:rPr>
          <w:rFonts w:asciiTheme="minorHAnsi" w:hAnsiTheme="minorHAnsi" w:cstheme="minorHAnsi"/>
          <w:color w:val="212121"/>
          <w:sz w:val="24"/>
          <w:szCs w:val="24"/>
        </w:rPr>
      </w:pPr>
    </w:p>
    <w:p w14:paraId="091AEBB1" w14:textId="62E4EFE2" w:rsidR="004F2474" w:rsidRDefault="004F2474" w:rsidP="008A6767">
      <w:pPr>
        <w:pStyle w:val="BodyText"/>
        <w:spacing w:line="480" w:lineRule="auto"/>
        <w:ind w:left="0"/>
        <w:rPr>
          <w:rFonts w:asciiTheme="minorHAnsi" w:hAnsiTheme="minorHAnsi" w:cstheme="minorHAnsi"/>
          <w:color w:val="212121"/>
          <w:sz w:val="24"/>
          <w:szCs w:val="24"/>
        </w:rPr>
      </w:pPr>
      <w:r>
        <w:rPr>
          <w:rFonts w:asciiTheme="minorHAnsi" w:hAnsiTheme="minorHAnsi" w:cstheme="minorHAnsi"/>
          <w:color w:val="212121"/>
          <w:sz w:val="24"/>
          <w:szCs w:val="24"/>
        </w:rPr>
        <w:t>Le Voyer, M, EH Hauri, E Cottrell, KA Kelly, VJM Salters, CH Langmuir, DR Hilton, PH Barry, E Füri (2019), Carbon fluxes and primary magma CO</w:t>
      </w:r>
      <w:r>
        <w:rPr>
          <w:rFonts w:asciiTheme="minorHAnsi" w:hAnsiTheme="minorHAnsi" w:cstheme="minorHAnsi"/>
          <w:color w:val="212121"/>
          <w:sz w:val="24"/>
          <w:szCs w:val="24"/>
          <w:vertAlign w:val="subscript"/>
        </w:rPr>
        <w:t>2</w:t>
      </w:r>
      <w:r>
        <w:rPr>
          <w:rFonts w:asciiTheme="minorHAnsi" w:hAnsiTheme="minorHAnsi" w:cstheme="minorHAnsi"/>
          <w:color w:val="212121"/>
          <w:sz w:val="24"/>
          <w:szCs w:val="24"/>
        </w:rPr>
        <w:t xml:space="preserve"> contents along the global mid-ocean ridge system. </w:t>
      </w:r>
      <w:r>
        <w:rPr>
          <w:rFonts w:asciiTheme="minorHAnsi" w:hAnsiTheme="minorHAnsi" w:cstheme="minorHAnsi"/>
          <w:i/>
          <w:iCs/>
          <w:color w:val="212121"/>
          <w:sz w:val="24"/>
          <w:szCs w:val="24"/>
        </w:rPr>
        <w:t>Geochem. Geophys. Geosys.</w:t>
      </w:r>
      <w:r>
        <w:rPr>
          <w:rFonts w:asciiTheme="minorHAnsi" w:hAnsiTheme="minorHAnsi" w:cstheme="minorHAnsi"/>
          <w:color w:val="212121"/>
          <w:sz w:val="24"/>
          <w:szCs w:val="24"/>
        </w:rPr>
        <w:t xml:space="preserve"> 20, 1387-1424.</w:t>
      </w:r>
    </w:p>
    <w:p w14:paraId="3C3D5AD6" w14:textId="77777777" w:rsidR="00220863" w:rsidRDefault="00220863" w:rsidP="008A6767">
      <w:pPr>
        <w:pStyle w:val="BodyText"/>
        <w:spacing w:line="480" w:lineRule="auto"/>
        <w:ind w:left="0"/>
        <w:rPr>
          <w:rFonts w:asciiTheme="minorHAnsi" w:hAnsiTheme="minorHAnsi" w:cstheme="minorHAnsi"/>
          <w:color w:val="212121"/>
          <w:sz w:val="24"/>
          <w:szCs w:val="24"/>
        </w:rPr>
      </w:pPr>
    </w:p>
    <w:p w14:paraId="64D9F8F1" w14:textId="11F4C9C7" w:rsidR="00220863" w:rsidRDefault="00220863" w:rsidP="008A6767">
      <w:pPr>
        <w:pStyle w:val="BodyText"/>
        <w:spacing w:line="480" w:lineRule="auto"/>
        <w:ind w:left="0"/>
        <w:rPr>
          <w:rFonts w:asciiTheme="minorHAnsi" w:hAnsiTheme="minorHAnsi" w:cstheme="minorHAnsi"/>
          <w:color w:val="212121"/>
          <w:sz w:val="24"/>
          <w:szCs w:val="24"/>
        </w:rPr>
      </w:pPr>
      <w:r>
        <w:rPr>
          <w:rFonts w:asciiTheme="minorHAnsi" w:hAnsiTheme="minorHAnsi" w:cstheme="minorHAnsi"/>
          <w:color w:val="212121"/>
          <w:sz w:val="24"/>
          <w:szCs w:val="24"/>
        </w:rPr>
        <w:t>Longpr</w:t>
      </w:r>
      <w:r w:rsidR="00C9349F">
        <w:rPr>
          <w:rFonts w:asciiTheme="minorHAnsi" w:hAnsiTheme="minorHAnsi" w:cstheme="minorHAnsi"/>
          <w:color w:val="212121"/>
          <w:sz w:val="24"/>
          <w:szCs w:val="24"/>
        </w:rPr>
        <w:t xml:space="preserve">é, MA, J Stix, A Klügel, N Shimizu (2017), Mantle to surface degassing of carbon- and sulfur-rich alkaline magma at El Hierro, Canary Islands. </w:t>
      </w:r>
      <w:r w:rsidR="00C9349F">
        <w:rPr>
          <w:rFonts w:asciiTheme="minorHAnsi" w:hAnsiTheme="minorHAnsi" w:cstheme="minorHAnsi"/>
          <w:i/>
          <w:iCs/>
          <w:color w:val="212121"/>
          <w:sz w:val="24"/>
          <w:szCs w:val="24"/>
        </w:rPr>
        <w:t>Earth Planet. Sci. Lett.</w:t>
      </w:r>
      <w:r w:rsidR="00C9349F">
        <w:rPr>
          <w:rFonts w:asciiTheme="minorHAnsi" w:hAnsiTheme="minorHAnsi" w:cstheme="minorHAnsi"/>
          <w:color w:val="212121"/>
          <w:sz w:val="24"/>
          <w:szCs w:val="24"/>
        </w:rPr>
        <w:t xml:space="preserve"> 460, 268-280.</w:t>
      </w:r>
    </w:p>
    <w:p w14:paraId="35771800" w14:textId="77777777" w:rsidR="00375933" w:rsidRDefault="00375933" w:rsidP="008A6767">
      <w:pPr>
        <w:pStyle w:val="BodyText"/>
        <w:spacing w:line="480" w:lineRule="auto"/>
        <w:ind w:left="0"/>
        <w:rPr>
          <w:rFonts w:asciiTheme="minorHAnsi" w:hAnsiTheme="minorHAnsi" w:cstheme="minorHAnsi"/>
          <w:color w:val="212121"/>
          <w:sz w:val="24"/>
          <w:szCs w:val="24"/>
        </w:rPr>
      </w:pPr>
    </w:p>
    <w:p w14:paraId="5E74228C" w14:textId="77777777" w:rsidR="00375933" w:rsidRDefault="00375933" w:rsidP="008A6767">
      <w:pPr>
        <w:widowControl w:val="0"/>
        <w:autoSpaceDE w:val="0"/>
        <w:autoSpaceDN w:val="0"/>
        <w:adjustRightInd w:val="0"/>
        <w:spacing w:line="480" w:lineRule="auto"/>
        <w:jc w:val="both"/>
        <w:rPr>
          <w:rFonts w:ascii="Calibri" w:hAnsi="Calibri"/>
          <w:noProof/>
        </w:rPr>
      </w:pPr>
      <w:r w:rsidRPr="00C4456B">
        <w:rPr>
          <w:rFonts w:cstheme="minorHAnsi"/>
          <w:color w:val="212121"/>
        </w:rPr>
        <w:t>Marshall, EW, JC Lassiter, JD</w:t>
      </w:r>
      <w:r w:rsidRPr="00C4456B">
        <w:rPr>
          <w:rFonts w:cstheme="minorHAnsi"/>
          <w:color w:val="212121"/>
          <w:spacing w:val="-1"/>
        </w:rPr>
        <w:t xml:space="preserve"> </w:t>
      </w:r>
      <w:r w:rsidRPr="00C4456B">
        <w:rPr>
          <w:rFonts w:cstheme="minorHAnsi"/>
          <w:color w:val="212121"/>
        </w:rPr>
        <w:t>Barnes (2018), On</w:t>
      </w:r>
      <w:r w:rsidRPr="00C4456B">
        <w:rPr>
          <w:rFonts w:cstheme="minorHAnsi"/>
          <w:color w:val="212121"/>
          <w:spacing w:val="-1"/>
        </w:rPr>
        <w:t xml:space="preserve"> </w:t>
      </w:r>
      <w:r w:rsidRPr="00C4456B">
        <w:rPr>
          <w:rFonts w:cstheme="minorHAnsi"/>
          <w:color w:val="212121"/>
        </w:rPr>
        <w:t>the (mis) behavior of water in</w:t>
      </w:r>
      <w:r w:rsidRPr="00C4456B">
        <w:rPr>
          <w:rFonts w:cstheme="minorHAnsi"/>
          <w:color w:val="212121"/>
          <w:spacing w:val="-1"/>
        </w:rPr>
        <w:t xml:space="preserve"> </w:t>
      </w:r>
      <w:r w:rsidRPr="00C4456B">
        <w:rPr>
          <w:rFonts w:cstheme="minorHAnsi"/>
          <w:color w:val="212121"/>
        </w:rPr>
        <w:t>the mantle: Controls</w:t>
      </w:r>
      <w:r w:rsidRPr="00C4456B">
        <w:rPr>
          <w:rFonts w:cstheme="minorHAnsi"/>
          <w:color w:val="212121"/>
          <w:spacing w:val="-1"/>
        </w:rPr>
        <w:t xml:space="preserve"> </w:t>
      </w:r>
      <w:r w:rsidRPr="00C4456B">
        <w:rPr>
          <w:rFonts w:cstheme="minorHAnsi"/>
          <w:color w:val="212121"/>
        </w:rPr>
        <w:t>on nominally</w:t>
      </w:r>
      <w:r w:rsidRPr="00C4456B">
        <w:rPr>
          <w:rFonts w:cstheme="minorHAnsi"/>
          <w:color w:val="212121"/>
          <w:spacing w:val="40"/>
        </w:rPr>
        <w:t xml:space="preserve"> </w:t>
      </w:r>
      <w:r w:rsidRPr="00C4456B">
        <w:rPr>
          <w:rFonts w:cstheme="minorHAnsi"/>
          <w:color w:val="212121"/>
        </w:rPr>
        <w:t>anhydrous</w:t>
      </w:r>
      <w:r w:rsidRPr="00C4456B">
        <w:rPr>
          <w:rFonts w:cstheme="minorHAnsi"/>
          <w:color w:val="212121"/>
          <w:spacing w:val="40"/>
        </w:rPr>
        <w:t xml:space="preserve"> </w:t>
      </w:r>
      <w:r w:rsidRPr="00C4456B">
        <w:rPr>
          <w:rFonts w:cstheme="minorHAnsi"/>
          <w:color w:val="212121"/>
        </w:rPr>
        <w:t>mineral</w:t>
      </w:r>
      <w:r w:rsidRPr="00C4456B">
        <w:rPr>
          <w:rFonts w:cstheme="minorHAnsi"/>
          <w:color w:val="212121"/>
          <w:spacing w:val="40"/>
        </w:rPr>
        <w:t xml:space="preserve"> </w:t>
      </w:r>
      <w:r w:rsidRPr="00C4456B">
        <w:rPr>
          <w:rFonts w:cstheme="minorHAnsi"/>
          <w:color w:val="212121"/>
        </w:rPr>
        <w:t>water</w:t>
      </w:r>
      <w:r w:rsidRPr="00C4456B">
        <w:rPr>
          <w:rFonts w:cstheme="minorHAnsi"/>
          <w:color w:val="212121"/>
          <w:spacing w:val="40"/>
        </w:rPr>
        <w:t xml:space="preserve"> </w:t>
      </w:r>
      <w:r w:rsidRPr="00C4456B">
        <w:rPr>
          <w:rFonts w:cstheme="minorHAnsi"/>
          <w:color w:val="212121"/>
        </w:rPr>
        <w:t>content</w:t>
      </w:r>
      <w:r w:rsidRPr="00C4456B">
        <w:rPr>
          <w:rFonts w:cstheme="minorHAnsi"/>
          <w:color w:val="212121"/>
          <w:spacing w:val="40"/>
        </w:rPr>
        <w:t xml:space="preserve"> </w:t>
      </w:r>
      <w:r w:rsidRPr="00C4456B">
        <w:rPr>
          <w:rFonts w:cstheme="minorHAnsi"/>
          <w:color w:val="212121"/>
        </w:rPr>
        <w:t>in</w:t>
      </w:r>
      <w:r w:rsidRPr="00C4456B">
        <w:rPr>
          <w:rFonts w:cstheme="minorHAnsi"/>
          <w:color w:val="212121"/>
          <w:spacing w:val="40"/>
        </w:rPr>
        <w:t xml:space="preserve"> </w:t>
      </w:r>
      <w:r w:rsidRPr="00C4456B">
        <w:rPr>
          <w:rFonts w:cstheme="minorHAnsi"/>
          <w:color w:val="212121"/>
        </w:rPr>
        <w:t>mantle</w:t>
      </w:r>
      <w:r w:rsidRPr="00C4456B">
        <w:rPr>
          <w:rFonts w:cstheme="minorHAnsi"/>
          <w:color w:val="212121"/>
          <w:spacing w:val="40"/>
        </w:rPr>
        <w:t xml:space="preserve"> </w:t>
      </w:r>
      <w:r w:rsidRPr="00C4456B">
        <w:rPr>
          <w:rFonts w:cstheme="minorHAnsi"/>
          <w:color w:val="212121"/>
        </w:rPr>
        <w:t xml:space="preserve">peridotites. </w:t>
      </w:r>
      <w:r w:rsidRPr="00C4456B">
        <w:rPr>
          <w:rFonts w:cstheme="minorHAnsi"/>
          <w:i/>
          <w:color w:val="212121"/>
        </w:rPr>
        <w:t>Earth Planet. Sci. Lett</w:t>
      </w:r>
      <w:r w:rsidRPr="00C4456B">
        <w:rPr>
          <w:rFonts w:cstheme="minorHAnsi"/>
          <w:color w:val="212121"/>
        </w:rPr>
        <w:t xml:space="preserve">, </w:t>
      </w:r>
      <w:r w:rsidRPr="00C4456B">
        <w:rPr>
          <w:rFonts w:cstheme="minorHAnsi"/>
          <w:iCs/>
          <w:color w:val="212121"/>
        </w:rPr>
        <w:t>499, 219-</w:t>
      </w:r>
      <w:r w:rsidRPr="00C4456B">
        <w:rPr>
          <w:rFonts w:cstheme="minorHAnsi"/>
          <w:color w:val="212121"/>
        </w:rPr>
        <w:t>229.</w:t>
      </w:r>
      <w:r w:rsidRPr="00375933">
        <w:rPr>
          <w:rFonts w:ascii="Calibri" w:hAnsi="Calibri"/>
          <w:noProof/>
        </w:rPr>
        <w:t xml:space="preserve"> </w:t>
      </w:r>
    </w:p>
    <w:p w14:paraId="42E43BA9" w14:textId="77777777" w:rsidR="00375933" w:rsidRDefault="00375933" w:rsidP="008A6767">
      <w:pPr>
        <w:widowControl w:val="0"/>
        <w:autoSpaceDE w:val="0"/>
        <w:autoSpaceDN w:val="0"/>
        <w:adjustRightInd w:val="0"/>
        <w:spacing w:line="480" w:lineRule="auto"/>
        <w:jc w:val="both"/>
        <w:rPr>
          <w:rFonts w:ascii="Calibri" w:hAnsi="Calibri"/>
          <w:noProof/>
        </w:rPr>
      </w:pPr>
    </w:p>
    <w:p w14:paraId="6F7FC1C4" w14:textId="791A55F5" w:rsidR="00375933" w:rsidRDefault="00375933" w:rsidP="008A6767">
      <w:pPr>
        <w:widowControl w:val="0"/>
        <w:autoSpaceDE w:val="0"/>
        <w:autoSpaceDN w:val="0"/>
        <w:adjustRightInd w:val="0"/>
        <w:spacing w:line="480" w:lineRule="auto"/>
        <w:jc w:val="both"/>
        <w:rPr>
          <w:rFonts w:ascii="Calibri" w:hAnsi="Calibri"/>
          <w:noProof/>
        </w:rPr>
      </w:pPr>
      <w:r w:rsidRPr="00B052E3">
        <w:rPr>
          <w:rFonts w:ascii="Calibri" w:hAnsi="Calibri"/>
          <w:noProof/>
        </w:rPr>
        <w:t>Mosenfelder, J.L., and Rossman, G.R., 2013</w:t>
      </w:r>
      <w:r>
        <w:rPr>
          <w:rFonts w:ascii="Calibri" w:hAnsi="Calibri"/>
          <w:noProof/>
        </w:rPr>
        <w:t>a</w:t>
      </w:r>
      <w:r w:rsidRPr="00B052E3">
        <w:rPr>
          <w:rFonts w:ascii="Calibri" w:hAnsi="Calibri"/>
          <w:noProof/>
        </w:rPr>
        <w:t>, Analysis of hydrogen and fluorine in pyroxenes: II. Orthopyroxene</w:t>
      </w:r>
      <w:r>
        <w:rPr>
          <w:rFonts w:ascii="Calibri" w:hAnsi="Calibri"/>
          <w:noProof/>
        </w:rPr>
        <w:t>.</w:t>
      </w:r>
      <w:r w:rsidRPr="00B052E3">
        <w:rPr>
          <w:rFonts w:ascii="Calibri" w:hAnsi="Calibri"/>
          <w:noProof/>
        </w:rPr>
        <w:t xml:space="preserve"> </w:t>
      </w:r>
      <w:r>
        <w:rPr>
          <w:rFonts w:ascii="Calibri" w:hAnsi="Calibri"/>
          <w:i/>
          <w:iCs/>
          <w:noProof/>
        </w:rPr>
        <w:t>Amer. Mineral.</w:t>
      </w:r>
      <w:r w:rsidRPr="00B052E3">
        <w:rPr>
          <w:rFonts w:ascii="Calibri" w:hAnsi="Calibri"/>
          <w:noProof/>
        </w:rPr>
        <w:t xml:space="preserve"> 98, 1026–1041.</w:t>
      </w:r>
    </w:p>
    <w:p w14:paraId="1DF58BDA" w14:textId="77777777" w:rsidR="00375933" w:rsidRPr="00B052E3" w:rsidRDefault="00375933" w:rsidP="008A6767">
      <w:pPr>
        <w:widowControl w:val="0"/>
        <w:autoSpaceDE w:val="0"/>
        <w:autoSpaceDN w:val="0"/>
        <w:adjustRightInd w:val="0"/>
        <w:spacing w:line="480" w:lineRule="auto"/>
        <w:jc w:val="both"/>
        <w:rPr>
          <w:rFonts w:ascii="Calibri" w:hAnsi="Calibri"/>
          <w:noProof/>
        </w:rPr>
      </w:pPr>
    </w:p>
    <w:p w14:paraId="13397B22" w14:textId="208AD2EB" w:rsidR="00375933" w:rsidRPr="00B052E3" w:rsidRDefault="00375933" w:rsidP="008A6767">
      <w:pPr>
        <w:widowControl w:val="0"/>
        <w:autoSpaceDE w:val="0"/>
        <w:autoSpaceDN w:val="0"/>
        <w:adjustRightInd w:val="0"/>
        <w:spacing w:line="480" w:lineRule="auto"/>
        <w:jc w:val="both"/>
        <w:rPr>
          <w:rFonts w:ascii="Calibri" w:hAnsi="Calibri"/>
          <w:noProof/>
        </w:rPr>
      </w:pPr>
      <w:r w:rsidRPr="00B052E3">
        <w:rPr>
          <w:rFonts w:ascii="Calibri" w:hAnsi="Calibri"/>
          <w:noProof/>
        </w:rPr>
        <w:t>Mosenfelder, J.L., and Rossman, G.R., 2013</w:t>
      </w:r>
      <w:r>
        <w:rPr>
          <w:rFonts w:ascii="Calibri" w:hAnsi="Calibri"/>
          <w:noProof/>
        </w:rPr>
        <w:t>b</w:t>
      </w:r>
      <w:r w:rsidRPr="00B052E3">
        <w:rPr>
          <w:rFonts w:ascii="Calibri" w:hAnsi="Calibri"/>
          <w:noProof/>
        </w:rPr>
        <w:t>, Analysis of hydrogen and fluorine in pyroxenes: II. Clinopyroxene</w:t>
      </w:r>
      <w:r>
        <w:rPr>
          <w:rFonts w:ascii="Calibri" w:hAnsi="Calibri"/>
          <w:noProof/>
        </w:rPr>
        <w:t>.</w:t>
      </w:r>
      <w:r w:rsidRPr="00B052E3">
        <w:rPr>
          <w:rFonts w:ascii="Calibri" w:hAnsi="Calibri"/>
          <w:noProof/>
        </w:rPr>
        <w:t xml:space="preserve"> </w:t>
      </w:r>
      <w:r>
        <w:rPr>
          <w:rFonts w:ascii="Calibri" w:hAnsi="Calibri"/>
          <w:i/>
          <w:iCs/>
          <w:noProof/>
        </w:rPr>
        <w:t>Amer. Mineral.</w:t>
      </w:r>
      <w:r w:rsidRPr="00B052E3">
        <w:rPr>
          <w:rFonts w:ascii="Calibri" w:hAnsi="Calibri"/>
          <w:noProof/>
        </w:rPr>
        <w:t xml:space="preserve"> 98, 1042–1054.</w:t>
      </w:r>
    </w:p>
    <w:p w14:paraId="5645D91D" w14:textId="77777777" w:rsidR="00375933" w:rsidRDefault="00375933" w:rsidP="008A6767">
      <w:pPr>
        <w:pStyle w:val="BodyText"/>
        <w:spacing w:line="480" w:lineRule="auto"/>
        <w:ind w:left="0" w:right="167"/>
        <w:rPr>
          <w:rFonts w:asciiTheme="minorHAnsi" w:hAnsiTheme="minorHAnsi" w:cstheme="minorHAnsi"/>
          <w:color w:val="212121"/>
          <w:sz w:val="24"/>
          <w:szCs w:val="24"/>
        </w:rPr>
      </w:pPr>
    </w:p>
    <w:p w14:paraId="7F945DC7" w14:textId="77777777" w:rsidR="00B859EF" w:rsidRDefault="00B859EF" w:rsidP="008A6767">
      <w:pPr>
        <w:pStyle w:val="BodyText"/>
        <w:spacing w:line="480" w:lineRule="auto"/>
        <w:ind w:left="0"/>
        <w:rPr>
          <w:rFonts w:asciiTheme="minorHAnsi" w:hAnsiTheme="minorHAnsi" w:cstheme="minorHAnsi"/>
          <w:color w:val="212121"/>
          <w:sz w:val="24"/>
          <w:szCs w:val="24"/>
        </w:rPr>
      </w:pPr>
    </w:p>
    <w:p w14:paraId="6A28BE17" w14:textId="137AB879" w:rsidR="00B859EF" w:rsidRDefault="00B859EF" w:rsidP="008A6767">
      <w:pPr>
        <w:pStyle w:val="BodyText"/>
        <w:spacing w:line="480" w:lineRule="auto"/>
        <w:ind w:left="0"/>
        <w:rPr>
          <w:rFonts w:asciiTheme="minorHAnsi" w:hAnsiTheme="minorHAnsi" w:cstheme="minorHAnsi"/>
          <w:color w:val="212121"/>
          <w:sz w:val="24"/>
          <w:szCs w:val="24"/>
        </w:rPr>
      </w:pPr>
      <w:r>
        <w:rPr>
          <w:rFonts w:asciiTheme="minorHAnsi" w:hAnsiTheme="minorHAnsi" w:cstheme="minorHAnsi"/>
          <w:color w:val="212121"/>
          <w:sz w:val="24"/>
          <w:szCs w:val="24"/>
        </w:rPr>
        <w:t xml:space="preserve">Peterson, ME, AE Saal, MD Kurz, EH Hauri, JS Blusztajn, KS Harpp, R Werner, DJ Geist (2017), Submarine basaltic glasses from the Galapagos Archipelago:L Determining the volatile budget of the mantle plume. </w:t>
      </w:r>
      <w:r>
        <w:rPr>
          <w:rFonts w:asciiTheme="minorHAnsi" w:hAnsiTheme="minorHAnsi" w:cstheme="minorHAnsi"/>
          <w:i/>
          <w:iCs/>
          <w:color w:val="212121"/>
          <w:sz w:val="24"/>
          <w:szCs w:val="24"/>
        </w:rPr>
        <w:t>J. Petrol.</w:t>
      </w:r>
      <w:r>
        <w:rPr>
          <w:rFonts w:asciiTheme="minorHAnsi" w:hAnsiTheme="minorHAnsi" w:cstheme="minorHAnsi"/>
          <w:color w:val="212121"/>
          <w:sz w:val="24"/>
          <w:szCs w:val="24"/>
        </w:rPr>
        <w:t xml:space="preserve"> 58, 1419-1450.</w:t>
      </w:r>
    </w:p>
    <w:p w14:paraId="10D05C2B" w14:textId="77777777" w:rsidR="007B312E" w:rsidRDefault="007B312E" w:rsidP="008A6767">
      <w:pPr>
        <w:pStyle w:val="BodyText"/>
        <w:spacing w:line="480" w:lineRule="auto"/>
        <w:ind w:left="0"/>
        <w:rPr>
          <w:rFonts w:asciiTheme="minorHAnsi" w:hAnsiTheme="minorHAnsi" w:cstheme="minorHAnsi"/>
          <w:color w:val="212121"/>
          <w:sz w:val="24"/>
          <w:szCs w:val="24"/>
        </w:rPr>
      </w:pPr>
    </w:p>
    <w:p w14:paraId="7BF61772" w14:textId="77777777" w:rsidR="00375933" w:rsidRDefault="00375933" w:rsidP="008A6767">
      <w:pPr>
        <w:pStyle w:val="BodyText"/>
        <w:spacing w:line="480" w:lineRule="auto"/>
        <w:ind w:left="0"/>
        <w:rPr>
          <w:rFonts w:asciiTheme="minorHAnsi" w:hAnsiTheme="minorHAnsi" w:cstheme="minorHAnsi"/>
          <w:color w:val="212121"/>
          <w:sz w:val="24"/>
          <w:szCs w:val="24"/>
        </w:rPr>
      </w:pPr>
      <w:r>
        <w:rPr>
          <w:rFonts w:asciiTheme="minorHAnsi" w:hAnsiTheme="minorHAnsi" w:cstheme="minorHAnsi"/>
          <w:color w:val="212121"/>
          <w:sz w:val="24"/>
          <w:szCs w:val="24"/>
        </w:rPr>
        <w:t xml:space="preserve">Reinhard, AA, MG Jackson, JM Koornneef, EF Rose-Koga, J Blusztajn, JG Konter, KT Koga, PJ Wallace, J Harvey (2018), Sr and Dn isotopic compositions of individual olivine-hosted melt inclusions from Hawai’I and Samoa: Implications for the origin of isotopic heterogeneity in melt inclusions from OIB lavas. </w:t>
      </w:r>
      <w:r>
        <w:rPr>
          <w:rFonts w:asciiTheme="minorHAnsi" w:hAnsiTheme="minorHAnsi" w:cstheme="minorHAnsi"/>
          <w:i/>
          <w:iCs/>
          <w:color w:val="212121"/>
          <w:sz w:val="24"/>
          <w:szCs w:val="24"/>
        </w:rPr>
        <w:t>Chem. Geol.</w:t>
      </w:r>
      <w:r>
        <w:rPr>
          <w:rFonts w:asciiTheme="minorHAnsi" w:hAnsiTheme="minorHAnsi" w:cstheme="minorHAnsi"/>
          <w:color w:val="212121"/>
          <w:sz w:val="24"/>
          <w:szCs w:val="24"/>
        </w:rPr>
        <w:t xml:space="preserve"> 495, 36-49.</w:t>
      </w:r>
    </w:p>
    <w:p w14:paraId="1671E599" w14:textId="77777777" w:rsidR="00375933" w:rsidRDefault="00375933" w:rsidP="008A6767">
      <w:pPr>
        <w:pStyle w:val="BodyText"/>
        <w:spacing w:line="480" w:lineRule="auto"/>
        <w:ind w:left="0"/>
        <w:rPr>
          <w:rFonts w:asciiTheme="minorHAnsi" w:hAnsiTheme="minorHAnsi" w:cstheme="minorHAnsi"/>
          <w:color w:val="212121"/>
          <w:sz w:val="24"/>
          <w:szCs w:val="24"/>
        </w:rPr>
      </w:pPr>
    </w:p>
    <w:p w14:paraId="73F5FE87" w14:textId="2AEE63A8" w:rsidR="007B312E" w:rsidRDefault="007B312E" w:rsidP="008A6767">
      <w:pPr>
        <w:pStyle w:val="BodyText"/>
        <w:spacing w:line="480" w:lineRule="auto"/>
        <w:ind w:left="0"/>
        <w:rPr>
          <w:rFonts w:asciiTheme="minorHAnsi" w:hAnsiTheme="minorHAnsi" w:cstheme="minorHAnsi"/>
          <w:color w:val="212121"/>
          <w:sz w:val="24"/>
          <w:szCs w:val="24"/>
        </w:rPr>
      </w:pPr>
      <w:r>
        <w:rPr>
          <w:rFonts w:asciiTheme="minorHAnsi" w:hAnsiTheme="minorHAnsi" w:cstheme="minorHAnsi"/>
          <w:color w:val="212121"/>
          <w:sz w:val="24"/>
          <w:szCs w:val="24"/>
        </w:rPr>
        <w:t xml:space="preserve">Rose-Koga, EF, KT Koga, M Moreira, I Vlastelic, MG Jackson, MJ Whitehouse, N Shimizu, N Habib (2017), Geochemical systematics of Pb isotopes, fluorine, and sulfur in melt inclusions from Sao Miguel, Azores. </w:t>
      </w:r>
      <w:r>
        <w:rPr>
          <w:rFonts w:asciiTheme="minorHAnsi" w:hAnsiTheme="minorHAnsi" w:cstheme="minorHAnsi"/>
          <w:i/>
          <w:iCs/>
          <w:color w:val="212121"/>
          <w:sz w:val="24"/>
          <w:szCs w:val="24"/>
        </w:rPr>
        <w:t>Chem. Geol.</w:t>
      </w:r>
      <w:r>
        <w:rPr>
          <w:rFonts w:asciiTheme="minorHAnsi" w:hAnsiTheme="minorHAnsi" w:cstheme="minorHAnsi"/>
          <w:color w:val="212121"/>
          <w:sz w:val="24"/>
          <w:szCs w:val="24"/>
        </w:rPr>
        <w:t xml:space="preserve"> 458, 22-37.</w:t>
      </w:r>
    </w:p>
    <w:p w14:paraId="583F6E22" w14:textId="77777777" w:rsidR="00DB388F" w:rsidRDefault="00DB388F" w:rsidP="008A6767">
      <w:pPr>
        <w:pStyle w:val="BodyText"/>
        <w:spacing w:line="480" w:lineRule="auto"/>
        <w:ind w:left="0"/>
        <w:rPr>
          <w:rFonts w:asciiTheme="minorHAnsi" w:hAnsiTheme="minorHAnsi" w:cstheme="minorHAnsi"/>
          <w:color w:val="212121"/>
          <w:sz w:val="24"/>
          <w:szCs w:val="24"/>
        </w:rPr>
      </w:pPr>
    </w:p>
    <w:p w14:paraId="7FCAC5D8" w14:textId="77777777" w:rsidR="00002092" w:rsidRDefault="00DB388F" w:rsidP="008A6767">
      <w:pPr>
        <w:pStyle w:val="Default"/>
        <w:spacing w:line="480" w:lineRule="auto"/>
        <w:jc w:val="both"/>
        <w:rPr>
          <w:rFonts w:asciiTheme="minorHAnsi" w:hAnsiTheme="minorHAnsi" w:cstheme="minorHAnsi"/>
        </w:rPr>
      </w:pPr>
      <w:r w:rsidRPr="00C4456B">
        <w:rPr>
          <w:rFonts w:asciiTheme="minorHAnsi" w:hAnsiTheme="minorHAnsi" w:cstheme="minorHAnsi"/>
        </w:rPr>
        <w:t xml:space="preserve">Saal, AE, EH Hauri, CH Langmuir, MR Perfit (2002), Vapour undersaturation in primitive mid-ocean-rigde basalt and the volatile content of Earth’s upper mantle. </w:t>
      </w:r>
      <w:r w:rsidRPr="00C4456B">
        <w:rPr>
          <w:rFonts w:asciiTheme="minorHAnsi" w:hAnsiTheme="minorHAnsi" w:cstheme="minorHAnsi"/>
          <w:i/>
          <w:iCs/>
        </w:rPr>
        <w:t>Nature</w:t>
      </w:r>
      <w:r w:rsidRPr="00C4456B">
        <w:rPr>
          <w:rFonts w:asciiTheme="minorHAnsi" w:hAnsiTheme="minorHAnsi" w:cstheme="minorHAnsi"/>
        </w:rPr>
        <w:t xml:space="preserve"> 6906, 451-455.</w:t>
      </w:r>
    </w:p>
    <w:p w14:paraId="3D24153F" w14:textId="77777777" w:rsidR="00002092" w:rsidRDefault="00002092" w:rsidP="008A6767">
      <w:pPr>
        <w:pStyle w:val="Default"/>
        <w:spacing w:line="480" w:lineRule="auto"/>
        <w:jc w:val="both"/>
        <w:rPr>
          <w:rFonts w:asciiTheme="minorHAnsi" w:hAnsiTheme="minorHAnsi" w:cstheme="minorHAnsi"/>
        </w:rPr>
      </w:pPr>
    </w:p>
    <w:p w14:paraId="06A61070" w14:textId="38AEF2D7" w:rsidR="00DB388F" w:rsidRPr="00C4456B" w:rsidRDefault="00002092" w:rsidP="008A6767">
      <w:pPr>
        <w:pStyle w:val="Default"/>
        <w:spacing w:line="480" w:lineRule="auto"/>
        <w:jc w:val="both"/>
        <w:rPr>
          <w:rFonts w:asciiTheme="minorHAnsi" w:hAnsiTheme="minorHAnsi" w:cstheme="minorHAnsi"/>
        </w:rPr>
      </w:pPr>
      <w:r>
        <w:rPr>
          <w:rFonts w:asciiTheme="minorHAnsi" w:hAnsiTheme="minorHAnsi" w:cstheme="minorHAnsi"/>
        </w:rPr>
        <w:t xml:space="preserve">Shimuzu, K, AE Saal, CE Myers, AN Nagel, EH Hauri, DW Forsyth, VS Kamenetsky, YL Niu (2016), Two-component mantle melting-mixingmodel for the generation of mid-ocean ridge basalts: Implications for the volatile content of the Pacific upper mantle. </w:t>
      </w:r>
      <w:r>
        <w:rPr>
          <w:rFonts w:asciiTheme="minorHAnsi" w:hAnsiTheme="minorHAnsi" w:cstheme="minorHAnsi"/>
          <w:i/>
          <w:iCs/>
        </w:rPr>
        <w:t>Geochim. Cosmochim. Acta</w:t>
      </w:r>
      <w:r>
        <w:rPr>
          <w:rFonts w:asciiTheme="minorHAnsi" w:hAnsiTheme="minorHAnsi" w:cstheme="minorHAnsi"/>
        </w:rPr>
        <w:t xml:space="preserve"> 176, 44-80.</w:t>
      </w:r>
      <w:r w:rsidR="00DB388F" w:rsidRPr="00C4456B">
        <w:rPr>
          <w:rFonts w:asciiTheme="minorHAnsi" w:hAnsiTheme="minorHAnsi" w:cstheme="minorHAnsi"/>
        </w:rPr>
        <w:t xml:space="preserve"> </w:t>
      </w:r>
    </w:p>
    <w:p w14:paraId="2B74EC0C" w14:textId="77777777" w:rsidR="007F20BA" w:rsidRDefault="007F20BA" w:rsidP="008A6767">
      <w:pPr>
        <w:pStyle w:val="BodyText"/>
        <w:spacing w:line="480" w:lineRule="auto"/>
        <w:ind w:left="0"/>
        <w:rPr>
          <w:rFonts w:asciiTheme="minorHAnsi" w:hAnsiTheme="minorHAnsi" w:cstheme="minorHAnsi"/>
          <w:color w:val="212121"/>
          <w:sz w:val="24"/>
          <w:szCs w:val="24"/>
        </w:rPr>
      </w:pPr>
    </w:p>
    <w:p w14:paraId="08DF14FB" w14:textId="77777777" w:rsidR="00375933" w:rsidRPr="00375933" w:rsidRDefault="007F20BA" w:rsidP="008A6767">
      <w:pPr>
        <w:pStyle w:val="BodyText"/>
        <w:spacing w:line="480" w:lineRule="auto"/>
        <w:ind w:left="0"/>
        <w:rPr>
          <w:rFonts w:asciiTheme="minorHAnsi" w:hAnsiTheme="minorHAnsi" w:cstheme="minorHAnsi"/>
          <w:color w:val="212121"/>
          <w:sz w:val="24"/>
          <w:szCs w:val="24"/>
        </w:rPr>
      </w:pPr>
      <w:r>
        <w:rPr>
          <w:rFonts w:asciiTheme="minorHAnsi" w:hAnsiTheme="minorHAnsi" w:cstheme="minorHAnsi"/>
          <w:color w:val="212121"/>
          <w:sz w:val="24"/>
          <w:szCs w:val="24"/>
        </w:rPr>
        <w:t xml:space="preserve">Sides, I, M Edmonds, J Maclennan, BF Houghton, DA Swanson, MJ Steel-MacInnis (2014), Magma mixing and </w:t>
      </w:r>
      <w:r w:rsidRPr="00375933">
        <w:rPr>
          <w:rFonts w:asciiTheme="minorHAnsi" w:hAnsiTheme="minorHAnsi" w:cstheme="minorHAnsi"/>
          <w:color w:val="212121"/>
          <w:sz w:val="24"/>
          <w:szCs w:val="24"/>
        </w:rPr>
        <w:t xml:space="preserve">high fountaining during the 1959 Kilauea Iki eruption, Hawai’i. </w:t>
      </w:r>
      <w:r w:rsidRPr="00375933">
        <w:rPr>
          <w:rFonts w:asciiTheme="minorHAnsi" w:hAnsiTheme="minorHAnsi" w:cstheme="minorHAnsi"/>
          <w:i/>
          <w:iCs/>
          <w:color w:val="212121"/>
          <w:sz w:val="24"/>
          <w:szCs w:val="24"/>
        </w:rPr>
        <w:t>Earth Planet. Sci. Lett.</w:t>
      </w:r>
      <w:r w:rsidRPr="00375933">
        <w:rPr>
          <w:rFonts w:asciiTheme="minorHAnsi" w:hAnsiTheme="minorHAnsi" w:cstheme="minorHAnsi"/>
          <w:color w:val="212121"/>
          <w:sz w:val="24"/>
          <w:szCs w:val="24"/>
        </w:rPr>
        <w:t xml:space="preserve"> 400, 102-112.</w:t>
      </w:r>
    </w:p>
    <w:p w14:paraId="0B2669D2" w14:textId="77777777" w:rsidR="00375933" w:rsidRPr="00375933" w:rsidRDefault="00375933" w:rsidP="008A6767">
      <w:pPr>
        <w:pStyle w:val="BodyText"/>
        <w:spacing w:line="480" w:lineRule="auto"/>
        <w:ind w:left="0"/>
        <w:rPr>
          <w:rFonts w:asciiTheme="minorHAnsi" w:hAnsiTheme="minorHAnsi" w:cstheme="minorHAnsi"/>
          <w:color w:val="212121"/>
          <w:sz w:val="24"/>
          <w:szCs w:val="24"/>
        </w:rPr>
      </w:pPr>
    </w:p>
    <w:p w14:paraId="76FCC59A" w14:textId="1A54B5C7" w:rsidR="00567FF6" w:rsidRDefault="00375933" w:rsidP="008A6767">
      <w:pPr>
        <w:pStyle w:val="BodyText"/>
        <w:spacing w:line="480" w:lineRule="auto"/>
        <w:ind w:left="0"/>
        <w:rPr>
          <w:rFonts w:ascii="Calibri" w:hAnsi="Calibri"/>
          <w:noProof/>
          <w:sz w:val="24"/>
          <w:szCs w:val="24"/>
        </w:rPr>
      </w:pPr>
      <w:r w:rsidRPr="00375933">
        <w:rPr>
          <w:rFonts w:ascii="Calibri" w:hAnsi="Calibri"/>
          <w:noProof/>
          <w:sz w:val="24"/>
          <w:szCs w:val="24"/>
        </w:rPr>
        <w:t>Tenner, T.J., Hirschmann, M.M., Withers, A.C., and Hervig, R.L., 2009, Hydrogen partitioning between nominally anhydrous upper mantle minerals and melt between 3 and 5 GPa and applications to hydrous peridotite partial melting</w:t>
      </w:r>
      <w:r w:rsidR="001144B5">
        <w:rPr>
          <w:rFonts w:ascii="Calibri" w:hAnsi="Calibri"/>
          <w:noProof/>
          <w:sz w:val="24"/>
          <w:szCs w:val="24"/>
        </w:rPr>
        <w:t>.</w:t>
      </w:r>
      <w:r w:rsidRPr="00375933">
        <w:rPr>
          <w:rFonts w:ascii="Calibri" w:hAnsi="Calibri"/>
          <w:noProof/>
          <w:sz w:val="24"/>
          <w:szCs w:val="24"/>
        </w:rPr>
        <w:t xml:space="preserve"> </w:t>
      </w:r>
      <w:r w:rsidR="001144B5">
        <w:rPr>
          <w:rFonts w:ascii="Calibri" w:hAnsi="Calibri"/>
          <w:i/>
          <w:iCs/>
          <w:noProof/>
          <w:sz w:val="24"/>
          <w:szCs w:val="24"/>
        </w:rPr>
        <w:t>Chem. Geol.</w:t>
      </w:r>
      <w:r w:rsidRPr="00375933">
        <w:rPr>
          <w:rFonts w:ascii="Calibri" w:hAnsi="Calibri"/>
          <w:noProof/>
          <w:sz w:val="24"/>
          <w:szCs w:val="24"/>
        </w:rPr>
        <w:t xml:space="preserve"> 262, 42–56</w:t>
      </w:r>
      <w:r>
        <w:rPr>
          <w:rFonts w:ascii="Calibri" w:hAnsi="Calibri"/>
          <w:noProof/>
          <w:sz w:val="24"/>
          <w:szCs w:val="24"/>
        </w:rPr>
        <w:t>.</w:t>
      </w:r>
    </w:p>
    <w:p w14:paraId="0EE90CFB" w14:textId="05B96B60" w:rsidR="00567FF6" w:rsidRDefault="00567FF6" w:rsidP="008A6767">
      <w:pPr>
        <w:spacing w:line="480" w:lineRule="auto"/>
        <w:rPr>
          <w:rFonts w:cstheme="minorHAnsi"/>
          <w:b/>
          <w:bCs/>
          <w:color w:val="000000"/>
          <w:kern w:val="0"/>
        </w:rPr>
      </w:pPr>
    </w:p>
    <w:p w14:paraId="10EC45F7" w14:textId="6EEA8CD9" w:rsidR="00B078DD" w:rsidRDefault="00B078DD" w:rsidP="008A6767">
      <w:pPr>
        <w:spacing w:line="480" w:lineRule="auto"/>
        <w:rPr>
          <w:rFonts w:cstheme="minorHAnsi"/>
          <w:b/>
          <w:bCs/>
          <w:color w:val="000000"/>
          <w:kern w:val="0"/>
        </w:rPr>
      </w:pPr>
      <w:r>
        <w:rPr>
          <w:rFonts w:cstheme="minorHAnsi"/>
          <w:b/>
          <w:bCs/>
          <w:color w:val="000000"/>
          <w:kern w:val="0"/>
        </w:rPr>
        <w:br w:type="page"/>
      </w:r>
    </w:p>
    <w:p w14:paraId="372A4CA8" w14:textId="24E7C982" w:rsidR="00B078DD" w:rsidRDefault="00B078DD" w:rsidP="008A6767">
      <w:pPr>
        <w:spacing w:line="480" w:lineRule="auto"/>
        <w:rPr>
          <w:rFonts w:cstheme="minorHAnsi"/>
          <w:b/>
          <w:bCs/>
          <w:color w:val="000000"/>
          <w:kern w:val="0"/>
        </w:rPr>
      </w:pPr>
      <w:r>
        <w:rPr>
          <w:rFonts w:cstheme="minorHAnsi"/>
          <w:b/>
          <w:bCs/>
          <w:color w:val="000000"/>
          <w:kern w:val="0"/>
        </w:rPr>
        <w:t>Supplemental Figure Captions</w:t>
      </w:r>
    </w:p>
    <w:p w14:paraId="1914BB1C" w14:textId="77777777" w:rsidR="00B078DD" w:rsidRPr="00C4456B" w:rsidRDefault="00B078DD" w:rsidP="008A6767">
      <w:pPr>
        <w:pStyle w:val="Default"/>
        <w:spacing w:line="480" w:lineRule="auto"/>
        <w:jc w:val="both"/>
        <w:rPr>
          <w:rFonts w:asciiTheme="minorHAnsi" w:hAnsiTheme="minorHAnsi" w:cstheme="minorHAnsi"/>
          <w:b/>
          <w:bCs/>
        </w:rPr>
      </w:pPr>
    </w:p>
    <w:p w14:paraId="4B5AEE7F" w14:textId="77777777" w:rsidR="00B078DD" w:rsidRPr="00C4456B" w:rsidRDefault="00B078DD" w:rsidP="008A6767">
      <w:pPr>
        <w:pStyle w:val="Default"/>
        <w:spacing w:line="480" w:lineRule="auto"/>
        <w:jc w:val="both"/>
        <w:rPr>
          <w:rFonts w:asciiTheme="minorHAnsi" w:hAnsiTheme="minorHAnsi" w:cstheme="minorHAnsi"/>
        </w:rPr>
      </w:pPr>
      <w:r w:rsidRPr="00C4456B">
        <w:rPr>
          <w:rFonts w:asciiTheme="minorHAnsi" w:hAnsiTheme="minorHAnsi" w:cstheme="minorHAnsi"/>
          <w:b/>
          <w:bCs/>
        </w:rPr>
        <w:t xml:space="preserve">Figure S1: </w:t>
      </w:r>
      <w:r w:rsidRPr="00C4456B">
        <w:rPr>
          <w:rFonts w:asciiTheme="minorHAnsi" w:hAnsiTheme="minorHAnsi" w:cstheme="minorHAnsi"/>
        </w:rPr>
        <w:t>a) Cpx Mg# vs. Al</w:t>
      </w:r>
      <w:r w:rsidRPr="00C4456B">
        <w:rPr>
          <w:rFonts w:asciiTheme="minorHAnsi" w:hAnsiTheme="minorHAnsi" w:cstheme="minorHAnsi"/>
          <w:vertAlign w:val="subscript"/>
        </w:rPr>
        <w:t>2</w:t>
      </w:r>
      <w:r w:rsidRPr="00C4456B">
        <w:rPr>
          <w:rFonts w:asciiTheme="minorHAnsi" w:hAnsiTheme="minorHAnsi" w:cstheme="minorHAnsi"/>
        </w:rPr>
        <w:t>O</w:t>
      </w:r>
      <w:r w:rsidRPr="00C4456B">
        <w:rPr>
          <w:rFonts w:asciiTheme="minorHAnsi" w:hAnsiTheme="minorHAnsi" w:cstheme="minorHAnsi"/>
          <w:vertAlign w:val="subscript"/>
        </w:rPr>
        <w:t>3</w:t>
      </w:r>
      <w:r w:rsidRPr="00C4456B">
        <w:rPr>
          <w:rFonts w:asciiTheme="minorHAnsi" w:hAnsiTheme="minorHAnsi" w:cstheme="minorHAnsi"/>
        </w:rPr>
        <w:t xml:space="preserve">. b) Cpx Mg# vs. [Ce]. Symbols are as in </w:t>
      </w:r>
      <w:r>
        <w:rPr>
          <w:rFonts w:asciiTheme="minorHAnsi" w:hAnsiTheme="minorHAnsi" w:cstheme="minorHAnsi"/>
        </w:rPr>
        <w:t>Figure 2</w:t>
      </w:r>
      <w:r w:rsidRPr="00C4456B">
        <w:rPr>
          <w:rFonts w:asciiTheme="minorHAnsi" w:hAnsiTheme="minorHAnsi" w:cstheme="minorHAnsi"/>
        </w:rPr>
        <w:t>.</w:t>
      </w:r>
    </w:p>
    <w:p w14:paraId="7A7C695B" w14:textId="77777777" w:rsidR="00B078DD" w:rsidRPr="00C4456B" w:rsidRDefault="00B078DD" w:rsidP="008A6767">
      <w:pPr>
        <w:pStyle w:val="Default"/>
        <w:spacing w:line="480" w:lineRule="auto"/>
        <w:jc w:val="both"/>
        <w:rPr>
          <w:rFonts w:asciiTheme="minorHAnsi" w:hAnsiTheme="minorHAnsi" w:cstheme="minorHAnsi"/>
        </w:rPr>
      </w:pPr>
    </w:p>
    <w:p w14:paraId="11E2C57E" w14:textId="77777777" w:rsidR="00B078DD" w:rsidRPr="00C4456B" w:rsidRDefault="00B078DD" w:rsidP="008A6767">
      <w:pPr>
        <w:pStyle w:val="Default"/>
        <w:spacing w:line="480" w:lineRule="auto"/>
        <w:jc w:val="both"/>
        <w:rPr>
          <w:rFonts w:asciiTheme="minorHAnsi" w:hAnsiTheme="minorHAnsi" w:cstheme="minorHAnsi"/>
        </w:rPr>
      </w:pPr>
      <w:r w:rsidRPr="00C4456B">
        <w:rPr>
          <w:rFonts w:asciiTheme="minorHAnsi" w:hAnsiTheme="minorHAnsi" w:cstheme="minorHAnsi"/>
          <w:b/>
          <w:bCs/>
        </w:rPr>
        <w:t xml:space="preserve">Figure S2: </w:t>
      </w:r>
      <w:r w:rsidRPr="00C4456B">
        <w:rPr>
          <w:rFonts w:asciiTheme="minorHAnsi" w:hAnsiTheme="minorHAnsi" w:cstheme="minorHAnsi"/>
        </w:rPr>
        <w:t xml:space="preserve">Cpx Mg# vs </w:t>
      </w:r>
      <w:r>
        <w:rPr>
          <w:rFonts w:asciiTheme="minorHAnsi" w:hAnsiTheme="minorHAnsi" w:cstheme="minorHAnsi"/>
        </w:rPr>
        <w:t xml:space="preserve">cpx </w:t>
      </w:r>
      <w:r w:rsidRPr="00C4456B">
        <w:rPr>
          <w:rFonts w:asciiTheme="minorHAnsi" w:hAnsiTheme="minorHAnsi" w:cstheme="minorHAnsi"/>
        </w:rPr>
        <w:t>[H</w:t>
      </w:r>
      <w:r w:rsidRPr="00C4456B">
        <w:rPr>
          <w:rFonts w:asciiTheme="minorHAnsi" w:hAnsiTheme="minorHAnsi" w:cstheme="minorHAnsi"/>
          <w:vertAlign w:val="subscript"/>
        </w:rPr>
        <w:t>2</w:t>
      </w:r>
      <w:r w:rsidRPr="00C4456B">
        <w:rPr>
          <w:rFonts w:asciiTheme="minorHAnsi" w:hAnsiTheme="minorHAnsi" w:cstheme="minorHAnsi"/>
        </w:rPr>
        <w:t xml:space="preserve">O]. Symbols are as in </w:t>
      </w:r>
      <w:r>
        <w:rPr>
          <w:rFonts w:asciiTheme="minorHAnsi" w:hAnsiTheme="minorHAnsi" w:cstheme="minorHAnsi"/>
        </w:rPr>
        <w:t>Figure 2</w:t>
      </w:r>
    </w:p>
    <w:p w14:paraId="43BF28F2" w14:textId="77777777" w:rsidR="00B078DD" w:rsidRPr="00C4456B" w:rsidRDefault="00B078DD" w:rsidP="008A6767">
      <w:pPr>
        <w:pStyle w:val="Default"/>
        <w:spacing w:line="480" w:lineRule="auto"/>
        <w:jc w:val="both"/>
        <w:rPr>
          <w:rFonts w:asciiTheme="minorHAnsi" w:hAnsiTheme="minorHAnsi" w:cstheme="minorHAnsi"/>
        </w:rPr>
      </w:pPr>
    </w:p>
    <w:p w14:paraId="1792B245" w14:textId="77777777" w:rsidR="00B078DD" w:rsidRDefault="00B078DD" w:rsidP="008A6767">
      <w:pPr>
        <w:pStyle w:val="Default"/>
        <w:spacing w:line="480" w:lineRule="auto"/>
        <w:jc w:val="both"/>
        <w:rPr>
          <w:rFonts w:asciiTheme="minorHAnsi" w:hAnsiTheme="minorHAnsi" w:cstheme="minorHAnsi"/>
        </w:rPr>
      </w:pPr>
      <w:r w:rsidRPr="00C4456B">
        <w:rPr>
          <w:rFonts w:asciiTheme="minorHAnsi" w:hAnsiTheme="minorHAnsi" w:cstheme="minorHAnsi"/>
          <w:b/>
          <w:bCs/>
        </w:rPr>
        <w:t>Figure S3:</w:t>
      </w:r>
      <w:r w:rsidRPr="00C4456B">
        <w:rPr>
          <w:rFonts w:asciiTheme="minorHAnsi" w:hAnsiTheme="minorHAnsi" w:cstheme="minorHAnsi"/>
        </w:rPr>
        <w:t xml:space="preserve"> Cpx La/Sm vs </w:t>
      </w:r>
      <w:r>
        <w:rPr>
          <w:rFonts w:asciiTheme="minorHAnsi" w:hAnsiTheme="minorHAnsi" w:cstheme="minorHAnsi"/>
        </w:rPr>
        <w:t>cpx [</w:t>
      </w:r>
      <w:r w:rsidRPr="00C4456B">
        <w:rPr>
          <w:rFonts w:asciiTheme="minorHAnsi" w:hAnsiTheme="minorHAnsi" w:cstheme="minorHAnsi"/>
        </w:rPr>
        <w:t>H</w:t>
      </w:r>
      <w:r w:rsidRPr="00C4456B">
        <w:rPr>
          <w:rFonts w:asciiTheme="minorHAnsi" w:hAnsiTheme="minorHAnsi" w:cstheme="minorHAnsi"/>
          <w:vertAlign w:val="subscript"/>
        </w:rPr>
        <w:t>2</w:t>
      </w:r>
      <w:r w:rsidRPr="00C4456B">
        <w:rPr>
          <w:rFonts w:asciiTheme="minorHAnsi" w:hAnsiTheme="minorHAnsi" w:cstheme="minorHAnsi"/>
        </w:rPr>
        <w:t xml:space="preserve">O]. Symbols are as in </w:t>
      </w:r>
      <w:r>
        <w:rPr>
          <w:rFonts w:asciiTheme="minorHAnsi" w:hAnsiTheme="minorHAnsi" w:cstheme="minorHAnsi"/>
        </w:rPr>
        <w:t>Figure 2.</w:t>
      </w:r>
    </w:p>
    <w:p w14:paraId="71CDB92F" w14:textId="77777777" w:rsidR="00B078DD" w:rsidRDefault="00B078DD" w:rsidP="008A6767">
      <w:pPr>
        <w:pStyle w:val="Default"/>
        <w:spacing w:line="480" w:lineRule="auto"/>
        <w:jc w:val="both"/>
        <w:rPr>
          <w:rFonts w:asciiTheme="minorHAnsi" w:hAnsiTheme="minorHAnsi" w:cstheme="minorHAnsi"/>
        </w:rPr>
      </w:pPr>
    </w:p>
    <w:p w14:paraId="256288D1" w14:textId="77777777" w:rsidR="00B078DD" w:rsidRPr="00B078DD" w:rsidRDefault="00B078DD" w:rsidP="008A6767">
      <w:pPr>
        <w:spacing w:line="480" w:lineRule="auto"/>
        <w:rPr>
          <w:rFonts w:cstheme="minorHAnsi"/>
          <w:b/>
          <w:bCs/>
          <w:color w:val="000000"/>
          <w:kern w:val="0"/>
        </w:rPr>
      </w:pPr>
    </w:p>
    <w:p w14:paraId="11A480B6" w14:textId="77777777" w:rsidR="00B078DD" w:rsidRPr="00DE01CA" w:rsidRDefault="00B078DD" w:rsidP="008A6767">
      <w:pPr>
        <w:spacing w:line="480" w:lineRule="auto"/>
        <w:rPr>
          <w:rFonts w:cstheme="minorHAnsi"/>
          <w:b/>
          <w:bCs/>
          <w:color w:val="000000"/>
          <w:kern w:val="0"/>
        </w:rPr>
      </w:pPr>
    </w:p>
    <w:p w14:paraId="4F80F5DE" w14:textId="77777777" w:rsidR="00B078DD" w:rsidRDefault="00B078DD" w:rsidP="008A6767">
      <w:pPr>
        <w:spacing w:line="480" w:lineRule="auto"/>
        <w:rPr>
          <w:rFonts w:ascii="Times New Roman" w:hAnsi="Times New Roman" w:cs="Times New Roman"/>
          <w:b/>
          <w:bCs/>
          <w:color w:val="000000"/>
          <w:kern w:val="0"/>
        </w:rPr>
      </w:pPr>
      <w:r>
        <w:rPr>
          <w:b/>
          <w:bCs/>
        </w:rPr>
        <w:br w:type="page"/>
      </w:r>
    </w:p>
    <w:p w14:paraId="15434C7E" w14:textId="444D8C51" w:rsidR="00567FF6" w:rsidRDefault="00567FF6" w:rsidP="00567FF6">
      <w:pPr>
        <w:pStyle w:val="Default"/>
        <w:jc w:val="both"/>
        <w:rPr>
          <w:b/>
          <w:bCs/>
        </w:rPr>
      </w:pPr>
      <w:r>
        <w:rPr>
          <w:b/>
          <w:bCs/>
        </w:rPr>
        <w:t xml:space="preserve">Figure S1: </w:t>
      </w:r>
    </w:p>
    <w:p w14:paraId="51DA3AB0" w14:textId="5F275D96" w:rsidR="00567FF6" w:rsidRDefault="00B37ABF" w:rsidP="00567FF6">
      <w:pPr>
        <w:pStyle w:val="Default"/>
        <w:jc w:val="both"/>
        <w:rPr>
          <w:b/>
          <w:bCs/>
        </w:rPr>
      </w:pPr>
      <w:r>
        <w:rPr>
          <w:b/>
          <w:bCs/>
          <w:noProof/>
          <w:lang w:val="en-IN" w:eastAsia="en-IN"/>
        </w:rPr>
        <w:drawing>
          <wp:inline distT="0" distB="0" distL="0" distR="0" wp14:anchorId="1C0FD801" wp14:editId="14C443B7">
            <wp:extent cx="2885440" cy="2885440"/>
            <wp:effectExtent l="0" t="0" r="0" b="0"/>
            <wp:docPr id="68012009" name="Picture 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2009" name="Picture 1" descr="A graph of different colored squar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5686" cy="2885686"/>
                    </a:xfrm>
                    <a:prstGeom prst="rect">
                      <a:avLst/>
                    </a:prstGeom>
                  </pic:spPr>
                </pic:pic>
              </a:graphicData>
            </a:graphic>
          </wp:inline>
        </w:drawing>
      </w:r>
      <w:r>
        <w:rPr>
          <w:b/>
          <w:bCs/>
          <w:noProof/>
          <w:lang w:val="en-IN" w:eastAsia="en-IN"/>
        </w:rPr>
        <w:drawing>
          <wp:inline distT="0" distB="0" distL="0" distR="0" wp14:anchorId="043E20C8" wp14:editId="7866A491">
            <wp:extent cx="2895600" cy="2895600"/>
            <wp:effectExtent l="0" t="0" r="0" b="0"/>
            <wp:docPr id="1609504461" name="Picture 3"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04461" name="Picture 3" descr="A graph of different colored squar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00" cy="2895600"/>
                    </a:xfrm>
                    <a:prstGeom prst="rect">
                      <a:avLst/>
                    </a:prstGeom>
                  </pic:spPr>
                </pic:pic>
              </a:graphicData>
            </a:graphic>
          </wp:inline>
        </w:drawing>
      </w:r>
    </w:p>
    <w:p w14:paraId="3C0A65A1" w14:textId="4894474E" w:rsidR="00567FF6" w:rsidRDefault="00567FF6" w:rsidP="00567FF6">
      <w:pPr>
        <w:pStyle w:val="Default"/>
        <w:jc w:val="both"/>
        <w:rPr>
          <w:b/>
          <w:bCs/>
        </w:rPr>
      </w:pPr>
    </w:p>
    <w:p w14:paraId="75E99658" w14:textId="77777777" w:rsidR="00567FF6" w:rsidRDefault="00567FF6" w:rsidP="00567FF6">
      <w:pPr>
        <w:pStyle w:val="Default"/>
        <w:jc w:val="both"/>
        <w:rPr>
          <w:b/>
          <w:bCs/>
        </w:rPr>
      </w:pPr>
    </w:p>
    <w:p w14:paraId="1D39AB67" w14:textId="77777777" w:rsidR="00567FF6" w:rsidRDefault="00567FF6" w:rsidP="00567FF6">
      <w:pPr>
        <w:rPr>
          <w:rFonts w:ascii="Times New Roman" w:hAnsi="Times New Roman" w:cs="Times New Roman"/>
          <w:b/>
          <w:bCs/>
          <w:color w:val="000000"/>
          <w:kern w:val="0"/>
        </w:rPr>
      </w:pPr>
      <w:r>
        <w:rPr>
          <w:b/>
          <w:bCs/>
        </w:rPr>
        <w:br w:type="page"/>
      </w:r>
    </w:p>
    <w:p w14:paraId="48714497" w14:textId="77777777" w:rsidR="00567FF6" w:rsidRDefault="00567FF6" w:rsidP="00567FF6">
      <w:pPr>
        <w:pStyle w:val="Default"/>
        <w:jc w:val="both"/>
        <w:rPr>
          <w:b/>
          <w:bCs/>
        </w:rPr>
      </w:pPr>
      <w:r>
        <w:rPr>
          <w:b/>
          <w:bCs/>
        </w:rPr>
        <w:t>Figure S2:</w:t>
      </w:r>
    </w:p>
    <w:p w14:paraId="3C613B35" w14:textId="4BC8F605" w:rsidR="00567FF6" w:rsidRDefault="00B37ABF" w:rsidP="00567FF6">
      <w:pPr>
        <w:pStyle w:val="Default"/>
        <w:jc w:val="both"/>
        <w:rPr>
          <w:b/>
          <w:bCs/>
        </w:rPr>
      </w:pPr>
      <w:r>
        <w:rPr>
          <w:b/>
          <w:bCs/>
          <w:noProof/>
          <w:lang w:val="en-IN" w:eastAsia="en-IN"/>
        </w:rPr>
        <w:drawing>
          <wp:inline distT="0" distB="0" distL="0" distR="0" wp14:anchorId="7792F8DA" wp14:editId="2BBFCEA0">
            <wp:extent cx="5943600" cy="5943600"/>
            <wp:effectExtent l="0" t="0" r="0" b="0"/>
            <wp:docPr id="425217250" name="Picture 4"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7250" name="Picture 4" descr="A graph showing different colored squar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9293EBC" w14:textId="41AE9E63" w:rsidR="00567FF6" w:rsidRDefault="00567FF6" w:rsidP="00567FF6">
      <w:pPr>
        <w:pStyle w:val="Default"/>
        <w:jc w:val="both"/>
        <w:rPr>
          <w:b/>
          <w:bCs/>
        </w:rPr>
      </w:pPr>
    </w:p>
    <w:p w14:paraId="3E58B45F" w14:textId="77777777" w:rsidR="00567FF6" w:rsidRDefault="00567FF6" w:rsidP="00567FF6">
      <w:pPr>
        <w:rPr>
          <w:rFonts w:ascii="Times New Roman" w:hAnsi="Times New Roman" w:cs="Times New Roman"/>
          <w:b/>
          <w:bCs/>
          <w:color w:val="000000"/>
          <w:kern w:val="0"/>
        </w:rPr>
      </w:pPr>
      <w:r>
        <w:rPr>
          <w:b/>
          <w:bCs/>
        </w:rPr>
        <w:br w:type="page"/>
      </w:r>
    </w:p>
    <w:p w14:paraId="6C0C86F0" w14:textId="77777777" w:rsidR="00567FF6" w:rsidRDefault="00567FF6" w:rsidP="00567FF6">
      <w:pPr>
        <w:pStyle w:val="Default"/>
        <w:jc w:val="both"/>
        <w:rPr>
          <w:b/>
          <w:bCs/>
        </w:rPr>
      </w:pPr>
      <w:r>
        <w:rPr>
          <w:b/>
          <w:bCs/>
        </w:rPr>
        <w:t>Figure S3:</w:t>
      </w:r>
    </w:p>
    <w:p w14:paraId="37A18AA4" w14:textId="39314BA5" w:rsidR="00567FF6" w:rsidRDefault="00B37ABF" w:rsidP="00567FF6">
      <w:pPr>
        <w:pStyle w:val="Default"/>
        <w:jc w:val="both"/>
        <w:rPr>
          <w:b/>
          <w:bCs/>
        </w:rPr>
      </w:pPr>
      <w:r>
        <w:rPr>
          <w:b/>
          <w:bCs/>
          <w:noProof/>
          <w:lang w:val="en-IN" w:eastAsia="en-IN"/>
        </w:rPr>
        <w:drawing>
          <wp:inline distT="0" distB="0" distL="0" distR="0" wp14:anchorId="332FCBD0" wp14:editId="5D4E9BE7">
            <wp:extent cx="5943600" cy="5943600"/>
            <wp:effectExtent l="0" t="0" r="0" b="0"/>
            <wp:docPr id="1155353502" name="Picture 5"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53502" name="Picture 5" descr="A diagram of a graph&#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B508D52" w14:textId="1A2ED10B" w:rsidR="00567FF6" w:rsidRDefault="00567FF6" w:rsidP="00567FF6">
      <w:pPr>
        <w:pStyle w:val="Default"/>
        <w:jc w:val="both"/>
        <w:rPr>
          <w:b/>
          <w:bCs/>
        </w:rPr>
      </w:pPr>
    </w:p>
    <w:p w14:paraId="1BA3DB17" w14:textId="77777777" w:rsidR="00567FF6" w:rsidRDefault="00567FF6" w:rsidP="00F412F4"/>
    <w:p w14:paraId="547B323E" w14:textId="1FB79BAA" w:rsidR="00567FF6" w:rsidRDefault="00567FF6" w:rsidP="00C54644">
      <w:pPr>
        <w:pStyle w:val="Default"/>
        <w:jc w:val="both"/>
        <w:rPr>
          <w:rFonts w:asciiTheme="minorHAnsi" w:hAnsiTheme="minorHAnsi" w:cstheme="minorHAnsi"/>
          <w:color w:val="auto"/>
        </w:rPr>
      </w:pPr>
    </w:p>
    <w:p w14:paraId="57D7E754" w14:textId="77777777" w:rsidR="00784E08" w:rsidRDefault="00784E08" w:rsidP="00C54644">
      <w:pPr>
        <w:pStyle w:val="Default"/>
        <w:jc w:val="both"/>
        <w:rPr>
          <w:rFonts w:asciiTheme="minorHAnsi" w:hAnsiTheme="minorHAnsi" w:cstheme="minorHAnsi"/>
          <w:color w:val="auto"/>
        </w:rPr>
      </w:pPr>
    </w:p>
    <w:p w14:paraId="33A73E7F" w14:textId="4B64A402" w:rsidR="00784E08" w:rsidRPr="00784E08" w:rsidRDefault="00784E08" w:rsidP="00C54644">
      <w:pPr>
        <w:pStyle w:val="Default"/>
        <w:jc w:val="both"/>
        <w:rPr>
          <w:rFonts w:asciiTheme="minorHAnsi" w:hAnsiTheme="minorHAnsi" w:cstheme="minorHAnsi"/>
          <w:b/>
          <w:bCs/>
          <w:color w:val="auto"/>
        </w:rPr>
      </w:pPr>
      <w:bookmarkStart w:id="0" w:name="_GoBack"/>
      <w:bookmarkEnd w:id="0"/>
    </w:p>
    <w:sectPr w:rsidR="00784E08" w:rsidRPr="00784E08" w:rsidSect="006B30E3">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0AD0E" w14:textId="77777777" w:rsidR="008B3EEB" w:rsidRDefault="008B3EEB" w:rsidP="00931E91">
      <w:r>
        <w:separator/>
      </w:r>
    </w:p>
  </w:endnote>
  <w:endnote w:type="continuationSeparator" w:id="0">
    <w:p w14:paraId="432F2DB7" w14:textId="77777777" w:rsidR="008B3EEB" w:rsidRDefault="008B3EEB" w:rsidP="0093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86699363"/>
      <w:docPartObj>
        <w:docPartGallery w:val="Page Numbers (Bottom of Page)"/>
        <w:docPartUnique/>
      </w:docPartObj>
    </w:sdtPr>
    <w:sdtEndPr>
      <w:rPr>
        <w:rStyle w:val="PageNumber"/>
      </w:rPr>
    </w:sdtEndPr>
    <w:sdtContent>
      <w:p w14:paraId="35331BBC" w14:textId="345CB7DB" w:rsidR="00931E91" w:rsidRDefault="00931E91" w:rsidP="00D32F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6F483D" w14:textId="77777777" w:rsidR="00931E91" w:rsidRDefault="00931E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73024509"/>
      <w:docPartObj>
        <w:docPartGallery w:val="Page Numbers (Bottom of Page)"/>
        <w:docPartUnique/>
      </w:docPartObj>
    </w:sdtPr>
    <w:sdtEndPr>
      <w:rPr>
        <w:rStyle w:val="PageNumber"/>
      </w:rPr>
    </w:sdtEndPr>
    <w:sdtContent>
      <w:p w14:paraId="3AC60B95" w14:textId="5271EA90" w:rsidR="00931E91" w:rsidRDefault="00931E91" w:rsidP="00D32F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7071AE" w14:textId="77777777" w:rsidR="00931E91" w:rsidRDefault="00931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08226" w14:textId="77777777" w:rsidR="008B3EEB" w:rsidRDefault="008B3EEB" w:rsidP="00931E91">
      <w:r>
        <w:separator/>
      </w:r>
    </w:p>
  </w:footnote>
  <w:footnote w:type="continuationSeparator" w:id="0">
    <w:p w14:paraId="21E925D0" w14:textId="77777777" w:rsidR="008B3EEB" w:rsidRDefault="008B3EEB" w:rsidP="00931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33"/>
    <w:rsid w:val="00002092"/>
    <w:rsid w:val="000557F7"/>
    <w:rsid w:val="00055D03"/>
    <w:rsid w:val="000B4C6A"/>
    <w:rsid w:val="000C10D2"/>
    <w:rsid w:val="000C2A20"/>
    <w:rsid w:val="001144B5"/>
    <w:rsid w:val="00220863"/>
    <w:rsid w:val="00226ACC"/>
    <w:rsid w:val="00290D33"/>
    <w:rsid w:val="002F25B5"/>
    <w:rsid w:val="00373B2F"/>
    <w:rsid w:val="00375933"/>
    <w:rsid w:val="00396E04"/>
    <w:rsid w:val="00455476"/>
    <w:rsid w:val="004D5EC7"/>
    <w:rsid w:val="004E45D7"/>
    <w:rsid w:val="004F2474"/>
    <w:rsid w:val="00567FF6"/>
    <w:rsid w:val="006150EF"/>
    <w:rsid w:val="006940D8"/>
    <w:rsid w:val="006B30E3"/>
    <w:rsid w:val="006F2799"/>
    <w:rsid w:val="00716ED9"/>
    <w:rsid w:val="00784E08"/>
    <w:rsid w:val="007A5D6B"/>
    <w:rsid w:val="007B312E"/>
    <w:rsid w:val="007F20BA"/>
    <w:rsid w:val="008A6767"/>
    <w:rsid w:val="008B3EEB"/>
    <w:rsid w:val="008F3377"/>
    <w:rsid w:val="009232E4"/>
    <w:rsid w:val="00923FB6"/>
    <w:rsid w:val="00931E91"/>
    <w:rsid w:val="0093777C"/>
    <w:rsid w:val="00943FF0"/>
    <w:rsid w:val="00972E46"/>
    <w:rsid w:val="009C2297"/>
    <w:rsid w:val="00A460B4"/>
    <w:rsid w:val="00AB57C7"/>
    <w:rsid w:val="00B067B2"/>
    <w:rsid w:val="00B078DD"/>
    <w:rsid w:val="00B37ABF"/>
    <w:rsid w:val="00B70A26"/>
    <w:rsid w:val="00B859EF"/>
    <w:rsid w:val="00B97F46"/>
    <w:rsid w:val="00BD2DB7"/>
    <w:rsid w:val="00BF3C19"/>
    <w:rsid w:val="00C54644"/>
    <w:rsid w:val="00C9349F"/>
    <w:rsid w:val="00CF3254"/>
    <w:rsid w:val="00D144FD"/>
    <w:rsid w:val="00D27060"/>
    <w:rsid w:val="00DA1366"/>
    <w:rsid w:val="00DB388F"/>
    <w:rsid w:val="00DC58EE"/>
    <w:rsid w:val="00DD2E7A"/>
    <w:rsid w:val="00DE01CA"/>
    <w:rsid w:val="00DE6C72"/>
    <w:rsid w:val="00E27766"/>
    <w:rsid w:val="00E67C25"/>
    <w:rsid w:val="00EA4F83"/>
    <w:rsid w:val="00EB3AD4"/>
    <w:rsid w:val="00ED413D"/>
    <w:rsid w:val="00F25B4A"/>
    <w:rsid w:val="00F412F4"/>
    <w:rsid w:val="00F47EF6"/>
    <w:rsid w:val="00FB704A"/>
    <w:rsid w:val="00FC656D"/>
    <w:rsid w:val="00FF4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427F"/>
  <w15:docId w15:val="{D07E9F44-0E8D-8047-9B58-29DA0595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FF6"/>
  </w:style>
  <w:style w:type="paragraph" w:styleId="Heading3">
    <w:name w:val="heading 3"/>
    <w:basedOn w:val="Normal"/>
    <w:link w:val="Heading3Char"/>
    <w:uiPriority w:val="9"/>
    <w:qFormat/>
    <w:rsid w:val="006940D8"/>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0D33"/>
    <w:pPr>
      <w:autoSpaceDE w:val="0"/>
      <w:autoSpaceDN w:val="0"/>
      <w:adjustRightInd w:val="0"/>
    </w:pPr>
    <w:rPr>
      <w:rFonts w:ascii="Times New Roman" w:hAnsi="Times New Roman" w:cs="Times New Roman"/>
      <w:color w:val="000000"/>
      <w:kern w:val="0"/>
    </w:rPr>
  </w:style>
  <w:style w:type="paragraph" w:styleId="BodyText">
    <w:name w:val="Body Text"/>
    <w:basedOn w:val="Normal"/>
    <w:link w:val="BodyTextChar"/>
    <w:uiPriority w:val="1"/>
    <w:qFormat/>
    <w:rsid w:val="00DE01CA"/>
    <w:pPr>
      <w:widowControl w:val="0"/>
      <w:autoSpaceDE w:val="0"/>
      <w:autoSpaceDN w:val="0"/>
      <w:ind w:left="100"/>
      <w:jc w:val="both"/>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DE01CA"/>
    <w:rPr>
      <w:rFonts w:ascii="Times New Roman" w:eastAsia="Times New Roman" w:hAnsi="Times New Roman" w:cs="Times New Roman"/>
      <w:kern w:val="0"/>
      <w:sz w:val="20"/>
      <w:szCs w:val="20"/>
      <w14:ligatures w14:val="none"/>
    </w:rPr>
  </w:style>
  <w:style w:type="character" w:customStyle="1" w:styleId="Heading3Char">
    <w:name w:val="Heading 3 Char"/>
    <w:basedOn w:val="DefaultParagraphFont"/>
    <w:link w:val="Heading3"/>
    <w:uiPriority w:val="9"/>
    <w:rsid w:val="006940D8"/>
    <w:rPr>
      <w:rFonts w:ascii="Times New Roman" w:eastAsia="Times New Roman" w:hAnsi="Times New Roman" w:cs="Times New Roman"/>
      <w:b/>
      <w:bCs/>
      <w:kern w:val="0"/>
      <w:sz w:val="27"/>
      <w:szCs w:val="27"/>
      <w14:ligatures w14:val="none"/>
    </w:rPr>
  </w:style>
  <w:style w:type="character" w:customStyle="1" w:styleId="value">
    <w:name w:val="value"/>
    <w:basedOn w:val="DefaultParagraphFont"/>
    <w:rsid w:val="006940D8"/>
  </w:style>
  <w:style w:type="paragraph" w:styleId="Footer">
    <w:name w:val="footer"/>
    <w:basedOn w:val="Normal"/>
    <w:link w:val="FooterChar"/>
    <w:uiPriority w:val="99"/>
    <w:unhideWhenUsed/>
    <w:rsid w:val="00931E91"/>
    <w:pPr>
      <w:tabs>
        <w:tab w:val="center" w:pos="4680"/>
        <w:tab w:val="right" w:pos="9360"/>
      </w:tabs>
    </w:pPr>
  </w:style>
  <w:style w:type="character" w:customStyle="1" w:styleId="FooterChar">
    <w:name w:val="Footer Char"/>
    <w:basedOn w:val="DefaultParagraphFont"/>
    <w:link w:val="Footer"/>
    <w:uiPriority w:val="99"/>
    <w:rsid w:val="00931E91"/>
  </w:style>
  <w:style w:type="character" w:styleId="PageNumber">
    <w:name w:val="page number"/>
    <w:basedOn w:val="DefaultParagraphFont"/>
    <w:uiPriority w:val="99"/>
    <w:semiHidden/>
    <w:unhideWhenUsed/>
    <w:rsid w:val="00931E91"/>
  </w:style>
  <w:style w:type="character" w:styleId="LineNumber">
    <w:name w:val="line number"/>
    <w:basedOn w:val="DefaultParagraphFont"/>
    <w:uiPriority w:val="99"/>
    <w:semiHidden/>
    <w:unhideWhenUsed/>
    <w:rsid w:val="008A6767"/>
  </w:style>
  <w:style w:type="paragraph" w:styleId="Revision">
    <w:name w:val="Revision"/>
    <w:hidden/>
    <w:uiPriority w:val="99"/>
    <w:semiHidden/>
    <w:rsid w:val="0097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293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2336</Words>
  <Characters>13319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Lassiter, John C</dc:creator>
  <cp:keywords/>
  <dc:description/>
  <cp:lastModifiedBy>Paul Alexander D Dennis MP</cp:lastModifiedBy>
  <cp:revision>3</cp:revision>
  <dcterms:created xsi:type="dcterms:W3CDTF">2024-07-04T09:27:00Z</dcterms:created>
  <dcterms:modified xsi:type="dcterms:W3CDTF">2024-08-05T06:02:00Z</dcterms:modified>
</cp:coreProperties>
</file>