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35284" w14:textId="77777777" w:rsidR="00380C33" w:rsidRPr="007D7070" w:rsidRDefault="00380C33" w:rsidP="00380C33">
      <w:pPr>
        <w:pStyle w:val="Level2Headings"/>
        <w:spacing w:before="240" w:after="120" w:line="360" w:lineRule="auto"/>
        <w:rPr>
          <w:rFonts w:cs="Times New Roman"/>
          <w:szCs w:val="24"/>
        </w:rPr>
      </w:pPr>
      <w:r w:rsidRPr="007D7070">
        <w:rPr>
          <w:rFonts w:cs="Times New Roman"/>
          <w:szCs w:val="24"/>
        </w:rPr>
        <w:t xml:space="preserve">Fracture patterns in diaphyseal gunshot trauma: Role of the bullet’s impact point and angle </w:t>
      </w:r>
    </w:p>
    <w:p w14:paraId="0D315A6A" w14:textId="77777777" w:rsidR="00380C33" w:rsidRPr="007338FF" w:rsidRDefault="00380C33" w:rsidP="00380C33">
      <w:pPr>
        <w:spacing w:after="120" w:line="360" w:lineRule="auto"/>
        <w:jc w:val="both"/>
        <w:rPr>
          <w:rFonts w:ascii="Times New Roman" w:eastAsia="Calibri" w:hAnsi="Times New Roman" w:cs="Times New Roman"/>
          <w:vertAlign w:val="superscript"/>
          <w:lang w:val="es-ES"/>
        </w:rPr>
      </w:pPr>
      <w:r w:rsidRPr="007338FF">
        <w:rPr>
          <w:rFonts w:ascii="Times New Roman" w:eastAsia="Calibri" w:hAnsi="Times New Roman" w:cs="Times New Roman"/>
          <w:lang w:val="es-ES"/>
        </w:rPr>
        <w:t>Nathalie Schwab</w:t>
      </w:r>
      <w:r w:rsidRPr="007338FF">
        <w:rPr>
          <w:rFonts w:ascii="Times New Roman" w:eastAsia="Calibri" w:hAnsi="Times New Roman" w:cs="Times New Roman"/>
          <w:vertAlign w:val="superscript"/>
          <w:lang w:val="es-ES"/>
        </w:rPr>
        <w:t>1,2,3</w:t>
      </w:r>
      <w:r w:rsidRPr="007338FF">
        <w:rPr>
          <w:rFonts w:ascii="Times New Roman" w:eastAsia="Calibri" w:hAnsi="Times New Roman" w:cs="Times New Roman"/>
          <w:lang w:val="es-ES"/>
        </w:rPr>
        <w:t>, Doreen Jost</w:t>
      </w:r>
      <w:r w:rsidRPr="007338FF">
        <w:rPr>
          <w:rFonts w:ascii="Times New Roman" w:eastAsia="Calibri" w:hAnsi="Times New Roman" w:cs="Times New Roman"/>
          <w:bCs/>
          <w:vertAlign w:val="superscript"/>
          <w:lang w:val="es-ES"/>
        </w:rPr>
        <w:t>2,4</w:t>
      </w:r>
      <w:r w:rsidRPr="007338FF">
        <w:rPr>
          <w:rFonts w:ascii="Times New Roman" w:eastAsia="Calibri" w:hAnsi="Times New Roman" w:cs="Times New Roman"/>
          <w:lang w:val="es-ES"/>
        </w:rPr>
        <w:t xml:space="preserve">, Xavier </w:t>
      </w:r>
      <w:r w:rsidRPr="007338FF">
        <w:rPr>
          <w:rFonts w:ascii="Times New Roman" w:eastAsia="Calibri" w:hAnsi="Times New Roman" w:cs="Times New Roman"/>
          <w:bCs/>
          <w:lang w:val="es-ES"/>
        </w:rPr>
        <w:t>Jordana*</w:t>
      </w:r>
      <w:r w:rsidRPr="007338FF">
        <w:rPr>
          <w:rFonts w:ascii="Times New Roman" w:eastAsia="Calibri" w:hAnsi="Times New Roman" w:cs="Times New Roman"/>
          <w:bCs/>
          <w:vertAlign w:val="superscript"/>
          <w:lang w:val="es-ES"/>
        </w:rPr>
        <w:t>3,5</w:t>
      </w:r>
      <w:r w:rsidRPr="007338FF">
        <w:rPr>
          <w:rFonts w:ascii="Times New Roman" w:eastAsia="Calibri" w:hAnsi="Times New Roman" w:cs="Times New Roman"/>
          <w:lang w:val="es-ES"/>
        </w:rPr>
        <w:t>, Jordi Monreal</w:t>
      </w:r>
      <w:r w:rsidRPr="007338FF">
        <w:rPr>
          <w:rFonts w:ascii="Times New Roman" w:eastAsia="Calibri" w:hAnsi="Times New Roman" w:cs="Times New Roman"/>
          <w:vertAlign w:val="superscript"/>
          <w:lang w:val="es-ES"/>
        </w:rPr>
        <w:t>6</w:t>
      </w:r>
      <w:r w:rsidRPr="007338FF">
        <w:rPr>
          <w:rFonts w:ascii="Times New Roman" w:eastAsia="Calibri" w:hAnsi="Times New Roman" w:cs="Times New Roman"/>
          <w:lang w:val="es-ES"/>
        </w:rPr>
        <w:t>, Xavier Garrido</w:t>
      </w:r>
      <w:r w:rsidRPr="007338FF">
        <w:rPr>
          <w:rFonts w:ascii="Times New Roman" w:eastAsia="Calibri" w:hAnsi="Times New Roman" w:cs="Times New Roman"/>
          <w:vertAlign w:val="superscript"/>
          <w:lang w:val="es-ES"/>
        </w:rPr>
        <w:t>6</w:t>
      </w:r>
      <w:r w:rsidRPr="007338FF">
        <w:rPr>
          <w:rFonts w:ascii="Times New Roman" w:eastAsia="Calibri" w:hAnsi="Times New Roman" w:cs="Times New Roman"/>
          <w:lang w:val="es-ES"/>
        </w:rPr>
        <w:t>, Pedro Brillas</w:t>
      </w:r>
      <w:r w:rsidRPr="007338FF">
        <w:rPr>
          <w:rFonts w:ascii="Times New Roman" w:eastAsia="Calibri" w:hAnsi="Times New Roman" w:cs="Times New Roman"/>
          <w:vertAlign w:val="superscript"/>
          <w:lang w:val="es-ES"/>
        </w:rPr>
        <w:t>7</w:t>
      </w:r>
      <w:r w:rsidRPr="007338FF">
        <w:rPr>
          <w:rFonts w:ascii="Times New Roman" w:eastAsia="Calibri" w:hAnsi="Times New Roman" w:cs="Times New Roman"/>
          <w:lang w:val="es-ES"/>
        </w:rPr>
        <w:t xml:space="preserve">, Ignasi </w:t>
      </w:r>
      <w:r w:rsidRPr="007338FF">
        <w:rPr>
          <w:rFonts w:ascii="Times New Roman" w:eastAsia="Calibri" w:hAnsi="Times New Roman" w:cs="Times New Roman"/>
          <w:color w:val="000000"/>
          <w:lang w:val="es-ES"/>
        </w:rPr>
        <w:t>Galtés*</w:t>
      </w:r>
      <w:r w:rsidRPr="007338FF">
        <w:rPr>
          <w:rFonts w:ascii="Times New Roman" w:eastAsia="Calibri" w:hAnsi="Times New Roman" w:cs="Times New Roman"/>
          <w:color w:val="000000"/>
          <w:vertAlign w:val="superscript"/>
          <w:lang w:val="es-ES"/>
        </w:rPr>
        <w:t>2,8</w:t>
      </w:r>
    </w:p>
    <w:p w14:paraId="39663A6C" w14:textId="77777777" w:rsidR="00380C33" w:rsidRPr="00400530" w:rsidRDefault="00380C33" w:rsidP="00380C33">
      <w:pPr>
        <w:tabs>
          <w:tab w:val="left" w:pos="4620"/>
        </w:tabs>
        <w:spacing w:before="360" w:after="120" w:line="360" w:lineRule="auto"/>
        <w:rPr>
          <w:rFonts w:ascii="Times New Roman" w:eastAsia="Calibri" w:hAnsi="Times New Roman" w:cs="Times New Roman"/>
          <w:b/>
          <w:sz w:val="24"/>
          <w:szCs w:val="24"/>
        </w:rPr>
      </w:pPr>
      <w:r w:rsidRPr="00400530">
        <w:rPr>
          <w:rFonts w:ascii="Times New Roman" w:eastAsia="Calibri" w:hAnsi="Times New Roman" w:cs="Times New Roman"/>
          <w:b/>
          <w:sz w:val="24"/>
          <w:szCs w:val="24"/>
        </w:rPr>
        <w:t>Affiliations:</w:t>
      </w:r>
    </w:p>
    <w:p w14:paraId="21DC17A1" w14:textId="77777777" w:rsidR="00380C33" w:rsidRPr="00380C33" w:rsidRDefault="00380C33" w:rsidP="00380C33">
      <w:pPr>
        <w:numPr>
          <w:ilvl w:val="0"/>
          <w:numId w:val="6"/>
        </w:numPr>
        <w:spacing w:after="200" w:line="360" w:lineRule="auto"/>
        <w:ind w:left="360"/>
        <w:contextualSpacing/>
        <w:rPr>
          <w:rFonts w:ascii="Times New Roman" w:eastAsia="Calibri" w:hAnsi="Times New Roman" w:cs="Times New Roman"/>
          <w:lang w:val="en-GB"/>
        </w:rPr>
      </w:pPr>
      <w:r w:rsidRPr="00380C33">
        <w:rPr>
          <w:rFonts w:ascii="Times New Roman" w:eastAsia="Calibri" w:hAnsi="Times New Roman" w:cs="Times New Roman"/>
          <w:bCs/>
          <w:lang w:val="en-GB"/>
        </w:rPr>
        <w:t xml:space="preserve">Institute of Legal Medicine </w:t>
      </w:r>
      <w:r w:rsidRPr="00380C33">
        <w:rPr>
          <w:rFonts w:ascii="Times New Roman" w:eastAsia="Calibri" w:hAnsi="Times New Roman" w:cs="Times New Roman"/>
          <w:lang w:val="en-GB"/>
        </w:rPr>
        <w:t xml:space="preserve">St.Gallen, HOCH Health </w:t>
      </w:r>
      <w:r w:rsidRPr="00380C33">
        <w:rPr>
          <w:rFonts w:ascii="Times New Roman" w:eastAsia="Calibri" w:hAnsi="Times New Roman" w:cs="Times New Roman"/>
          <w:bCs/>
          <w:lang w:val="en-GB"/>
        </w:rPr>
        <w:t>Ostschweiz, Cantonal Hospital, University teaching and research hospital, 9007 St.Gallen, Switzerland</w:t>
      </w:r>
    </w:p>
    <w:p w14:paraId="13833F87" w14:textId="77777777" w:rsidR="00380C33" w:rsidRPr="00380C33" w:rsidRDefault="00380C33" w:rsidP="00380C33">
      <w:pPr>
        <w:numPr>
          <w:ilvl w:val="0"/>
          <w:numId w:val="6"/>
        </w:numPr>
        <w:spacing w:after="200" w:line="360" w:lineRule="auto"/>
        <w:ind w:left="360"/>
        <w:contextualSpacing/>
        <w:rPr>
          <w:rFonts w:ascii="Times New Roman" w:eastAsia="Calibri" w:hAnsi="Times New Roman" w:cs="Times New Roman"/>
          <w:lang w:val="en-GB"/>
        </w:rPr>
      </w:pPr>
      <w:r w:rsidRPr="00380C33">
        <w:rPr>
          <w:rFonts w:ascii="Times New Roman" w:eastAsia="Calibri" w:hAnsi="Times New Roman" w:cs="Times New Roman"/>
          <w:lang w:val="en-GB"/>
        </w:rPr>
        <w:t>Forensic Anthropology Unit, Forensic Pathology Service</w:t>
      </w:r>
      <w:r w:rsidRPr="00380C33">
        <w:rPr>
          <w:rFonts w:ascii="Times New Roman" w:eastAsia="Calibri" w:hAnsi="Times New Roman" w:cs="Times New Roman"/>
          <w:bCs/>
          <w:lang w:val="en-GB"/>
        </w:rPr>
        <w:t>, Catalonian Institute of Legal Medicine and Forensic Science</w:t>
      </w:r>
      <w:r w:rsidRPr="00380C33">
        <w:rPr>
          <w:rFonts w:ascii="Times New Roman" w:eastAsia="Calibri" w:hAnsi="Times New Roman" w:cs="Times New Roman"/>
          <w:lang w:val="en-GB"/>
        </w:rPr>
        <w:t xml:space="preserve"> (IMLCFC), Ciutat de la Justícia, Gran Via de les Corts Catalanes, 111 Edifci G, 08075 Barcelona, Spain </w:t>
      </w:r>
    </w:p>
    <w:p w14:paraId="2D28CED3" w14:textId="77777777" w:rsidR="00380C33" w:rsidRPr="00380C33" w:rsidRDefault="00380C33" w:rsidP="00380C33">
      <w:pPr>
        <w:numPr>
          <w:ilvl w:val="0"/>
          <w:numId w:val="6"/>
        </w:numPr>
        <w:spacing w:after="200" w:line="360" w:lineRule="auto"/>
        <w:ind w:left="360"/>
        <w:contextualSpacing/>
        <w:rPr>
          <w:rFonts w:ascii="Times New Roman" w:eastAsia="Calibri" w:hAnsi="Times New Roman" w:cs="Times New Roman"/>
          <w:lang w:val="en-GB"/>
        </w:rPr>
      </w:pPr>
      <w:r w:rsidRPr="00380C33">
        <w:rPr>
          <w:rFonts w:ascii="Times New Roman" w:eastAsia="Calibri" w:hAnsi="Times New Roman" w:cs="Times New Roman"/>
          <w:lang w:val="en-GB"/>
        </w:rPr>
        <w:t>Biological Anthropology Unit, Department of Animal Biology, Plant Biology and Ecology, Faculty of Biosciences, Universitat Autònoma de Barcelona, Cerdanyola del Vallès, 08193 Barcelona, Catalonia, Spain</w:t>
      </w:r>
    </w:p>
    <w:p w14:paraId="119331A6" w14:textId="77777777" w:rsidR="00380C33" w:rsidRPr="00380C33" w:rsidRDefault="00380C33" w:rsidP="00380C33">
      <w:pPr>
        <w:numPr>
          <w:ilvl w:val="0"/>
          <w:numId w:val="6"/>
        </w:numPr>
        <w:spacing w:after="200" w:line="360" w:lineRule="auto"/>
        <w:ind w:left="360"/>
        <w:contextualSpacing/>
        <w:rPr>
          <w:rFonts w:ascii="Times New Roman" w:eastAsia="Calibri" w:hAnsi="Times New Roman" w:cs="Times New Roman"/>
          <w:lang w:val="en-GB"/>
        </w:rPr>
      </w:pPr>
      <w:r w:rsidRPr="00380C33">
        <w:rPr>
          <w:rFonts w:ascii="Times New Roman" w:eastAsia="Calibri" w:hAnsi="Times New Roman" w:cs="Times New Roman"/>
          <w:lang w:val="en-GB"/>
        </w:rPr>
        <w:t>Institute for Interdisciplinary Studies, Faculty of Science, University of Amsterdam, Science Park 904, 1098 XH Amsterdam, The Netherlands</w:t>
      </w:r>
    </w:p>
    <w:p w14:paraId="56E45B3C" w14:textId="77777777" w:rsidR="00380C33" w:rsidRPr="007338FF" w:rsidRDefault="00380C33" w:rsidP="00380C33">
      <w:pPr>
        <w:numPr>
          <w:ilvl w:val="0"/>
          <w:numId w:val="6"/>
        </w:numPr>
        <w:spacing w:after="200" w:line="360" w:lineRule="auto"/>
        <w:ind w:left="360"/>
        <w:contextualSpacing/>
        <w:rPr>
          <w:rFonts w:ascii="Times New Roman" w:eastAsia="Calibri" w:hAnsi="Times New Roman" w:cs="Times New Roman"/>
          <w:lang w:val="es-ES"/>
        </w:rPr>
      </w:pPr>
      <w:r w:rsidRPr="007338FF">
        <w:rPr>
          <w:rFonts w:ascii="Times New Roman" w:eastAsia="Calibri" w:hAnsi="Times New Roman" w:cs="Times New Roman"/>
          <w:lang w:val="es-ES"/>
        </w:rPr>
        <w:t xml:space="preserve">Tissue Repair and Regeneration Laboratory (TR2Lab), Institut de Recerca i Innovació en Ciències de la Vida i de la Salut a la Catalunya Central (IrisCC), Ctra. de Roda, 08500 Vic, Barcelona, Spain </w:t>
      </w:r>
    </w:p>
    <w:p w14:paraId="118CF3E7" w14:textId="77777777" w:rsidR="00380C33" w:rsidRPr="007D7070" w:rsidRDefault="00380C33" w:rsidP="00380C33">
      <w:pPr>
        <w:numPr>
          <w:ilvl w:val="0"/>
          <w:numId w:val="6"/>
        </w:numPr>
        <w:spacing w:after="200" w:line="360" w:lineRule="auto"/>
        <w:ind w:left="360"/>
        <w:contextualSpacing/>
        <w:rPr>
          <w:rFonts w:ascii="Times New Roman" w:eastAsia="Calibri" w:hAnsi="Times New Roman" w:cs="Times New Roman"/>
        </w:rPr>
      </w:pPr>
      <w:r w:rsidRPr="007D7070">
        <w:rPr>
          <w:rFonts w:ascii="Times New Roman" w:eastAsia="Calibri" w:hAnsi="Times New Roman" w:cs="Times New Roman"/>
        </w:rPr>
        <w:t>Mossos d’Esquadra, Unitat Central de Balística i Traces Instrumentals, Av. de la Pau, 12, 08206 Sabadell, Barcelona, Spain</w:t>
      </w:r>
    </w:p>
    <w:p w14:paraId="677595FE" w14:textId="77777777" w:rsidR="00380C33" w:rsidRPr="007D7070" w:rsidRDefault="00380C33" w:rsidP="00380C33">
      <w:pPr>
        <w:numPr>
          <w:ilvl w:val="0"/>
          <w:numId w:val="6"/>
        </w:numPr>
        <w:spacing w:after="200" w:line="360" w:lineRule="auto"/>
        <w:ind w:left="354" w:hanging="357"/>
        <w:contextualSpacing/>
        <w:rPr>
          <w:rFonts w:ascii="Times New Roman" w:eastAsia="Calibri" w:hAnsi="Times New Roman" w:cs="Times New Roman"/>
        </w:rPr>
      </w:pPr>
      <w:r w:rsidRPr="007D7070">
        <w:rPr>
          <w:rFonts w:ascii="Times New Roman" w:eastAsia="Calibri" w:hAnsi="Times New Roman" w:cs="Times New Roman"/>
        </w:rPr>
        <w:t>Donor Center Barcelona Tissue Bank (BTB), Hospital Clínic de Barcelona, C/Villarroel 170, Escala 12 Planta 4, 08036 Barcelona, Spain</w:t>
      </w:r>
    </w:p>
    <w:p w14:paraId="25083081" w14:textId="77777777" w:rsidR="00380C33" w:rsidRPr="00380C33" w:rsidRDefault="00380C33" w:rsidP="00380C33">
      <w:pPr>
        <w:numPr>
          <w:ilvl w:val="0"/>
          <w:numId w:val="6"/>
        </w:numPr>
        <w:spacing w:after="120" w:line="360" w:lineRule="auto"/>
        <w:ind w:left="357" w:hanging="357"/>
        <w:contextualSpacing/>
        <w:rPr>
          <w:rFonts w:ascii="Times New Roman" w:eastAsia="Calibri" w:hAnsi="Times New Roman" w:cs="Times New Roman"/>
          <w:lang w:val="en-GB"/>
        </w:rPr>
      </w:pPr>
      <w:r w:rsidRPr="00380C33">
        <w:rPr>
          <w:rFonts w:ascii="Times New Roman" w:eastAsia="Calibri" w:hAnsi="Times New Roman" w:cs="Times New Roman"/>
          <w:lang w:val="en-GB"/>
        </w:rPr>
        <w:t>Research Group of Biological Anthropology (GREAB), Biological Anthropology Unit, BABVE Department, Universitat Autònoma de Barcelona (UAB), Cerdanyola del Vallès, 08193 Bellaterra, Catalonia, Spain</w:t>
      </w:r>
    </w:p>
    <w:p w14:paraId="463988AC" w14:textId="77777777" w:rsidR="00380C33" w:rsidRPr="00380C33" w:rsidRDefault="00380C33" w:rsidP="00380C33">
      <w:pPr>
        <w:spacing w:after="120" w:line="360" w:lineRule="auto"/>
        <w:contextualSpacing/>
        <w:rPr>
          <w:rFonts w:ascii="Times New Roman" w:eastAsia="Calibri" w:hAnsi="Times New Roman" w:cs="Times New Roman"/>
          <w:lang w:val="en-GB"/>
        </w:rPr>
      </w:pPr>
    </w:p>
    <w:p w14:paraId="283D1716" w14:textId="77777777" w:rsidR="00380C33" w:rsidRPr="003962AC" w:rsidRDefault="00380C33" w:rsidP="00380C33">
      <w:pPr>
        <w:tabs>
          <w:tab w:val="left" w:pos="4620"/>
        </w:tabs>
        <w:spacing w:before="360" w:after="120" w:line="360" w:lineRule="auto"/>
        <w:jc w:val="both"/>
        <w:rPr>
          <w:rFonts w:ascii="Times New Roman" w:eastAsia="Calibri" w:hAnsi="Times New Roman" w:cs="Times New Roman"/>
          <w:b/>
          <w:sz w:val="24"/>
          <w:szCs w:val="24"/>
          <w:lang w:val="en-GB"/>
        </w:rPr>
      </w:pPr>
      <w:r w:rsidRPr="003962AC">
        <w:rPr>
          <w:rFonts w:ascii="Times New Roman" w:eastAsia="Calibri" w:hAnsi="Times New Roman" w:cs="Times New Roman"/>
          <w:b/>
          <w:sz w:val="24"/>
          <w:szCs w:val="24"/>
          <w:lang w:val="en-GB"/>
        </w:rPr>
        <w:t xml:space="preserve">*Corresponding authors: </w:t>
      </w:r>
    </w:p>
    <w:p w14:paraId="4AAB7059" w14:textId="77777777" w:rsidR="00380C33" w:rsidRPr="003962AC" w:rsidRDefault="00380C33" w:rsidP="00380C33">
      <w:pPr>
        <w:spacing w:line="360" w:lineRule="auto"/>
        <w:jc w:val="both"/>
        <w:rPr>
          <w:rFonts w:ascii="Times New Roman" w:eastAsia="Calibri" w:hAnsi="Times New Roman" w:cs="Times New Roman"/>
          <w:b/>
          <w:bCs/>
          <w:lang w:val="en-GB"/>
        </w:rPr>
      </w:pPr>
      <w:r w:rsidRPr="003962AC">
        <w:rPr>
          <w:rFonts w:ascii="Times New Roman" w:eastAsia="Calibri" w:hAnsi="Times New Roman" w:cs="Times New Roman"/>
          <w:b/>
          <w:bCs/>
          <w:lang w:val="en-GB"/>
        </w:rPr>
        <w:t>Ignasi Galtés</w:t>
      </w:r>
    </w:p>
    <w:p w14:paraId="2E01D981" w14:textId="77777777" w:rsidR="00380C33" w:rsidRPr="003962AC" w:rsidRDefault="00380C33" w:rsidP="00380C33">
      <w:pPr>
        <w:spacing w:line="360" w:lineRule="auto"/>
        <w:jc w:val="both"/>
        <w:rPr>
          <w:rFonts w:ascii="Times New Roman" w:eastAsia="Calibri" w:hAnsi="Times New Roman" w:cs="Times New Roman"/>
          <w:bCs/>
          <w:color w:val="0000FF"/>
          <w:u w:val="single"/>
          <w:lang w:val="en-GB"/>
        </w:rPr>
      </w:pPr>
      <w:r w:rsidRPr="003962AC">
        <w:rPr>
          <w:rFonts w:ascii="Times New Roman" w:eastAsia="Calibri" w:hAnsi="Times New Roman" w:cs="Times New Roman"/>
          <w:bCs/>
          <w:lang w:val="en-GB"/>
        </w:rPr>
        <w:t xml:space="preserve">E-mail: </w:t>
      </w:r>
      <w:hyperlink r:id="rId5" w:history="1">
        <w:r w:rsidRPr="003962AC">
          <w:rPr>
            <w:rFonts w:ascii="Times New Roman" w:eastAsia="Calibri" w:hAnsi="Times New Roman" w:cs="Times New Roman"/>
            <w:bCs/>
            <w:color w:val="0000FF"/>
            <w:u w:val="single"/>
            <w:lang w:val="en-GB"/>
          </w:rPr>
          <w:t>ignasigaltes@gmail.com</w:t>
        </w:r>
      </w:hyperlink>
    </w:p>
    <w:p w14:paraId="1801F52B" w14:textId="77777777" w:rsidR="00380C33" w:rsidRPr="003962AC" w:rsidRDefault="00380C33" w:rsidP="00380C33">
      <w:pPr>
        <w:spacing w:line="360" w:lineRule="auto"/>
        <w:jc w:val="both"/>
        <w:rPr>
          <w:rFonts w:ascii="Times New Roman" w:eastAsia="Calibri" w:hAnsi="Times New Roman" w:cs="Times New Roman"/>
          <w:b/>
          <w:bCs/>
          <w:lang w:val="en-GB"/>
        </w:rPr>
      </w:pPr>
    </w:p>
    <w:p w14:paraId="1E273B27" w14:textId="77777777" w:rsidR="00380C33" w:rsidRPr="007338FF" w:rsidRDefault="00380C33" w:rsidP="00380C33">
      <w:pPr>
        <w:spacing w:line="360" w:lineRule="auto"/>
        <w:jc w:val="both"/>
        <w:rPr>
          <w:rFonts w:ascii="Times New Roman" w:eastAsia="Calibri" w:hAnsi="Times New Roman" w:cs="Times New Roman"/>
          <w:b/>
          <w:bCs/>
          <w:lang w:val="es-ES"/>
        </w:rPr>
      </w:pPr>
      <w:r w:rsidRPr="007338FF">
        <w:rPr>
          <w:rFonts w:ascii="Times New Roman" w:eastAsia="Calibri" w:hAnsi="Times New Roman" w:cs="Times New Roman"/>
          <w:b/>
          <w:bCs/>
          <w:lang w:val="es-ES"/>
        </w:rPr>
        <w:t>Xavier Jordana</w:t>
      </w:r>
    </w:p>
    <w:p w14:paraId="62151A69" w14:textId="77777777" w:rsidR="00380C33" w:rsidRPr="007338FF" w:rsidRDefault="00380C33" w:rsidP="00380C33">
      <w:pPr>
        <w:pStyle w:val="Level2Headings"/>
        <w:spacing w:after="0" w:line="360" w:lineRule="auto"/>
        <w:rPr>
          <w:rFonts w:cs="Times New Roman"/>
          <w:b w:val="0"/>
          <w:bCs/>
          <w:sz w:val="22"/>
          <w:lang w:val="es-ES"/>
        </w:rPr>
      </w:pPr>
      <w:r w:rsidRPr="007338FF">
        <w:rPr>
          <w:rFonts w:eastAsia="Calibri" w:cs="Times New Roman"/>
          <w:b w:val="0"/>
          <w:bCs/>
          <w:sz w:val="22"/>
          <w:lang w:val="es-ES"/>
        </w:rPr>
        <w:t xml:space="preserve">E-mail: </w:t>
      </w:r>
      <w:hyperlink r:id="rId6" w:history="1">
        <w:r w:rsidRPr="007338FF">
          <w:rPr>
            <w:rFonts w:eastAsia="Calibri" w:cs="Times New Roman"/>
            <w:b w:val="0"/>
            <w:bCs/>
            <w:color w:val="0000FF"/>
            <w:sz w:val="22"/>
            <w:u w:val="single"/>
            <w:lang w:val="es-ES"/>
          </w:rPr>
          <w:t>xavier.jordana@uab.cat</w:t>
        </w:r>
      </w:hyperlink>
    </w:p>
    <w:p w14:paraId="5EA326C7" w14:textId="75AEAAC3" w:rsidR="0024216B" w:rsidRDefault="0024216B">
      <w:pPr>
        <w:rPr>
          <w:rFonts w:ascii="Times New Roman" w:hAnsi="Times New Roman" w:cs="Times New Roman"/>
          <w:lang w:val="es-ES"/>
        </w:rPr>
      </w:pPr>
      <w:r>
        <w:rPr>
          <w:rFonts w:ascii="Times New Roman" w:hAnsi="Times New Roman" w:cs="Times New Roman"/>
          <w:lang w:val="es-ES"/>
        </w:rPr>
        <w:br w:type="page"/>
      </w:r>
    </w:p>
    <w:p w14:paraId="34138B11" w14:textId="77777777" w:rsidR="00EF5476" w:rsidRPr="008B5636" w:rsidRDefault="00EF5476" w:rsidP="00E75D2D">
      <w:pPr>
        <w:pStyle w:val="Text"/>
        <w:spacing w:before="240" w:after="240" w:line="240" w:lineRule="auto"/>
        <w:ind w:firstLine="0"/>
        <w:rPr>
          <w:rFonts w:cs="Times New Roman"/>
          <w:b/>
          <w:sz w:val="22"/>
          <w:szCs w:val="20"/>
        </w:rPr>
      </w:pPr>
      <w:bookmarkStart w:id="0" w:name="_GoBack"/>
      <w:bookmarkEnd w:id="0"/>
      <w:r w:rsidRPr="008B5636">
        <w:rPr>
          <w:rFonts w:cs="Times New Roman"/>
          <w:b/>
          <w:sz w:val="22"/>
          <w:szCs w:val="20"/>
        </w:rPr>
        <w:lastRenderedPageBreak/>
        <w:t>Online Resources 1a-c</w:t>
      </w:r>
    </w:p>
    <w:p w14:paraId="6CCADECB" w14:textId="77777777" w:rsidR="00EF5476" w:rsidRPr="00590C76" w:rsidRDefault="00EF5476" w:rsidP="00E75D2D">
      <w:pPr>
        <w:pStyle w:val="Text"/>
        <w:spacing w:before="240" w:after="240" w:line="240" w:lineRule="auto"/>
        <w:ind w:firstLine="0"/>
        <w:rPr>
          <w:rFonts w:cs="Times New Roman"/>
          <w:b/>
          <w:sz w:val="20"/>
          <w:szCs w:val="20"/>
        </w:rPr>
      </w:pPr>
    </w:p>
    <w:p w14:paraId="3DD206DC" w14:textId="77777777" w:rsidR="00E75D2D" w:rsidRPr="00590C76" w:rsidRDefault="00EF5476" w:rsidP="00E75D2D">
      <w:pPr>
        <w:pStyle w:val="Text"/>
        <w:spacing w:before="240" w:after="240" w:line="240" w:lineRule="auto"/>
        <w:ind w:firstLine="0"/>
        <w:rPr>
          <w:rFonts w:cs="Times New Roman"/>
          <w:b/>
          <w:sz w:val="20"/>
          <w:szCs w:val="20"/>
        </w:rPr>
      </w:pPr>
      <w:r w:rsidRPr="00590C76">
        <w:rPr>
          <w:rFonts w:cs="Times New Roman"/>
          <w:b/>
          <w:sz w:val="20"/>
          <w:szCs w:val="20"/>
        </w:rPr>
        <w:t xml:space="preserve">1a </w:t>
      </w:r>
      <w:r w:rsidR="00590C76" w:rsidRPr="00590C76">
        <w:rPr>
          <w:rFonts w:cs="Times New Roman"/>
          <w:b/>
          <w:sz w:val="20"/>
          <w:szCs w:val="20"/>
        </w:rPr>
        <w:t>Definition of the cortical e</w:t>
      </w:r>
      <w:r w:rsidR="00590C76">
        <w:rPr>
          <w:rFonts w:cs="Times New Roman"/>
          <w:b/>
          <w:sz w:val="20"/>
          <w:szCs w:val="20"/>
        </w:rPr>
        <w:t>ntrance traits</w:t>
      </w:r>
    </w:p>
    <w:tbl>
      <w:tblPr>
        <w:tblStyle w:val="Tabellenraster"/>
        <w:tblW w:w="0" w:type="auto"/>
        <w:tblLook w:val="04A0" w:firstRow="1" w:lastRow="0" w:firstColumn="1" w:lastColumn="0" w:noHBand="0" w:noVBand="1"/>
      </w:tblPr>
      <w:tblGrid>
        <w:gridCol w:w="2403"/>
        <w:gridCol w:w="6623"/>
      </w:tblGrid>
      <w:tr w:rsidR="00E75D2D" w14:paraId="5EBE793A" w14:textId="77777777" w:rsidTr="008F059E">
        <w:trPr>
          <w:trHeight w:val="567"/>
        </w:trPr>
        <w:tc>
          <w:tcPr>
            <w:tcW w:w="2403" w:type="dxa"/>
            <w:tcBorders>
              <w:left w:val="nil"/>
              <w:bottom w:val="single" w:sz="8" w:space="0" w:color="auto"/>
              <w:right w:val="nil"/>
            </w:tcBorders>
            <w:vAlign w:val="center"/>
          </w:tcPr>
          <w:p w14:paraId="3D5DFC2A" w14:textId="77777777" w:rsidR="00E75D2D" w:rsidRPr="00733C8A" w:rsidRDefault="00E75D2D" w:rsidP="008F059E">
            <w:pPr>
              <w:spacing w:after="120"/>
              <w:rPr>
                <w:rFonts w:ascii="Times New Roman" w:hAnsi="Times New Roman" w:cs="Times New Roman"/>
                <w:b/>
                <w:i/>
                <w:iCs/>
                <w:sz w:val="20"/>
                <w:szCs w:val="20"/>
              </w:rPr>
            </w:pPr>
            <w:r w:rsidRPr="00733C8A">
              <w:rPr>
                <w:rFonts w:ascii="Times New Roman" w:hAnsi="Times New Roman" w:cs="Times New Roman"/>
                <w:b/>
                <w:i/>
                <w:iCs/>
                <w:sz w:val="20"/>
                <w:szCs w:val="20"/>
              </w:rPr>
              <w:t>Entrance trait</w:t>
            </w:r>
          </w:p>
        </w:tc>
        <w:tc>
          <w:tcPr>
            <w:tcW w:w="6623" w:type="dxa"/>
            <w:tcBorders>
              <w:left w:val="nil"/>
              <w:bottom w:val="single" w:sz="8" w:space="0" w:color="auto"/>
              <w:right w:val="nil"/>
            </w:tcBorders>
            <w:vAlign w:val="center"/>
          </w:tcPr>
          <w:p w14:paraId="599FB3B8" w14:textId="77777777" w:rsidR="00E75D2D" w:rsidRPr="00733C8A" w:rsidRDefault="00E75D2D" w:rsidP="008F059E">
            <w:pPr>
              <w:spacing w:after="120"/>
              <w:jc w:val="both"/>
              <w:rPr>
                <w:rFonts w:ascii="Times New Roman" w:hAnsi="Times New Roman" w:cs="Times New Roman"/>
                <w:b/>
                <w:bCs/>
                <w:i/>
                <w:iCs/>
                <w:sz w:val="20"/>
                <w:szCs w:val="20"/>
              </w:rPr>
            </w:pPr>
            <w:r w:rsidRPr="00733C8A">
              <w:rPr>
                <w:rFonts w:ascii="Times New Roman" w:hAnsi="Times New Roman" w:cs="Times New Roman"/>
                <w:b/>
                <w:bCs/>
                <w:i/>
                <w:iCs/>
                <w:sz w:val="20"/>
                <w:szCs w:val="20"/>
              </w:rPr>
              <w:t>Definition</w:t>
            </w:r>
          </w:p>
        </w:tc>
      </w:tr>
      <w:tr w:rsidR="00E75D2D" w:rsidRPr="0024216B" w14:paraId="7B926505" w14:textId="77777777" w:rsidTr="008F059E">
        <w:trPr>
          <w:trHeight w:val="449"/>
        </w:trPr>
        <w:tc>
          <w:tcPr>
            <w:tcW w:w="2403" w:type="dxa"/>
            <w:tcBorders>
              <w:top w:val="single" w:sz="8" w:space="0" w:color="auto"/>
              <w:left w:val="nil"/>
              <w:bottom w:val="single" w:sz="2" w:space="0" w:color="auto"/>
              <w:right w:val="nil"/>
            </w:tcBorders>
            <w:vAlign w:val="center"/>
          </w:tcPr>
          <w:p w14:paraId="4C3D88AD"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Round entry hole</w:t>
            </w:r>
          </w:p>
        </w:tc>
        <w:tc>
          <w:tcPr>
            <w:tcW w:w="6623" w:type="dxa"/>
            <w:tcBorders>
              <w:top w:val="single" w:sz="8" w:space="0" w:color="auto"/>
              <w:left w:val="nil"/>
              <w:bottom w:val="single" w:sz="2" w:space="0" w:color="auto"/>
              <w:right w:val="nil"/>
            </w:tcBorders>
            <w:vAlign w:val="center"/>
          </w:tcPr>
          <w:p w14:paraId="6FB1302F"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The projectile’s initial entry defect appearing visually round.</w:t>
            </w:r>
          </w:p>
        </w:tc>
      </w:tr>
      <w:tr w:rsidR="00E75D2D" w:rsidRPr="0024216B" w14:paraId="28E4C36B" w14:textId="77777777" w:rsidTr="008F059E">
        <w:trPr>
          <w:trHeight w:val="570"/>
        </w:trPr>
        <w:tc>
          <w:tcPr>
            <w:tcW w:w="2403" w:type="dxa"/>
            <w:tcBorders>
              <w:top w:val="single" w:sz="2" w:space="0" w:color="auto"/>
              <w:left w:val="nil"/>
              <w:right w:val="nil"/>
            </w:tcBorders>
            <w:vAlign w:val="center"/>
          </w:tcPr>
          <w:p w14:paraId="3A3A6B06"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Radiating fracture</w:t>
            </w:r>
          </w:p>
        </w:tc>
        <w:tc>
          <w:tcPr>
            <w:tcW w:w="6623" w:type="dxa"/>
            <w:tcBorders>
              <w:top w:val="single" w:sz="2" w:space="0" w:color="auto"/>
              <w:left w:val="nil"/>
              <w:right w:val="nil"/>
            </w:tcBorders>
            <w:vAlign w:val="center"/>
          </w:tcPr>
          <w:p w14:paraId="6E28A8E8"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Longitudinal, transversal or oblique fractures that radiate away from the entry hole.</w:t>
            </w:r>
          </w:p>
        </w:tc>
      </w:tr>
      <w:tr w:rsidR="00E75D2D" w:rsidRPr="0024216B" w14:paraId="637DB86E" w14:textId="77777777" w:rsidTr="008F059E">
        <w:trPr>
          <w:trHeight w:val="842"/>
        </w:trPr>
        <w:tc>
          <w:tcPr>
            <w:tcW w:w="2403" w:type="dxa"/>
            <w:tcBorders>
              <w:left w:val="nil"/>
              <w:right w:val="nil"/>
            </w:tcBorders>
            <w:vAlign w:val="center"/>
          </w:tcPr>
          <w:p w14:paraId="6B29B284"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Concentric fracture</w:t>
            </w:r>
          </w:p>
          <w:p w14:paraId="39B25934" w14:textId="77777777" w:rsidR="00E75D2D" w:rsidRPr="00733C8A" w:rsidRDefault="00E75D2D" w:rsidP="008F059E">
            <w:pPr>
              <w:rPr>
                <w:rFonts w:ascii="Times New Roman" w:hAnsi="Times New Roman" w:cs="Times New Roman"/>
                <w:sz w:val="20"/>
                <w:szCs w:val="20"/>
              </w:rPr>
            </w:pPr>
          </w:p>
        </w:tc>
        <w:tc>
          <w:tcPr>
            <w:tcW w:w="6623" w:type="dxa"/>
            <w:tcBorders>
              <w:left w:val="nil"/>
              <w:right w:val="nil"/>
            </w:tcBorders>
            <w:vAlign w:val="center"/>
          </w:tcPr>
          <w:p w14:paraId="0A15056C"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 xml:space="preserve">Curvilinear fractures facing with their concave aspect towards the entry hole. They </w:t>
            </w:r>
            <w:r>
              <w:rPr>
                <w:rFonts w:ascii="Times New Roman" w:hAnsi="Times New Roman" w:cs="Times New Roman"/>
                <w:sz w:val="20"/>
                <w:szCs w:val="20"/>
              </w:rPr>
              <w:t>can be</w:t>
            </w:r>
            <w:r w:rsidRPr="00733C8A">
              <w:rPr>
                <w:rFonts w:ascii="Times New Roman" w:hAnsi="Times New Roman" w:cs="Times New Roman"/>
                <w:sz w:val="20"/>
                <w:szCs w:val="20"/>
              </w:rPr>
              <w:t xml:space="preserve"> divided into transversal or longitudinal ones. The first occurs proximal/distal to the entry hole, the second on the sides of the entry hole.</w:t>
            </w:r>
          </w:p>
        </w:tc>
      </w:tr>
      <w:tr w:rsidR="00E75D2D" w:rsidRPr="0024216B" w14:paraId="72D1AAED" w14:textId="77777777" w:rsidTr="008F059E">
        <w:trPr>
          <w:trHeight w:val="405"/>
        </w:trPr>
        <w:tc>
          <w:tcPr>
            <w:tcW w:w="2403" w:type="dxa"/>
            <w:tcBorders>
              <w:left w:val="nil"/>
              <w:right w:val="nil"/>
            </w:tcBorders>
            <w:vAlign w:val="center"/>
          </w:tcPr>
          <w:p w14:paraId="691936A4"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V-shape</w:t>
            </w:r>
          </w:p>
        </w:tc>
        <w:tc>
          <w:tcPr>
            <w:tcW w:w="6623" w:type="dxa"/>
            <w:tcBorders>
              <w:left w:val="nil"/>
              <w:right w:val="nil"/>
            </w:tcBorders>
            <w:vAlign w:val="center"/>
          </w:tcPr>
          <w:p w14:paraId="075213E3" w14:textId="77777777" w:rsidR="00E75D2D" w:rsidRPr="004B772F" w:rsidRDefault="00E75D2D" w:rsidP="008F059E">
            <w:pPr>
              <w:jc w:val="both"/>
              <w:rPr>
                <w:rFonts w:ascii="Times New Roman" w:hAnsi="Times New Roman" w:cs="Times New Roman"/>
                <w:sz w:val="20"/>
                <w:szCs w:val="20"/>
              </w:rPr>
            </w:pPr>
            <w:r w:rsidRPr="004B772F">
              <w:rPr>
                <w:rFonts w:ascii="Times New Roman" w:hAnsi="Times New Roman" w:cs="Times New Roman"/>
                <w:sz w:val="20"/>
                <w:szCs w:val="20"/>
              </w:rPr>
              <w:t xml:space="preserve">Describes the </w:t>
            </w:r>
            <w:r>
              <w:rPr>
                <w:rFonts w:ascii="Times New Roman" w:hAnsi="Times New Roman" w:cs="Times New Roman"/>
                <w:sz w:val="20"/>
                <w:szCs w:val="20"/>
              </w:rPr>
              <w:t>shape of the shaft proximal/distal to the bullet entry/trajectory.</w:t>
            </w:r>
          </w:p>
        </w:tc>
      </w:tr>
      <w:tr w:rsidR="00E75D2D" w:rsidRPr="0024216B" w14:paraId="34CC7E91" w14:textId="77777777" w:rsidTr="008F059E">
        <w:trPr>
          <w:trHeight w:val="836"/>
        </w:trPr>
        <w:tc>
          <w:tcPr>
            <w:tcW w:w="2403" w:type="dxa"/>
            <w:tcBorders>
              <w:left w:val="nil"/>
              <w:right w:val="nil"/>
            </w:tcBorders>
            <w:vAlign w:val="center"/>
          </w:tcPr>
          <w:p w14:paraId="70974087"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Ring defect</w:t>
            </w:r>
          </w:p>
        </w:tc>
        <w:tc>
          <w:tcPr>
            <w:tcW w:w="6623" w:type="dxa"/>
            <w:tcBorders>
              <w:left w:val="nil"/>
              <w:right w:val="nil"/>
            </w:tcBorders>
            <w:vAlign w:val="center"/>
          </w:tcPr>
          <w:p w14:paraId="759373C0"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 circular or partial circular loss of superficial cortical bone on the entry hole’s margin. Its presentation reminds of an abrasion ring. It can be interrupted by other entrance traits such as tip fragmentation.</w:t>
            </w:r>
          </w:p>
        </w:tc>
      </w:tr>
      <w:tr w:rsidR="00E75D2D" w:rsidRPr="0024216B" w14:paraId="3E70DF53" w14:textId="77777777" w:rsidTr="008F059E">
        <w:trPr>
          <w:trHeight w:val="1271"/>
        </w:trPr>
        <w:tc>
          <w:tcPr>
            <w:tcW w:w="2403" w:type="dxa"/>
            <w:tcBorders>
              <w:left w:val="nil"/>
              <w:right w:val="nil"/>
            </w:tcBorders>
            <w:vAlign w:val="center"/>
          </w:tcPr>
          <w:p w14:paraId="24205738"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Tip fragmentation</w:t>
            </w:r>
          </w:p>
        </w:tc>
        <w:tc>
          <w:tcPr>
            <w:tcW w:w="6623" w:type="dxa"/>
            <w:tcBorders>
              <w:left w:val="nil"/>
              <w:right w:val="nil"/>
            </w:tcBorders>
            <w:vAlign w:val="center"/>
          </w:tcPr>
          <w:p w14:paraId="07BED152"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 xml:space="preserve">A superficial, external loss of cortical chip(s) at the tip of the bone around the entry hole. It only appears proximal/distal </w:t>
            </w:r>
            <w:r>
              <w:rPr>
                <w:rFonts w:ascii="Times New Roman" w:hAnsi="Times New Roman" w:cs="Times New Roman"/>
                <w:sz w:val="20"/>
                <w:szCs w:val="20"/>
              </w:rPr>
              <w:t>to</w:t>
            </w:r>
            <w:r w:rsidRPr="00733C8A">
              <w:rPr>
                <w:rFonts w:ascii="Times New Roman" w:hAnsi="Times New Roman" w:cs="Times New Roman"/>
                <w:sz w:val="20"/>
                <w:szCs w:val="20"/>
              </w:rPr>
              <w:t xml:space="preserve"> the bullet entry. Typically, chiselled edges indicate a sharply defined transition to the intact cortical bone. In case oblique fractures separate the bone, tip fragmentation on bone parts next to each other creates the image of a stepped circular margin around the bullet entry.</w:t>
            </w:r>
          </w:p>
        </w:tc>
      </w:tr>
      <w:tr w:rsidR="00E75D2D" w14:paraId="29ED3153" w14:textId="77777777" w:rsidTr="008F059E">
        <w:trPr>
          <w:trHeight w:val="986"/>
        </w:trPr>
        <w:tc>
          <w:tcPr>
            <w:tcW w:w="2403" w:type="dxa"/>
            <w:tcBorders>
              <w:left w:val="nil"/>
              <w:right w:val="nil"/>
            </w:tcBorders>
            <w:vAlign w:val="center"/>
          </w:tcPr>
          <w:p w14:paraId="0B345743"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Wing flake</w:t>
            </w:r>
          </w:p>
        </w:tc>
        <w:tc>
          <w:tcPr>
            <w:tcW w:w="6623" w:type="dxa"/>
            <w:tcBorders>
              <w:left w:val="nil"/>
              <w:right w:val="nil"/>
            </w:tcBorders>
            <w:vAlign w:val="center"/>
          </w:tcPr>
          <w:p w14:paraId="72044C3A"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 loose trapezoidal flake of cortical bone resembling spread wings. The aspect facing the entry hole features part of the ring defect. In contrast to tip fragmentation, it comes from the lateral aspect(s) of the entry hole. It may be broken and thus incomplete.</w:t>
            </w:r>
          </w:p>
        </w:tc>
      </w:tr>
      <w:tr w:rsidR="00E75D2D" w:rsidRPr="0024216B" w14:paraId="133C661F" w14:textId="77777777" w:rsidTr="008F059E">
        <w:trPr>
          <w:trHeight w:val="703"/>
        </w:trPr>
        <w:tc>
          <w:tcPr>
            <w:tcW w:w="2403" w:type="dxa"/>
            <w:tcBorders>
              <w:left w:val="nil"/>
              <w:right w:val="nil"/>
            </w:tcBorders>
            <w:vAlign w:val="center"/>
          </w:tcPr>
          <w:p w14:paraId="0B8A187E"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Wing flake defect</w:t>
            </w:r>
          </w:p>
        </w:tc>
        <w:tc>
          <w:tcPr>
            <w:tcW w:w="6623" w:type="dxa"/>
            <w:tcBorders>
              <w:left w:val="nil"/>
              <w:right w:val="nil"/>
            </w:tcBorders>
            <w:vAlign w:val="center"/>
          </w:tcPr>
          <w:p w14:paraId="4BDA5D5C"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The superficial cortical defect on the lateral aspect(s) of the entry hole that is produced when the wing flake breaks out.</w:t>
            </w:r>
          </w:p>
        </w:tc>
      </w:tr>
      <w:tr w:rsidR="00E75D2D" w:rsidRPr="0024216B" w14:paraId="3BB70048" w14:textId="77777777" w:rsidTr="008F059E">
        <w:trPr>
          <w:trHeight w:val="1529"/>
        </w:trPr>
        <w:tc>
          <w:tcPr>
            <w:tcW w:w="2403" w:type="dxa"/>
            <w:tcBorders>
              <w:left w:val="nil"/>
              <w:right w:val="nil"/>
            </w:tcBorders>
            <w:vAlign w:val="center"/>
          </w:tcPr>
          <w:p w14:paraId="0F26629F"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Wing piece</w:t>
            </w:r>
          </w:p>
        </w:tc>
        <w:tc>
          <w:tcPr>
            <w:tcW w:w="6623" w:type="dxa"/>
            <w:tcBorders>
              <w:left w:val="nil"/>
              <w:right w:val="nil"/>
            </w:tcBorders>
            <w:vAlign w:val="center"/>
          </w:tcPr>
          <w:p w14:paraId="4EA21972"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w:t>
            </w:r>
            <w:r>
              <w:rPr>
                <w:rFonts w:ascii="Times New Roman" w:hAnsi="Times New Roman" w:cs="Times New Roman"/>
                <w:sz w:val="20"/>
                <w:szCs w:val="20"/>
              </w:rPr>
              <w:t xml:space="preserve"> characteristic bone fragment with the</w:t>
            </w:r>
            <w:r w:rsidRPr="00733C8A">
              <w:rPr>
                <w:rFonts w:ascii="Times New Roman" w:hAnsi="Times New Roman" w:cs="Times New Roman"/>
                <w:sz w:val="20"/>
                <w:szCs w:val="20"/>
              </w:rPr>
              <w:t xml:space="preserve"> shape </w:t>
            </w:r>
            <w:r>
              <w:rPr>
                <w:rFonts w:ascii="Times New Roman" w:hAnsi="Times New Roman" w:cs="Times New Roman"/>
                <w:sz w:val="20"/>
                <w:szCs w:val="20"/>
              </w:rPr>
              <w:t xml:space="preserve">of spread wings, </w:t>
            </w:r>
            <w:r w:rsidRPr="00733C8A">
              <w:rPr>
                <w:rFonts w:ascii="Times New Roman" w:hAnsi="Times New Roman" w:cs="Times New Roman"/>
                <w:sz w:val="20"/>
                <w:szCs w:val="20"/>
              </w:rPr>
              <w:t xml:space="preserve">similar to the wing flake, but </w:t>
            </w:r>
            <w:r>
              <w:rPr>
                <w:rFonts w:ascii="Times New Roman" w:hAnsi="Times New Roman" w:cs="Times New Roman"/>
                <w:sz w:val="20"/>
                <w:szCs w:val="20"/>
              </w:rPr>
              <w:t>usually much bigger</w:t>
            </w:r>
            <w:r w:rsidRPr="00733C8A">
              <w:rPr>
                <w:rFonts w:ascii="Times New Roman" w:hAnsi="Times New Roman" w:cs="Times New Roman"/>
                <w:sz w:val="20"/>
                <w:szCs w:val="20"/>
              </w:rPr>
              <w:t xml:space="preserve"> and most importantly, </w:t>
            </w:r>
            <w:r>
              <w:rPr>
                <w:rFonts w:ascii="Times New Roman" w:hAnsi="Times New Roman" w:cs="Times New Roman"/>
                <w:sz w:val="20"/>
                <w:szCs w:val="20"/>
              </w:rPr>
              <w:t>affecting</w:t>
            </w:r>
            <w:r w:rsidRPr="00733C8A">
              <w:rPr>
                <w:rFonts w:ascii="Times New Roman" w:hAnsi="Times New Roman" w:cs="Times New Roman"/>
                <w:sz w:val="20"/>
                <w:szCs w:val="20"/>
              </w:rPr>
              <w:t xml:space="preserve"> the </w:t>
            </w:r>
            <w:r>
              <w:rPr>
                <w:rFonts w:ascii="Times New Roman" w:hAnsi="Times New Roman" w:cs="Times New Roman"/>
                <w:sz w:val="20"/>
                <w:szCs w:val="20"/>
              </w:rPr>
              <w:t>entire</w:t>
            </w:r>
            <w:r w:rsidRPr="00733C8A">
              <w:rPr>
                <w:rFonts w:ascii="Times New Roman" w:hAnsi="Times New Roman" w:cs="Times New Roman"/>
                <w:sz w:val="20"/>
                <w:szCs w:val="20"/>
              </w:rPr>
              <w:t xml:space="preserve"> cortical wall</w:t>
            </w:r>
            <w:r>
              <w:rPr>
                <w:rFonts w:ascii="Times New Roman" w:hAnsi="Times New Roman" w:cs="Times New Roman"/>
                <w:sz w:val="20"/>
                <w:szCs w:val="20"/>
              </w:rPr>
              <w:t>. O</w:t>
            </w:r>
            <w:r w:rsidRPr="00733C8A">
              <w:rPr>
                <w:rFonts w:ascii="Times New Roman" w:hAnsi="Times New Roman" w:cs="Times New Roman"/>
                <w:sz w:val="20"/>
                <w:szCs w:val="20"/>
              </w:rPr>
              <w:t>nly the extremes</w:t>
            </w:r>
            <w:r>
              <w:rPr>
                <w:rFonts w:ascii="Times New Roman" w:hAnsi="Times New Roman" w:cs="Times New Roman"/>
                <w:sz w:val="20"/>
                <w:szCs w:val="20"/>
              </w:rPr>
              <w:t xml:space="preserve"> can</w:t>
            </w:r>
            <w:r w:rsidRPr="00733C8A">
              <w:rPr>
                <w:rFonts w:ascii="Times New Roman" w:hAnsi="Times New Roman" w:cs="Times New Roman"/>
                <w:sz w:val="20"/>
                <w:szCs w:val="20"/>
              </w:rPr>
              <w:t xml:space="preserve"> run out superficially. The aspect facing the entry hole may contain part of the ring defect or a wing flake defect. </w:t>
            </w:r>
            <w:r>
              <w:rPr>
                <w:rFonts w:ascii="Times New Roman" w:hAnsi="Times New Roman" w:cs="Times New Roman"/>
                <w:sz w:val="20"/>
                <w:szCs w:val="20"/>
              </w:rPr>
              <w:t xml:space="preserve">It can be entire or </w:t>
            </w:r>
            <w:r w:rsidRPr="00733C8A">
              <w:rPr>
                <w:rFonts w:ascii="Times New Roman" w:hAnsi="Times New Roman" w:cs="Times New Roman"/>
                <w:sz w:val="20"/>
                <w:szCs w:val="20"/>
              </w:rPr>
              <w:t xml:space="preserve">broken into two or more fragments. Less frequently, </w:t>
            </w:r>
            <w:r>
              <w:rPr>
                <w:rFonts w:ascii="Times New Roman" w:hAnsi="Times New Roman" w:cs="Times New Roman"/>
                <w:sz w:val="20"/>
                <w:szCs w:val="20"/>
              </w:rPr>
              <w:t>it</w:t>
            </w:r>
            <w:r w:rsidRPr="00733C8A">
              <w:rPr>
                <w:rFonts w:ascii="Times New Roman" w:hAnsi="Times New Roman" w:cs="Times New Roman"/>
                <w:sz w:val="20"/>
                <w:szCs w:val="20"/>
              </w:rPr>
              <w:t xml:space="preserve"> may be still attached </w:t>
            </w:r>
            <w:r>
              <w:rPr>
                <w:rFonts w:ascii="Times New Roman" w:hAnsi="Times New Roman" w:cs="Times New Roman"/>
                <w:sz w:val="20"/>
                <w:szCs w:val="20"/>
              </w:rPr>
              <w:t xml:space="preserve">to </w:t>
            </w:r>
            <w:r w:rsidRPr="00733C8A">
              <w:rPr>
                <w:rFonts w:ascii="Times New Roman" w:hAnsi="Times New Roman" w:cs="Times New Roman"/>
                <w:sz w:val="20"/>
                <w:szCs w:val="20"/>
              </w:rPr>
              <w:t>the shaft</w:t>
            </w:r>
            <w:r>
              <w:rPr>
                <w:rFonts w:ascii="Times New Roman" w:hAnsi="Times New Roman" w:cs="Times New Roman"/>
                <w:sz w:val="20"/>
                <w:szCs w:val="20"/>
              </w:rPr>
              <w:t xml:space="preserve"> on one side</w:t>
            </w:r>
            <w:r w:rsidRPr="00733C8A">
              <w:rPr>
                <w:rFonts w:ascii="Times New Roman" w:hAnsi="Times New Roman" w:cs="Times New Roman"/>
                <w:sz w:val="20"/>
                <w:szCs w:val="20"/>
              </w:rPr>
              <w:t>.</w:t>
            </w:r>
            <w:r>
              <w:rPr>
                <w:rFonts w:ascii="Times New Roman" w:hAnsi="Times New Roman" w:cs="Times New Roman"/>
                <w:sz w:val="20"/>
                <w:szCs w:val="20"/>
              </w:rPr>
              <w:t xml:space="preserve"> </w:t>
            </w:r>
          </w:p>
        </w:tc>
      </w:tr>
      <w:tr w:rsidR="00E75D2D" w:rsidRPr="0024216B" w14:paraId="5AD97E1F" w14:textId="77777777" w:rsidTr="008F059E">
        <w:trPr>
          <w:trHeight w:val="856"/>
        </w:trPr>
        <w:tc>
          <w:tcPr>
            <w:tcW w:w="2403" w:type="dxa"/>
            <w:tcBorders>
              <w:left w:val="nil"/>
              <w:right w:val="nil"/>
            </w:tcBorders>
            <w:vAlign w:val="center"/>
          </w:tcPr>
          <w:p w14:paraId="7692AA23"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Lateral notch</w:t>
            </w:r>
          </w:p>
        </w:tc>
        <w:tc>
          <w:tcPr>
            <w:tcW w:w="6623" w:type="dxa"/>
            <w:tcBorders>
              <w:left w:val="nil"/>
              <w:right w:val="nil"/>
            </w:tcBorders>
            <w:vAlign w:val="center"/>
          </w:tcPr>
          <w:p w14:paraId="7395F4B3"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As the wing piece’s extremes run out superficially, they leave behind a corresponding cortical defect on the lateral shaft aspect. On this fracture surface, there is a prominent notch visible.</w:t>
            </w:r>
          </w:p>
        </w:tc>
      </w:tr>
      <w:tr w:rsidR="00E75D2D" w:rsidRPr="0024216B" w14:paraId="28E6E44D" w14:textId="77777777" w:rsidTr="008F059E">
        <w:trPr>
          <w:trHeight w:val="417"/>
        </w:trPr>
        <w:tc>
          <w:tcPr>
            <w:tcW w:w="2403" w:type="dxa"/>
            <w:tcBorders>
              <w:left w:val="nil"/>
              <w:right w:val="nil"/>
            </w:tcBorders>
            <w:vAlign w:val="center"/>
          </w:tcPr>
          <w:p w14:paraId="64C85848"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Internal bevelling</w:t>
            </w:r>
          </w:p>
        </w:tc>
        <w:tc>
          <w:tcPr>
            <w:tcW w:w="6623" w:type="dxa"/>
            <w:tcBorders>
              <w:left w:val="nil"/>
              <w:right w:val="nil"/>
            </w:tcBorders>
            <w:vAlign w:val="center"/>
          </w:tcPr>
          <w:p w14:paraId="74EFA702"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 funnel</w:t>
            </w:r>
            <w:r>
              <w:rPr>
                <w:rFonts w:ascii="Times New Roman" w:hAnsi="Times New Roman" w:cs="Times New Roman"/>
                <w:sz w:val="20"/>
                <w:szCs w:val="20"/>
              </w:rPr>
              <w:t>-</w:t>
            </w:r>
            <w:r w:rsidRPr="00733C8A">
              <w:rPr>
                <w:rFonts w:ascii="Times New Roman" w:hAnsi="Times New Roman" w:cs="Times New Roman"/>
                <w:sz w:val="20"/>
                <w:szCs w:val="20"/>
              </w:rPr>
              <w:t>shape</w:t>
            </w:r>
            <w:r>
              <w:rPr>
                <w:rFonts w:ascii="Times New Roman" w:hAnsi="Times New Roman" w:cs="Times New Roman"/>
                <w:sz w:val="20"/>
                <w:szCs w:val="20"/>
              </w:rPr>
              <w:t>d opening</w:t>
            </w:r>
            <w:r w:rsidRPr="00733C8A">
              <w:rPr>
                <w:rFonts w:ascii="Times New Roman" w:hAnsi="Times New Roman" w:cs="Times New Roman"/>
                <w:sz w:val="20"/>
                <w:szCs w:val="20"/>
              </w:rPr>
              <w:t xml:space="preserve"> in the cortical wall with </w:t>
            </w:r>
            <w:r>
              <w:rPr>
                <w:rFonts w:ascii="Times New Roman" w:hAnsi="Times New Roman" w:cs="Times New Roman"/>
                <w:sz w:val="20"/>
                <w:szCs w:val="20"/>
              </w:rPr>
              <w:t>the</w:t>
            </w:r>
            <w:r w:rsidRPr="00733C8A">
              <w:rPr>
                <w:rFonts w:ascii="Times New Roman" w:hAnsi="Times New Roman" w:cs="Times New Roman"/>
                <w:sz w:val="20"/>
                <w:szCs w:val="20"/>
              </w:rPr>
              <w:t xml:space="preserve"> larger </w:t>
            </w:r>
            <w:r>
              <w:rPr>
                <w:rFonts w:ascii="Times New Roman" w:hAnsi="Times New Roman" w:cs="Times New Roman"/>
                <w:sz w:val="20"/>
                <w:szCs w:val="20"/>
              </w:rPr>
              <w:t>part</w:t>
            </w:r>
            <w:r w:rsidRPr="00733C8A">
              <w:rPr>
                <w:rFonts w:ascii="Times New Roman" w:hAnsi="Times New Roman" w:cs="Times New Roman"/>
                <w:sz w:val="20"/>
                <w:szCs w:val="20"/>
              </w:rPr>
              <w:t xml:space="preserve"> on the </w:t>
            </w:r>
            <w:r>
              <w:rPr>
                <w:rFonts w:ascii="Times New Roman" w:hAnsi="Times New Roman" w:cs="Times New Roman"/>
                <w:sz w:val="20"/>
                <w:szCs w:val="20"/>
              </w:rPr>
              <w:t>inside</w:t>
            </w:r>
            <w:r w:rsidRPr="00733C8A">
              <w:rPr>
                <w:rFonts w:ascii="Times New Roman" w:hAnsi="Times New Roman" w:cs="Times New Roman"/>
                <w:sz w:val="20"/>
                <w:szCs w:val="20"/>
              </w:rPr>
              <w:t>.</w:t>
            </w:r>
          </w:p>
        </w:tc>
      </w:tr>
    </w:tbl>
    <w:p w14:paraId="3CD11917" w14:textId="77777777" w:rsidR="00E75D2D" w:rsidRPr="00E75D2D" w:rsidRDefault="00E75D2D" w:rsidP="00E75D2D">
      <w:pPr>
        <w:spacing w:after="120" w:line="480" w:lineRule="auto"/>
        <w:rPr>
          <w:rFonts w:ascii="Times New Roman" w:hAnsi="Times New Roman" w:cs="Times New Roman"/>
          <w:sz w:val="20"/>
          <w:szCs w:val="20"/>
          <w:lang w:val="en-GB"/>
        </w:rPr>
      </w:pPr>
    </w:p>
    <w:p w14:paraId="3CBC6D42" w14:textId="77777777" w:rsidR="00E75D2D" w:rsidRPr="00EF5476" w:rsidRDefault="00EF5476" w:rsidP="00E75D2D">
      <w:pPr>
        <w:pStyle w:val="Text"/>
        <w:spacing w:before="240" w:after="240" w:line="240" w:lineRule="auto"/>
        <w:ind w:firstLine="0"/>
        <w:rPr>
          <w:rFonts w:cs="Times New Roman"/>
          <w:b/>
          <w:sz w:val="20"/>
          <w:szCs w:val="20"/>
        </w:rPr>
      </w:pPr>
      <w:r>
        <w:rPr>
          <w:rFonts w:cs="Times New Roman"/>
          <w:b/>
          <w:sz w:val="20"/>
          <w:szCs w:val="20"/>
        </w:rPr>
        <w:t>1b</w:t>
      </w:r>
      <w:r w:rsidR="00590C76">
        <w:rPr>
          <w:rFonts w:cs="Times New Roman"/>
          <w:b/>
          <w:sz w:val="20"/>
          <w:szCs w:val="20"/>
        </w:rPr>
        <w:t xml:space="preserve"> </w:t>
      </w:r>
      <w:r w:rsidR="00590C76" w:rsidRPr="00590C76">
        <w:rPr>
          <w:rFonts w:cs="Times New Roman"/>
          <w:b/>
          <w:sz w:val="20"/>
          <w:szCs w:val="20"/>
        </w:rPr>
        <w:t xml:space="preserve">Definition of the cortical </w:t>
      </w:r>
      <w:r w:rsidR="00590C76">
        <w:rPr>
          <w:rFonts w:cs="Times New Roman"/>
          <w:b/>
          <w:sz w:val="20"/>
          <w:szCs w:val="20"/>
        </w:rPr>
        <w:t>exit traits</w:t>
      </w:r>
    </w:p>
    <w:tbl>
      <w:tblPr>
        <w:tblStyle w:val="Tabellenraster"/>
        <w:tblW w:w="0" w:type="auto"/>
        <w:tblLook w:val="04A0" w:firstRow="1" w:lastRow="0" w:firstColumn="1" w:lastColumn="0" w:noHBand="0" w:noVBand="1"/>
      </w:tblPr>
      <w:tblGrid>
        <w:gridCol w:w="2405"/>
        <w:gridCol w:w="6657"/>
      </w:tblGrid>
      <w:tr w:rsidR="00E75D2D" w14:paraId="38FEA239" w14:textId="77777777" w:rsidTr="008F059E">
        <w:trPr>
          <w:trHeight w:val="567"/>
        </w:trPr>
        <w:tc>
          <w:tcPr>
            <w:tcW w:w="2405" w:type="dxa"/>
            <w:tcBorders>
              <w:left w:val="nil"/>
              <w:bottom w:val="single" w:sz="8" w:space="0" w:color="auto"/>
              <w:right w:val="nil"/>
            </w:tcBorders>
            <w:vAlign w:val="center"/>
          </w:tcPr>
          <w:p w14:paraId="23B85804" w14:textId="77777777" w:rsidR="00E75D2D" w:rsidRPr="00733C8A" w:rsidRDefault="00E75D2D" w:rsidP="008F059E">
            <w:pPr>
              <w:spacing w:after="120"/>
              <w:rPr>
                <w:rFonts w:ascii="Times New Roman" w:hAnsi="Times New Roman" w:cs="Times New Roman"/>
                <w:b/>
                <w:i/>
                <w:iCs/>
                <w:sz w:val="20"/>
                <w:szCs w:val="20"/>
              </w:rPr>
            </w:pPr>
            <w:r w:rsidRPr="00733C8A">
              <w:rPr>
                <w:rFonts w:ascii="Times New Roman" w:hAnsi="Times New Roman" w:cs="Times New Roman"/>
                <w:b/>
                <w:i/>
                <w:iCs/>
                <w:sz w:val="20"/>
                <w:szCs w:val="20"/>
              </w:rPr>
              <w:t>Exit trait</w:t>
            </w:r>
          </w:p>
        </w:tc>
        <w:tc>
          <w:tcPr>
            <w:tcW w:w="6657" w:type="dxa"/>
            <w:tcBorders>
              <w:left w:val="nil"/>
              <w:bottom w:val="single" w:sz="8" w:space="0" w:color="auto"/>
              <w:right w:val="nil"/>
            </w:tcBorders>
            <w:vAlign w:val="center"/>
          </w:tcPr>
          <w:p w14:paraId="72155F87" w14:textId="77777777" w:rsidR="00E75D2D" w:rsidRPr="00733C8A" w:rsidRDefault="00E75D2D" w:rsidP="008F059E">
            <w:pPr>
              <w:spacing w:after="120"/>
              <w:jc w:val="both"/>
              <w:rPr>
                <w:rFonts w:ascii="Times New Roman" w:hAnsi="Times New Roman" w:cs="Times New Roman"/>
                <w:b/>
                <w:bCs/>
                <w:i/>
                <w:iCs/>
                <w:sz w:val="20"/>
                <w:szCs w:val="20"/>
              </w:rPr>
            </w:pPr>
            <w:r w:rsidRPr="00733C8A">
              <w:rPr>
                <w:rFonts w:ascii="Times New Roman" w:hAnsi="Times New Roman" w:cs="Times New Roman"/>
                <w:b/>
                <w:bCs/>
                <w:i/>
                <w:iCs/>
                <w:sz w:val="20"/>
                <w:szCs w:val="20"/>
              </w:rPr>
              <w:t>Definition</w:t>
            </w:r>
          </w:p>
        </w:tc>
      </w:tr>
      <w:tr w:rsidR="00E75D2D" w:rsidRPr="0024216B" w14:paraId="567E68E3" w14:textId="77777777" w:rsidTr="008F059E">
        <w:trPr>
          <w:trHeight w:val="494"/>
        </w:trPr>
        <w:tc>
          <w:tcPr>
            <w:tcW w:w="2405" w:type="dxa"/>
            <w:tcBorders>
              <w:top w:val="single" w:sz="8" w:space="0" w:color="auto"/>
              <w:left w:val="nil"/>
              <w:bottom w:val="single" w:sz="2" w:space="0" w:color="auto"/>
              <w:right w:val="nil"/>
            </w:tcBorders>
            <w:vAlign w:val="center"/>
          </w:tcPr>
          <w:p w14:paraId="1BA23901"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Square exit hole</w:t>
            </w:r>
          </w:p>
        </w:tc>
        <w:tc>
          <w:tcPr>
            <w:tcW w:w="6657" w:type="dxa"/>
            <w:tcBorders>
              <w:top w:val="single" w:sz="8" w:space="0" w:color="auto"/>
              <w:left w:val="nil"/>
              <w:bottom w:val="single" w:sz="2" w:space="0" w:color="auto"/>
              <w:right w:val="nil"/>
            </w:tcBorders>
            <w:vAlign w:val="center"/>
          </w:tcPr>
          <w:p w14:paraId="39719C1A"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The projectile’s exit defect appears visually edgy or square.</w:t>
            </w:r>
          </w:p>
        </w:tc>
      </w:tr>
      <w:tr w:rsidR="00E75D2D" w:rsidRPr="0024216B" w14:paraId="3A17558A" w14:textId="77777777" w:rsidTr="008F059E">
        <w:trPr>
          <w:trHeight w:val="631"/>
        </w:trPr>
        <w:tc>
          <w:tcPr>
            <w:tcW w:w="2405" w:type="dxa"/>
            <w:tcBorders>
              <w:top w:val="single" w:sz="2" w:space="0" w:color="auto"/>
              <w:left w:val="nil"/>
              <w:right w:val="nil"/>
            </w:tcBorders>
            <w:vAlign w:val="center"/>
          </w:tcPr>
          <w:p w14:paraId="4A8AA554"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Radiating fracture</w:t>
            </w:r>
          </w:p>
        </w:tc>
        <w:tc>
          <w:tcPr>
            <w:tcW w:w="6657" w:type="dxa"/>
            <w:tcBorders>
              <w:top w:val="single" w:sz="2" w:space="0" w:color="auto"/>
              <w:left w:val="nil"/>
              <w:right w:val="nil"/>
            </w:tcBorders>
            <w:vAlign w:val="center"/>
          </w:tcPr>
          <w:p w14:paraId="43F571B0"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Transversal, longitudinal or oblique fractures that radiate away from the exit hole.</w:t>
            </w:r>
          </w:p>
        </w:tc>
      </w:tr>
      <w:tr w:rsidR="00E75D2D" w:rsidRPr="0024216B" w14:paraId="68F4E3DA" w14:textId="77777777" w:rsidTr="008F059E">
        <w:trPr>
          <w:trHeight w:val="836"/>
        </w:trPr>
        <w:tc>
          <w:tcPr>
            <w:tcW w:w="2405" w:type="dxa"/>
            <w:tcBorders>
              <w:left w:val="nil"/>
              <w:right w:val="nil"/>
            </w:tcBorders>
            <w:vAlign w:val="center"/>
          </w:tcPr>
          <w:p w14:paraId="2C39587D"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lastRenderedPageBreak/>
              <w:t>Concentric fracture</w:t>
            </w:r>
          </w:p>
          <w:p w14:paraId="2F048695" w14:textId="77777777" w:rsidR="00E75D2D" w:rsidRPr="00733C8A" w:rsidRDefault="00E75D2D" w:rsidP="008F059E">
            <w:pPr>
              <w:rPr>
                <w:rFonts w:ascii="Times New Roman" w:hAnsi="Times New Roman" w:cs="Times New Roman"/>
                <w:sz w:val="20"/>
                <w:szCs w:val="20"/>
              </w:rPr>
            </w:pPr>
          </w:p>
        </w:tc>
        <w:tc>
          <w:tcPr>
            <w:tcW w:w="6657" w:type="dxa"/>
            <w:tcBorders>
              <w:left w:val="nil"/>
              <w:right w:val="nil"/>
            </w:tcBorders>
            <w:vAlign w:val="center"/>
          </w:tcPr>
          <w:p w14:paraId="5BABCD6E"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Curvilinear fractures facing with their concave aspect t</w:t>
            </w:r>
            <w:r>
              <w:rPr>
                <w:rFonts w:ascii="Times New Roman" w:hAnsi="Times New Roman" w:cs="Times New Roman"/>
                <w:sz w:val="20"/>
                <w:szCs w:val="20"/>
              </w:rPr>
              <w:t>owards the exit hole. They can be</w:t>
            </w:r>
            <w:r w:rsidRPr="00733C8A">
              <w:rPr>
                <w:rFonts w:ascii="Times New Roman" w:hAnsi="Times New Roman" w:cs="Times New Roman"/>
                <w:sz w:val="20"/>
                <w:szCs w:val="20"/>
              </w:rPr>
              <w:t xml:space="preserve"> divided into transversal or longitudinal ones. The first occurs proximal/distal of the exit hole, the second on the sides of the exit hole.</w:t>
            </w:r>
          </w:p>
        </w:tc>
      </w:tr>
      <w:tr w:rsidR="00E75D2D" w:rsidRPr="0024216B" w14:paraId="52407695" w14:textId="77777777" w:rsidTr="008F059E">
        <w:trPr>
          <w:trHeight w:val="415"/>
        </w:trPr>
        <w:tc>
          <w:tcPr>
            <w:tcW w:w="2405" w:type="dxa"/>
            <w:tcBorders>
              <w:left w:val="nil"/>
              <w:right w:val="nil"/>
            </w:tcBorders>
            <w:vAlign w:val="center"/>
          </w:tcPr>
          <w:p w14:paraId="15D61BCF"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Layered breakage</w:t>
            </w:r>
          </w:p>
        </w:tc>
        <w:tc>
          <w:tcPr>
            <w:tcW w:w="6657" w:type="dxa"/>
            <w:tcBorders>
              <w:left w:val="nil"/>
              <w:right w:val="nil"/>
            </w:tcBorders>
            <w:vAlign w:val="center"/>
          </w:tcPr>
          <w:p w14:paraId="51F5801B"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Is a layered pattern visible on the fracture surface.</w:t>
            </w:r>
          </w:p>
        </w:tc>
      </w:tr>
      <w:tr w:rsidR="00E75D2D" w:rsidRPr="0024216B" w14:paraId="3A09B5AB" w14:textId="77777777" w:rsidTr="008F059E">
        <w:trPr>
          <w:trHeight w:val="409"/>
        </w:trPr>
        <w:tc>
          <w:tcPr>
            <w:tcW w:w="2405" w:type="dxa"/>
            <w:tcBorders>
              <w:left w:val="nil"/>
              <w:right w:val="nil"/>
            </w:tcBorders>
            <w:vAlign w:val="center"/>
          </w:tcPr>
          <w:p w14:paraId="0E1205C1"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External bevelling</w:t>
            </w:r>
          </w:p>
        </w:tc>
        <w:tc>
          <w:tcPr>
            <w:tcW w:w="6657" w:type="dxa"/>
            <w:tcBorders>
              <w:left w:val="nil"/>
              <w:right w:val="nil"/>
            </w:tcBorders>
            <w:vAlign w:val="center"/>
          </w:tcPr>
          <w:p w14:paraId="6473657F"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 funnel</w:t>
            </w:r>
            <w:r>
              <w:rPr>
                <w:rFonts w:ascii="Times New Roman" w:hAnsi="Times New Roman" w:cs="Times New Roman"/>
                <w:sz w:val="20"/>
                <w:szCs w:val="20"/>
              </w:rPr>
              <w:t>-</w:t>
            </w:r>
            <w:r w:rsidRPr="00733C8A">
              <w:rPr>
                <w:rFonts w:ascii="Times New Roman" w:hAnsi="Times New Roman" w:cs="Times New Roman"/>
                <w:sz w:val="20"/>
                <w:szCs w:val="20"/>
              </w:rPr>
              <w:t>shape</w:t>
            </w:r>
            <w:r>
              <w:rPr>
                <w:rFonts w:ascii="Times New Roman" w:hAnsi="Times New Roman" w:cs="Times New Roman"/>
                <w:sz w:val="20"/>
                <w:szCs w:val="20"/>
              </w:rPr>
              <w:t>d opening</w:t>
            </w:r>
            <w:r w:rsidRPr="00733C8A">
              <w:rPr>
                <w:rFonts w:ascii="Times New Roman" w:hAnsi="Times New Roman" w:cs="Times New Roman"/>
                <w:sz w:val="20"/>
                <w:szCs w:val="20"/>
              </w:rPr>
              <w:t xml:space="preserve"> in the cortical wall with </w:t>
            </w:r>
            <w:r>
              <w:rPr>
                <w:rFonts w:ascii="Times New Roman" w:hAnsi="Times New Roman" w:cs="Times New Roman"/>
                <w:sz w:val="20"/>
                <w:szCs w:val="20"/>
              </w:rPr>
              <w:t>the</w:t>
            </w:r>
            <w:r w:rsidRPr="00733C8A">
              <w:rPr>
                <w:rFonts w:ascii="Times New Roman" w:hAnsi="Times New Roman" w:cs="Times New Roman"/>
                <w:sz w:val="20"/>
                <w:szCs w:val="20"/>
              </w:rPr>
              <w:t xml:space="preserve"> larger </w:t>
            </w:r>
            <w:r>
              <w:rPr>
                <w:rFonts w:ascii="Times New Roman" w:hAnsi="Times New Roman" w:cs="Times New Roman"/>
                <w:sz w:val="20"/>
                <w:szCs w:val="20"/>
              </w:rPr>
              <w:t>part</w:t>
            </w:r>
            <w:r w:rsidRPr="00733C8A">
              <w:rPr>
                <w:rFonts w:ascii="Times New Roman" w:hAnsi="Times New Roman" w:cs="Times New Roman"/>
                <w:sz w:val="20"/>
                <w:szCs w:val="20"/>
              </w:rPr>
              <w:t xml:space="preserve"> on the </w:t>
            </w:r>
            <w:r>
              <w:rPr>
                <w:rFonts w:ascii="Times New Roman" w:hAnsi="Times New Roman" w:cs="Times New Roman"/>
                <w:sz w:val="20"/>
                <w:szCs w:val="20"/>
              </w:rPr>
              <w:t>inside</w:t>
            </w:r>
            <w:r w:rsidRPr="00733C8A">
              <w:rPr>
                <w:rFonts w:ascii="Times New Roman" w:hAnsi="Times New Roman" w:cs="Times New Roman"/>
                <w:sz w:val="20"/>
                <w:szCs w:val="20"/>
              </w:rPr>
              <w:t>.</w:t>
            </w:r>
          </w:p>
        </w:tc>
      </w:tr>
      <w:tr w:rsidR="00E75D2D" w:rsidRPr="0024216B" w14:paraId="4643785D" w14:textId="77777777" w:rsidTr="008F059E">
        <w:trPr>
          <w:trHeight w:val="644"/>
        </w:trPr>
        <w:tc>
          <w:tcPr>
            <w:tcW w:w="2405" w:type="dxa"/>
            <w:tcBorders>
              <w:left w:val="nil"/>
              <w:right w:val="nil"/>
            </w:tcBorders>
            <w:vAlign w:val="center"/>
          </w:tcPr>
          <w:p w14:paraId="218B369E"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Stepped breakout</w:t>
            </w:r>
          </w:p>
        </w:tc>
        <w:tc>
          <w:tcPr>
            <w:tcW w:w="6657" w:type="dxa"/>
            <w:tcBorders>
              <w:left w:val="nil"/>
              <w:right w:val="nil"/>
            </w:tcBorders>
            <w:vAlign w:val="center"/>
          </w:tcPr>
          <w:p w14:paraId="74BB0889"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A sequence of multiple transversal concentric fractures on the posterior shaft aspect resulting in a stepped breakout of fragments with similar shapes.</w:t>
            </w:r>
          </w:p>
        </w:tc>
      </w:tr>
    </w:tbl>
    <w:p w14:paraId="256D66B9" w14:textId="77777777" w:rsidR="00E75D2D" w:rsidRPr="00E75D2D" w:rsidRDefault="00E75D2D" w:rsidP="00E75D2D">
      <w:pPr>
        <w:spacing w:after="120" w:line="480" w:lineRule="auto"/>
        <w:rPr>
          <w:rFonts w:ascii="Times New Roman" w:hAnsi="Times New Roman" w:cs="Times New Roman"/>
          <w:sz w:val="20"/>
          <w:szCs w:val="20"/>
          <w:lang w:val="en-GB"/>
        </w:rPr>
      </w:pPr>
    </w:p>
    <w:p w14:paraId="710A8000" w14:textId="77777777" w:rsidR="00E75D2D" w:rsidRPr="00EF5476" w:rsidRDefault="00EF5476" w:rsidP="00E75D2D">
      <w:pPr>
        <w:pStyle w:val="Text"/>
        <w:spacing w:before="240" w:after="240" w:line="240" w:lineRule="auto"/>
        <w:ind w:firstLine="0"/>
        <w:rPr>
          <w:rFonts w:cs="Times New Roman"/>
          <w:b/>
          <w:sz w:val="20"/>
          <w:szCs w:val="20"/>
        </w:rPr>
      </w:pPr>
      <w:r>
        <w:rPr>
          <w:rFonts w:cs="Times New Roman"/>
          <w:b/>
          <w:sz w:val="20"/>
          <w:szCs w:val="20"/>
        </w:rPr>
        <w:t xml:space="preserve">1c </w:t>
      </w:r>
      <w:r w:rsidR="00590C76" w:rsidRPr="00590C76">
        <w:rPr>
          <w:rFonts w:cs="Times New Roman"/>
          <w:b/>
          <w:sz w:val="20"/>
          <w:szCs w:val="20"/>
        </w:rPr>
        <w:t xml:space="preserve">Definition of the </w:t>
      </w:r>
      <w:r w:rsidR="00590C76">
        <w:rPr>
          <w:rFonts w:cs="Times New Roman"/>
          <w:b/>
          <w:sz w:val="20"/>
          <w:szCs w:val="20"/>
        </w:rPr>
        <w:t xml:space="preserve">general </w:t>
      </w:r>
      <w:r w:rsidR="00590C76" w:rsidRPr="00590C76">
        <w:rPr>
          <w:rFonts w:cs="Times New Roman"/>
          <w:b/>
          <w:sz w:val="20"/>
          <w:szCs w:val="20"/>
        </w:rPr>
        <w:t xml:space="preserve">cortical </w:t>
      </w:r>
      <w:r w:rsidR="00590C76">
        <w:rPr>
          <w:rFonts w:cs="Times New Roman"/>
          <w:b/>
          <w:sz w:val="20"/>
          <w:szCs w:val="20"/>
        </w:rPr>
        <w:t>traits</w:t>
      </w:r>
    </w:p>
    <w:tbl>
      <w:tblPr>
        <w:tblStyle w:val="Tabellenraster"/>
        <w:tblW w:w="0" w:type="auto"/>
        <w:tblLook w:val="04A0" w:firstRow="1" w:lastRow="0" w:firstColumn="1" w:lastColumn="0" w:noHBand="0" w:noVBand="1"/>
      </w:tblPr>
      <w:tblGrid>
        <w:gridCol w:w="2405"/>
        <w:gridCol w:w="6657"/>
      </w:tblGrid>
      <w:tr w:rsidR="00E75D2D" w14:paraId="77A47748" w14:textId="77777777" w:rsidTr="008F059E">
        <w:trPr>
          <w:trHeight w:val="567"/>
        </w:trPr>
        <w:tc>
          <w:tcPr>
            <w:tcW w:w="2405" w:type="dxa"/>
            <w:tcBorders>
              <w:left w:val="nil"/>
              <w:bottom w:val="single" w:sz="8" w:space="0" w:color="auto"/>
              <w:right w:val="nil"/>
            </w:tcBorders>
            <w:vAlign w:val="center"/>
          </w:tcPr>
          <w:p w14:paraId="3ADD7411" w14:textId="77777777" w:rsidR="00E75D2D" w:rsidRPr="00733C8A" w:rsidRDefault="00E75D2D" w:rsidP="008F059E">
            <w:pPr>
              <w:spacing w:after="120"/>
              <w:rPr>
                <w:rFonts w:ascii="Times New Roman" w:hAnsi="Times New Roman" w:cs="Times New Roman"/>
                <w:b/>
                <w:i/>
                <w:iCs/>
                <w:sz w:val="20"/>
                <w:szCs w:val="20"/>
              </w:rPr>
            </w:pPr>
            <w:r w:rsidRPr="00733C8A">
              <w:rPr>
                <w:rFonts w:ascii="Times New Roman" w:hAnsi="Times New Roman" w:cs="Times New Roman"/>
                <w:b/>
                <w:i/>
                <w:iCs/>
                <w:sz w:val="20"/>
                <w:szCs w:val="20"/>
              </w:rPr>
              <w:t>General trait</w:t>
            </w:r>
          </w:p>
        </w:tc>
        <w:tc>
          <w:tcPr>
            <w:tcW w:w="6657" w:type="dxa"/>
            <w:tcBorders>
              <w:left w:val="nil"/>
              <w:bottom w:val="single" w:sz="8" w:space="0" w:color="auto"/>
              <w:right w:val="nil"/>
            </w:tcBorders>
            <w:vAlign w:val="center"/>
          </w:tcPr>
          <w:p w14:paraId="5CBA7196" w14:textId="77777777" w:rsidR="00E75D2D" w:rsidRPr="0097485B" w:rsidRDefault="00E75D2D" w:rsidP="008F059E">
            <w:pPr>
              <w:spacing w:after="120"/>
              <w:jc w:val="both"/>
              <w:rPr>
                <w:rFonts w:ascii="Times New Roman" w:hAnsi="Times New Roman" w:cs="Times New Roman"/>
                <w:b/>
                <w:i/>
                <w:iCs/>
                <w:sz w:val="20"/>
                <w:szCs w:val="20"/>
              </w:rPr>
            </w:pPr>
            <w:r w:rsidRPr="0097485B">
              <w:rPr>
                <w:rFonts w:ascii="Times New Roman" w:hAnsi="Times New Roman" w:cs="Times New Roman"/>
                <w:b/>
                <w:i/>
                <w:iCs/>
                <w:sz w:val="20"/>
                <w:szCs w:val="20"/>
              </w:rPr>
              <w:t>Definition</w:t>
            </w:r>
          </w:p>
        </w:tc>
      </w:tr>
      <w:tr w:rsidR="00E75D2D" w:rsidRPr="0024216B" w14:paraId="13D7359F" w14:textId="77777777" w:rsidTr="008F059E">
        <w:trPr>
          <w:trHeight w:val="485"/>
        </w:trPr>
        <w:tc>
          <w:tcPr>
            <w:tcW w:w="2405" w:type="dxa"/>
            <w:tcBorders>
              <w:top w:val="single" w:sz="8" w:space="0" w:color="auto"/>
              <w:left w:val="nil"/>
              <w:bottom w:val="single" w:sz="2" w:space="0" w:color="auto"/>
              <w:right w:val="nil"/>
            </w:tcBorders>
            <w:vAlign w:val="center"/>
          </w:tcPr>
          <w:p w14:paraId="7B8105A8"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Plastic deformation</w:t>
            </w:r>
          </w:p>
        </w:tc>
        <w:tc>
          <w:tcPr>
            <w:tcW w:w="6657" w:type="dxa"/>
            <w:tcBorders>
              <w:top w:val="single" w:sz="8" w:space="0" w:color="auto"/>
              <w:left w:val="nil"/>
              <w:bottom w:val="single" w:sz="2" w:space="0" w:color="auto"/>
              <w:right w:val="nil"/>
            </w:tcBorders>
            <w:vAlign w:val="center"/>
          </w:tcPr>
          <w:p w14:paraId="1FC2EBA7"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Is the persistent deformation of bone.</w:t>
            </w:r>
          </w:p>
        </w:tc>
      </w:tr>
      <w:tr w:rsidR="00E75D2D" w:rsidRPr="0024216B" w14:paraId="1FCBAE60" w14:textId="77777777" w:rsidTr="008F059E">
        <w:trPr>
          <w:trHeight w:val="421"/>
        </w:trPr>
        <w:tc>
          <w:tcPr>
            <w:tcW w:w="2405" w:type="dxa"/>
            <w:tcBorders>
              <w:top w:val="single" w:sz="2" w:space="0" w:color="auto"/>
              <w:left w:val="nil"/>
              <w:right w:val="nil"/>
            </w:tcBorders>
            <w:vAlign w:val="center"/>
          </w:tcPr>
          <w:p w14:paraId="4230C0F8"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Marginal chipping</w:t>
            </w:r>
          </w:p>
        </w:tc>
        <w:tc>
          <w:tcPr>
            <w:tcW w:w="6657" w:type="dxa"/>
            <w:tcBorders>
              <w:top w:val="single" w:sz="2" w:space="0" w:color="auto"/>
              <w:left w:val="nil"/>
              <w:right w:val="nil"/>
            </w:tcBorders>
            <w:vAlign w:val="center"/>
          </w:tcPr>
          <w:p w14:paraId="6367CA60"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Tiny, superficial cortical defects on the fracture margin.</w:t>
            </w:r>
          </w:p>
        </w:tc>
      </w:tr>
      <w:tr w:rsidR="00E75D2D" w:rsidRPr="0024216B" w14:paraId="1F48C78E" w14:textId="77777777" w:rsidTr="008F059E">
        <w:trPr>
          <w:trHeight w:val="408"/>
        </w:trPr>
        <w:tc>
          <w:tcPr>
            <w:tcW w:w="2405" w:type="dxa"/>
            <w:tcBorders>
              <w:left w:val="nil"/>
              <w:right w:val="nil"/>
            </w:tcBorders>
            <w:vAlign w:val="center"/>
          </w:tcPr>
          <w:p w14:paraId="63ED691F" w14:textId="77777777" w:rsidR="00E75D2D" w:rsidRPr="00733C8A" w:rsidRDefault="00E75D2D" w:rsidP="008F059E">
            <w:pPr>
              <w:rPr>
                <w:rFonts w:ascii="Times New Roman" w:hAnsi="Times New Roman" w:cs="Times New Roman"/>
                <w:sz w:val="20"/>
                <w:szCs w:val="20"/>
              </w:rPr>
            </w:pPr>
            <w:r w:rsidRPr="00733C8A">
              <w:rPr>
                <w:rFonts w:ascii="Times New Roman" w:hAnsi="Times New Roman" w:cs="Times New Roman"/>
                <w:sz w:val="20"/>
                <w:szCs w:val="20"/>
              </w:rPr>
              <w:t>Fracture surface scaling</w:t>
            </w:r>
          </w:p>
        </w:tc>
        <w:tc>
          <w:tcPr>
            <w:tcW w:w="6657" w:type="dxa"/>
            <w:tcBorders>
              <w:left w:val="nil"/>
              <w:right w:val="nil"/>
            </w:tcBorders>
            <w:vAlign w:val="center"/>
          </w:tcPr>
          <w:p w14:paraId="25E6B8B5" w14:textId="77777777" w:rsidR="00E75D2D" w:rsidRPr="00733C8A" w:rsidRDefault="00E75D2D" w:rsidP="008F059E">
            <w:pPr>
              <w:jc w:val="both"/>
              <w:rPr>
                <w:rFonts w:ascii="Times New Roman" w:hAnsi="Times New Roman" w:cs="Times New Roman"/>
                <w:sz w:val="20"/>
                <w:szCs w:val="20"/>
              </w:rPr>
            </w:pPr>
            <w:r w:rsidRPr="00733C8A">
              <w:rPr>
                <w:rFonts w:ascii="Times New Roman" w:hAnsi="Times New Roman" w:cs="Times New Roman"/>
                <w:sz w:val="20"/>
                <w:szCs w:val="20"/>
              </w:rPr>
              <w:t>Tiny cortical scaling on the fracture surface.</w:t>
            </w:r>
          </w:p>
        </w:tc>
      </w:tr>
      <w:tr w:rsidR="00E75D2D" w:rsidRPr="0024216B" w14:paraId="7CAE1865" w14:textId="77777777" w:rsidTr="008F059E">
        <w:trPr>
          <w:trHeight w:val="403"/>
        </w:trPr>
        <w:tc>
          <w:tcPr>
            <w:tcW w:w="2405" w:type="dxa"/>
            <w:tcBorders>
              <w:left w:val="nil"/>
              <w:right w:val="nil"/>
            </w:tcBorders>
            <w:vAlign w:val="center"/>
          </w:tcPr>
          <w:p w14:paraId="461C5738" w14:textId="77777777" w:rsidR="00E75D2D" w:rsidRPr="00733C8A" w:rsidRDefault="00E75D2D" w:rsidP="008F059E">
            <w:pPr>
              <w:rPr>
                <w:rFonts w:ascii="Times New Roman" w:hAnsi="Times New Roman" w:cs="Times New Roman"/>
                <w:sz w:val="20"/>
                <w:szCs w:val="20"/>
              </w:rPr>
            </w:pPr>
            <w:r>
              <w:rPr>
                <w:rFonts w:ascii="Times New Roman" w:hAnsi="Times New Roman" w:cs="Times New Roman"/>
                <w:sz w:val="20"/>
                <w:szCs w:val="20"/>
              </w:rPr>
              <w:t>G</w:t>
            </w:r>
            <w:r w:rsidRPr="00CB58F3">
              <w:rPr>
                <w:rFonts w:ascii="Times New Roman" w:hAnsi="Times New Roman" w:cs="Times New Roman"/>
                <w:sz w:val="20"/>
                <w:szCs w:val="20"/>
              </w:rPr>
              <w:t>rey discolouration</w:t>
            </w:r>
          </w:p>
        </w:tc>
        <w:tc>
          <w:tcPr>
            <w:tcW w:w="6657" w:type="dxa"/>
            <w:tcBorders>
              <w:left w:val="nil"/>
              <w:right w:val="nil"/>
            </w:tcBorders>
            <w:vAlign w:val="center"/>
          </w:tcPr>
          <w:p w14:paraId="484AE7DE" w14:textId="77777777" w:rsidR="00E75D2D" w:rsidRPr="00733C8A" w:rsidRDefault="00E75D2D" w:rsidP="008F059E">
            <w:pPr>
              <w:jc w:val="both"/>
              <w:rPr>
                <w:rFonts w:ascii="Times New Roman" w:hAnsi="Times New Roman" w:cs="Times New Roman"/>
                <w:sz w:val="20"/>
                <w:szCs w:val="20"/>
              </w:rPr>
            </w:pPr>
            <w:r>
              <w:rPr>
                <w:rFonts w:ascii="Times New Roman" w:hAnsi="Times New Roman" w:cs="Times New Roman"/>
                <w:sz w:val="20"/>
                <w:szCs w:val="20"/>
              </w:rPr>
              <w:t>Traces of grey colour on the bone in the area of the bullet trajectory.</w:t>
            </w:r>
          </w:p>
        </w:tc>
      </w:tr>
    </w:tbl>
    <w:p w14:paraId="3DEAD859" w14:textId="77777777" w:rsidR="00E75D2D" w:rsidRPr="00E75D2D" w:rsidRDefault="00E75D2D" w:rsidP="00E75D2D">
      <w:pPr>
        <w:spacing w:after="120" w:line="480" w:lineRule="auto"/>
        <w:rPr>
          <w:rFonts w:ascii="Times New Roman" w:hAnsi="Times New Roman" w:cs="Times New Roman"/>
          <w:lang w:val="en-GB"/>
        </w:rPr>
      </w:pPr>
    </w:p>
    <w:p w14:paraId="757A9955" w14:textId="77777777" w:rsidR="00E75D2D" w:rsidRPr="00E75D2D" w:rsidRDefault="00E75D2D" w:rsidP="00921A13">
      <w:pPr>
        <w:rPr>
          <w:rFonts w:ascii="Times New Roman" w:hAnsi="Times New Roman" w:cs="Times New Roman"/>
          <w:lang w:val="en-GB"/>
        </w:rPr>
      </w:pPr>
    </w:p>
    <w:sectPr w:rsidR="00E75D2D" w:rsidRPr="00E75D2D" w:rsidSect="00BF6B47">
      <w:pgSz w:w="11906" w:h="16838" w:code="9"/>
      <w:pgMar w:top="1701"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EEA17B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21AED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81A494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398424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DB039B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25075B8"/>
    <w:multiLevelType w:val="hybridMultilevel"/>
    <w:tmpl w:val="B1E08EEC"/>
    <w:lvl w:ilvl="0" w:tplc="15DA8A46">
      <w:start w:val="1"/>
      <w:numFmt w:val="decimal"/>
      <w:lvlText w:val="%1."/>
      <w:lvlJc w:val="left"/>
      <w:pPr>
        <w:ind w:left="720" w:hanging="360"/>
      </w:pPr>
    </w:lvl>
    <w:lvl w:ilvl="1" w:tplc="189437BE" w:tentative="1">
      <w:start w:val="1"/>
      <w:numFmt w:val="lowerLetter"/>
      <w:lvlText w:val="%2."/>
      <w:lvlJc w:val="left"/>
      <w:pPr>
        <w:ind w:left="1440" w:hanging="360"/>
      </w:pPr>
    </w:lvl>
    <w:lvl w:ilvl="2" w:tplc="D99A8DC8" w:tentative="1">
      <w:start w:val="1"/>
      <w:numFmt w:val="lowerRoman"/>
      <w:lvlText w:val="%3."/>
      <w:lvlJc w:val="right"/>
      <w:pPr>
        <w:ind w:left="2160" w:hanging="180"/>
      </w:pPr>
    </w:lvl>
    <w:lvl w:ilvl="3" w:tplc="BDECA98E" w:tentative="1">
      <w:start w:val="1"/>
      <w:numFmt w:val="decimal"/>
      <w:lvlText w:val="%4."/>
      <w:lvlJc w:val="left"/>
      <w:pPr>
        <w:ind w:left="2880" w:hanging="360"/>
      </w:pPr>
    </w:lvl>
    <w:lvl w:ilvl="4" w:tplc="15B0681E" w:tentative="1">
      <w:start w:val="1"/>
      <w:numFmt w:val="lowerLetter"/>
      <w:lvlText w:val="%5."/>
      <w:lvlJc w:val="left"/>
      <w:pPr>
        <w:ind w:left="3600" w:hanging="360"/>
      </w:pPr>
    </w:lvl>
    <w:lvl w:ilvl="5" w:tplc="A0649E4E" w:tentative="1">
      <w:start w:val="1"/>
      <w:numFmt w:val="lowerRoman"/>
      <w:lvlText w:val="%6."/>
      <w:lvlJc w:val="right"/>
      <w:pPr>
        <w:ind w:left="4320" w:hanging="180"/>
      </w:pPr>
    </w:lvl>
    <w:lvl w:ilvl="6" w:tplc="A470FD8C" w:tentative="1">
      <w:start w:val="1"/>
      <w:numFmt w:val="decimal"/>
      <w:lvlText w:val="%7."/>
      <w:lvlJc w:val="left"/>
      <w:pPr>
        <w:ind w:left="5040" w:hanging="360"/>
      </w:pPr>
    </w:lvl>
    <w:lvl w:ilvl="7" w:tplc="81866F4A" w:tentative="1">
      <w:start w:val="1"/>
      <w:numFmt w:val="lowerLetter"/>
      <w:lvlText w:val="%8."/>
      <w:lvlJc w:val="left"/>
      <w:pPr>
        <w:ind w:left="5760" w:hanging="360"/>
      </w:pPr>
    </w:lvl>
    <w:lvl w:ilvl="8" w:tplc="D67E3D8E"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C33"/>
    <w:rsid w:val="00103C0F"/>
    <w:rsid w:val="00161184"/>
    <w:rsid w:val="001F7977"/>
    <w:rsid w:val="0024216B"/>
    <w:rsid w:val="00274AA8"/>
    <w:rsid w:val="0036668A"/>
    <w:rsid w:val="00380C33"/>
    <w:rsid w:val="003962AC"/>
    <w:rsid w:val="003E2DD5"/>
    <w:rsid w:val="00590C76"/>
    <w:rsid w:val="005D0996"/>
    <w:rsid w:val="005E6F2A"/>
    <w:rsid w:val="007338FF"/>
    <w:rsid w:val="008B5636"/>
    <w:rsid w:val="00921A13"/>
    <w:rsid w:val="00AD7F8F"/>
    <w:rsid w:val="00BF6B47"/>
    <w:rsid w:val="00D92D47"/>
    <w:rsid w:val="00E75D2D"/>
    <w:rsid w:val="00EE0FC9"/>
    <w:rsid w:val="00EF54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A028"/>
  <w15:chartTrackingRefBased/>
  <w15:docId w15:val="{A460F69C-485B-490C-ABD1-378E9040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lsdException w:name="Subtle Reference" w:semiHidden="1" w:uiPriority="31" w:unhideWhenUsed="1" w:qFormat="1"/>
    <w:lsdException w:name="Intense Reference" w:uiPriority="32"/>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1184"/>
  </w:style>
  <w:style w:type="paragraph" w:styleId="berschrift1">
    <w:name w:val="heading 1"/>
    <w:basedOn w:val="Standard"/>
    <w:next w:val="Standard"/>
    <w:link w:val="berschrift1Zchn"/>
    <w:uiPriority w:val="9"/>
    <w:qFormat/>
    <w:rsid w:val="00BF6B47"/>
    <w:pPr>
      <w:keepNext/>
      <w:keepLines/>
      <w:spacing w:before="120" w:after="240"/>
      <w:outlineLvl w:val="0"/>
    </w:pPr>
    <w:rPr>
      <w:rFonts w:asciiTheme="majorHAnsi" w:eastAsiaTheme="majorEastAsia" w:hAnsiTheme="majorHAnsi" w:cstheme="majorBidi"/>
      <w:b/>
      <w:sz w:val="30"/>
      <w:szCs w:val="32"/>
    </w:rPr>
  </w:style>
  <w:style w:type="paragraph" w:styleId="berschrift2">
    <w:name w:val="heading 2"/>
    <w:basedOn w:val="Standard"/>
    <w:next w:val="Standard"/>
    <w:link w:val="berschrift2Zchn"/>
    <w:uiPriority w:val="9"/>
    <w:qFormat/>
    <w:rsid w:val="00BF6B47"/>
    <w:pPr>
      <w:keepNext/>
      <w:keepLines/>
      <w:spacing w:before="200" w:after="60"/>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qFormat/>
    <w:rsid w:val="00BF6B47"/>
    <w:pPr>
      <w:keepNext/>
      <w:keepLines/>
      <w:spacing w:before="20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921A13"/>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921A13"/>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921A13"/>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921A13"/>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921A13"/>
    <w:pPr>
      <w:keepNext/>
      <w:keepLines/>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921A13"/>
    <w:pPr>
      <w:keepNext/>
      <w:keepLines/>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Standard"/>
    <w:uiPriority w:val="1"/>
    <w:qFormat/>
    <w:rsid w:val="00921A13"/>
    <w:rPr>
      <w:b/>
    </w:rPr>
  </w:style>
  <w:style w:type="character" w:customStyle="1" w:styleId="berschrift1Zchn">
    <w:name w:val="Überschrift 1 Zchn"/>
    <w:basedOn w:val="Absatz-Standardschriftart"/>
    <w:link w:val="berschrift1"/>
    <w:uiPriority w:val="9"/>
    <w:rsid w:val="00BF6B47"/>
    <w:rPr>
      <w:rFonts w:asciiTheme="majorHAnsi" w:eastAsiaTheme="majorEastAsia" w:hAnsiTheme="majorHAnsi" w:cstheme="majorBidi"/>
      <w:b/>
      <w:sz w:val="30"/>
      <w:szCs w:val="32"/>
    </w:rPr>
  </w:style>
  <w:style w:type="character" w:customStyle="1" w:styleId="berschrift2Zchn">
    <w:name w:val="Überschrift 2 Zchn"/>
    <w:basedOn w:val="Absatz-Standardschriftart"/>
    <w:link w:val="berschrift2"/>
    <w:uiPriority w:val="9"/>
    <w:rsid w:val="00921A13"/>
    <w:rPr>
      <w:rFonts w:asciiTheme="majorHAnsi" w:eastAsiaTheme="majorEastAsia" w:hAnsiTheme="majorHAnsi" w:cstheme="majorBidi"/>
      <w:b/>
      <w:sz w:val="26"/>
      <w:szCs w:val="26"/>
    </w:rPr>
  </w:style>
  <w:style w:type="character" w:customStyle="1" w:styleId="berschrift3Zchn">
    <w:name w:val="Überschrift 3 Zchn"/>
    <w:basedOn w:val="Absatz-Standardschriftart"/>
    <w:link w:val="berschrift3"/>
    <w:uiPriority w:val="9"/>
    <w:rsid w:val="00921A13"/>
    <w:rPr>
      <w:rFonts w:asciiTheme="majorHAnsi" w:eastAsiaTheme="majorEastAsia" w:hAnsiTheme="majorHAnsi" w:cstheme="majorBidi"/>
      <w:b/>
      <w:szCs w:val="24"/>
    </w:rPr>
  </w:style>
  <w:style w:type="paragraph" w:styleId="Titel">
    <w:name w:val="Title"/>
    <w:basedOn w:val="Standard"/>
    <w:next w:val="Standard"/>
    <w:link w:val="TitelZchn"/>
    <w:uiPriority w:val="8"/>
    <w:qFormat/>
    <w:rsid w:val="00BF6B47"/>
    <w:pPr>
      <w:contextualSpacing/>
    </w:pPr>
    <w:rPr>
      <w:rFonts w:asciiTheme="majorHAnsi" w:eastAsiaTheme="majorEastAsia" w:hAnsiTheme="majorHAnsi" w:cstheme="majorBidi"/>
      <w:b/>
      <w:spacing w:val="5"/>
      <w:kern w:val="28"/>
      <w:sz w:val="40"/>
      <w:szCs w:val="56"/>
    </w:rPr>
  </w:style>
  <w:style w:type="character" w:customStyle="1" w:styleId="TitelZchn">
    <w:name w:val="Titel Zchn"/>
    <w:basedOn w:val="Absatz-Standardschriftart"/>
    <w:link w:val="Titel"/>
    <w:uiPriority w:val="8"/>
    <w:rsid w:val="00921A13"/>
    <w:rPr>
      <w:rFonts w:asciiTheme="majorHAnsi" w:eastAsiaTheme="majorEastAsia" w:hAnsiTheme="majorHAnsi" w:cstheme="majorBidi"/>
      <w:b/>
      <w:spacing w:val="5"/>
      <w:kern w:val="28"/>
      <w:sz w:val="40"/>
      <w:szCs w:val="56"/>
    </w:rPr>
  </w:style>
  <w:style w:type="paragraph" w:styleId="Untertitel">
    <w:name w:val="Subtitle"/>
    <w:basedOn w:val="Standard"/>
    <w:next w:val="Standard"/>
    <w:link w:val="UntertitelZchn"/>
    <w:uiPriority w:val="8"/>
    <w:qFormat/>
    <w:rsid w:val="00BF6B47"/>
    <w:pPr>
      <w:numPr>
        <w:ilvl w:val="1"/>
      </w:numPr>
    </w:pPr>
    <w:rPr>
      <w:rFonts w:eastAsiaTheme="minorEastAsia"/>
      <w:spacing w:val="15"/>
    </w:rPr>
  </w:style>
  <w:style w:type="character" w:customStyle="1" w:styleId="UntertitelZchn">
    <w:name w:val="Untertitel Zchn"/>
    <w:basedOn w:val="Absatz-Standardschriftart"/>
    <w:link w:val="Untertitel"/>
    <w:uiPriority w:val="8"/>
    <w:rsid w:val="00921A13"/>
    <w:rPr>
      <w:rFonts w:eastAsiaTheme="minorEastAsia"/>
      <w:spacing w:val="15"/>
    </w:rPr>
  </w:style>
  <w:style w:type="paragraph" w:styleId="Kopfzeile">
    <w:name w:val="header"/>
    <w:basedOn w:val="Standard"/>
    <w:link w:val="KopfzeileZchn"/>
    <w:uiPriority w:val="99"/>
    <w:semiHidden/>
    <w:unhideWhenUsed/>
    <w:rsid w:val="00BF6B47"/>
    <w:pPr>
      <w:tabs>
        <w:tab w:val="center" w:pos="4678"/>
        <w:tab w:val="right" w:pos="9356"/>
      </w:tabs>
    </w:pPr>
    <w:rPr>
      <w:sz w:val="18"/>
    </w:rPr>
  </w:style>
  <w:style w:type="character" w:customStyle="1" w:styleId="KopfzeileZchn">
    <w:name w:val="Kopfzeile Zchn"/>
    <w:basedOn w:val="Absatz-Standardschriftart"/>
    <w:link w:val="Kopfzeile"/>
    <w:uiPriority w:val="99"/>
    <w:semiHidden/>
    <w:rsid w:val="00BF6B47"/>
    <w:rPr>
      <w:sz w:val="18"/>
    </w:rPr>
  </w:style>
  <w:style w:type="paragraph" w:styleId="Fuzeile">
    <w:name w:val="footer"/>
    <w:basedOn w:val="Standard"/>
    <w:link w:val="FuzeileZchn"/>
    <w:uiPriority w:val="99"/>
    <w:semiHidden/>
    <w:unhideWhenUsed/>
    <w:rsid w:val="00BF6B47"/>
    <w:pPr>
      <w:tabs>
        <w:tab w:val="center" w:pos="4678"/>
        <w:tab w:val="right" w:pos="9356"/>
      </w:tabs>
    </w:pPr>
    <w:rPr>
      <w:sz w:val="18"/>
    </w:rPr>
  </w:style>
  <w:style w:type="character" w:customStyle="1" w:styleId="FuzeileZchn">
    <w:name w:val="Fußzeile Zchn"/>
    <w:basedOn w:val="Absatz-Standardschriftart"/>
    <w:link w:val="Fuzeile"/>
    <w:uiPriority w:val="99"/>
    <w:semiHidden/>
    <w:rsid w:val="00BF6B47"/>
    <w:rPr>
      <w:sz w:val="18"/>
    </w:rPr>
  </w:style>
  <w:style w:type="character" w:styleId="IntensiveHervorhebung">
    <w:name w:val="Intense Emphasis"/>
    <w:basedOn w:val="Absatz-Standardschriftart"/>
    <w:uiPriority w:val="21"/>
    <w:unhideWhenUsed/>
    <w:rsid w:val="00921A13"/>
    <w:rPr>
      <w:i/>
      <w:iCs/>
      <w:color w:val="auto"/>
    </w:rPr>
  </w:style>
  <w:style w:type="paragraph" w:styleId="IntensivesZitat">
    <w:name w:val="Intense Quote"/>
    <w:basedOn w:val="Standard"/>
    <w:next w:val="Standard"/>
    <w:link w:val="IntensivesZitatZchn"/>
    <w:uiPriority w:val="30"/>
    <w:unhideWhenUsed/>
    <w:rsid w:val="00921A13"/>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921A13"/>
    <w:rPr>
      <w:i/>
      <w:iCs/>
    </w:rPr>
  </w:style>
  <w:style w:type="character" w:styleId="IntensiverVerweis">
    <w:name w:val="Intense Reference"/>
    <w:basedOn w:val="Absatz-Standardschriftart"/>
    <w:uiPriority w:val="32"/>
    <w:unhideWhenUsed/>
    <w:rsid w:val="00921A13"/>
    <w:rPr>
      <w:b/>
      <w:bCs/>
      <w:smallCaps/>
      <w:color w:val="auto"/>
      <w:spacing w:val="5"/>
    </w:rPr>
  </w:style>
  <w:style w:type="paragraph" w:styleId="KeinLeerraum">
    <w:name w:val="No Spacing"/>
    <w:uiPriority w:val="1"/>
    <w:unhideWhenUsed/>
    <w:rsid w:val="00921A13"/>
  </w:style>
  <w:style w:type="character" w:customStyle="1" w:styleId="berschrift4Zchn">
    <w:name w:val="Überschrift 4 Zchn"/>
    <w:basedOn w:val="Absatz-Standardschriftart"/>
    <w:link w:val="berschrift4"/>
    <w:uiPriority w:val="9"/>
    <w:semiHidden/>
    <w:rsid w:val="00921A13"/>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921A13"/>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921A13"/>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921A13"/>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921A13"/>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921A13"/>
    <w:rPr>
      <w:rFonts w:asciiTheme="majorHAnsi" w:eastAsiaTheme="majorEastAsia" w:hAnsiTheme="majorHAnsi" w:cstheme="majorBidi"/>
      <w:i/>
      <w:iCs/>
      <w:sz w:val="21"/>
      <w:szCs w:val="21"/>
    </w:rPr>
  </w:style>
  <w:style w:type="character" w:styleId="SchwacheHervorhebung">
    <w:name w:val="Subtle Emphasis"/>
    <w:basedOn w:val="Absatz-Standardschriftart"/>
    <w:uiPriority w:val="19"/>
    <w:semiHidden/>
    <w:unhideWhenUsed/>
    <w:qFormat/>
    <w:rsid w:val="00921A13"/>
    <w:rPr>
      <w:i/>
      <w:iCs/>
      <w:color w:val="auto"/>
    </w:rPr>
  </w:style>
  <w:style w:type="paragraph" w:styleId="Inhaltsverzeichnisberschrift">
    <w:name w:val="TOC Heading"/>
    <w:basedOn w:val="berschrift1"/>
    <w:next w:val="Standard"/>
    <w:uiPriority w:val="39"/>
    <w:semiHidden/>
    <w:unhideWhenUsed/>
    <w:qFormat/>
    <w:rsid w:val="00921A13"/>
    <w:pPr>
      <w:spacing w:before="240" w:after="0"/>
      <w:outlineLvl w:val="9"/>
    </w:pPr>
    <w:rPr>
      <w:b w:val="0"/>
      <w:sz w:val="32"/>
    </w:rPr>
  </w:style>
  <w:style w:type="paragraph" w:customStyle="1" w:styleId="Level2Headings">
    <w:name w:val="Level 2 Headings"/>
    <w:basedOn w:val="Standard"/>
    <w:link w:val="Level2HeadingsZchn"/>
    <w:qFormat/>
    <w:rsid w:val="00380C33"/>
    <w:pPr>
      <w:spacing w:after="160" w:line="259" w:lineRule="auto"/>
    </w:pPr>
    <w:rPr>
      <w:rFonts w:ascii="Times New Roman" w:hAnsi="Times New Roman"/>
      <w:b/>
      <w:kern w:val="2"/>
      <w:sz w:val="24"/>
      <w:lang w:val="en-GB"/>
      <w14:ligatures w14:val="standardContextual"/>
    </w:rPr>
  </w:style>
  <w:style w:type="character" w:customStyle="1" w:styleId="Level2HeadingsZchn">
    <w:name w:val="Level 2 Headings Zchn"/>
    <w:basedOn w:val="Absatz-Standardschriftart"/>
    <w:link w:val="Level2Headings"/>
    <w:rsid w:val="00380C33"/>
    <w:rPr>
      <w:rFonts w:ascii="Times New Roman" w:hAnsi="Times New Roman"/>
      <w:b/>
      <w:kern w:val="2"/>
      <w:sz w:val="24"/>
      <w:lang w:val="en-GB"/>
      <w14:ligatures w14:val="standardContextual"/>
    </w:rPr>
  </w:style>
  <w:style w:type="paragraph" w:customStyle="1" w:styleId="Text">
    <w:name w:val="Text"/>
    <w:basedOn w:val="Standard"/>
    <w:link w:val="TextZchn"/>
    <w:qFormat/>
    <w:rsid w:val="00E75D2D"/>
    <w:pPr>
      <w:spacing w:after="160" w:line="480" w:lineRule="auto"/>
      <w:ind w:firstLine="720"/>
      <w:jc w:val="both"/>
    </w:pPr>
    <w:rPr>
      <w:rFonts w:ascii="Times New Roman" w:hAnsi="Times New Roman"/>
      <w:kern w:val="2"/>
      <w:sz w:val="24"/>
      <w:lang w:val="en-GB"/>
      <w14:ligatures w14:val="standardContextual"/>
    </w:rPr>
  </w:style>
  <w:style w:type="character" w:customStyle="1" w:styleId="TextZchn">
    <w:name w:val="Text Zchn"/>
    <w:basedOn w:val="Absatz-Standardschriftart"/>
    <w:link w:val="Text"/>
    <w:rsid w:val="00E75D2D"/>
    <w:rPr>
      <w:rFonts w:ascii="Times New Roman" w:hAnsi="Times New Roman"/>
      <w:kern w:val="2"/>
      <w:sz w:val="24"/>
      <w:lang w:val="en-GB"/>
      <w14:ligatures w14:val="standardContextual"/>
    </w:rPr>
  </w:style>
  <w:style w:type="table" w:styleId="Tabellenraster">
    <w:name w:val="Table Grid"/>
    <w:basedOn w:val="NormaleTabelle"/>
    <w:uiPriority w:val="39"/>
    <w:rsid w:val="00E75D2D"/>
    <w:rPr>
      <w:kern w:val="2"/>
      <w:lang w:val="ca-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338FF"/>
    <w:rPr>
      <w:sz w:val="16"/>
      <w:szCs w:val="16"/>
    </w:rPr>
  </w:style>
  <w:style w:type="paragraph" w:styleId="Kommentartext">
    <w:name w:val="annotation text"/>
    <w:basedOn w:val="Standard"/>
    <w:link w:val="KommentartextZchn"/>
    <w:uiPriority w:val="99"/>
    <w:semiHidden/>
    <w:unhideWhenUsed/>
    <w:rsid w:val="007338FF"/>
    <w:rPr>
      <w:sz w:val="20"/>
      <w:szCs w:val="20"/>
    </w:rPr>
  </w:style>
  <w:style w:type="character" w:customStyle="1" w:styleId="KommentartextZchn">
    <w:name w:val="Kommentartext Zchn"/>
    <w:basedOn w:val="Absatz-Standardschriftart"/>
    <w:link w:val="Kommentartext"/>
    <w:uiPriority w:val="99"/>
    <w:semiHidden/>
    <w:rsid w:val="007338FF"/>
    <w:rPr>
      <w:sz w:val="20"/>
      <w:szCs w:val="20"/>
    </w:rPr>
  </w:style>
  <w:style w:type="paragraph" w:styleId="Kommentarthema">
    <w:name w:val="annotation subject"/>
    <w:basedOn w:val="Kommentartext"/>
    <w:next w:val="Kommentartext"/>
    <w:link w:val="KommentarthemaZchn"/>
    <w:uiPriority w:val="99"/>
    <w:semiHidden/>
    <w:unhideWhenUsed/>
    <w:rsid w:val="007338FF"/>
    <w:rPr>
      <w:b/>
      <w:bCs/>
    </w:rPr>
  </w:style>
  <w:style w:type="character" w:customStyle="1" w:styleId="KommentarthemaZchn">
    <w:name w:val="Kommentarthema Zchn"/>
    <w:basedOn w:val="KommentartextZchn"/>
    <w:link w:val="Kommentarthema"/>
    <w:uiPriority w:val="99"/>
    <w:semiHidden/>
    <w:rsid w:val="007338FF"/>
    <w:rPr>
      <w:b/>
      <w:bCs/>
      <w:sz w:val="20"/>
      <w:szCs w:val="20"/>
    </w:rPr>
  </w:style>
  <w:style w:type="paragraph" w:styleId="Sprechblasentext">
    <w:name w:val="Balloon Text"/>
    <w:basedOn w:val="Standard"/>
    <w:link w:val="SprechblasentextZchn"/>
    <w:uiPriority w:val="99"/>
    <w:semiHidden/>
    <w:unhideWhenUsed/>
    <w:rsid w:val="007338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38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avier.jordana@uab.cat" TargetMode="External"/><Relationship Id="rId5" Type="http://schemas.openxmlformats.org/officeDocument/2006/relationships/hyperlink" Target="mailto:ignasigalt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KSSG">
  <a:themeElements>
    <a:clrScheme name="KSSG Verbund">
      <a:dk1>
        <a:sysClr val="windowText" lastClr="000000"/>
      </a:dk1>
      <a:lt1>
        <a:sysClr val="window" lastClr="FFFFFF"/>
      </a:lt1>
      <a:dk2>
        <a:srgbClr val="000000"/>
      </a:dk2>
      <a:lt2>
        <a:srgbClr val="FFFFFF"/>
      </a:lt2>
      <a:accent1>
        <a:srgbClr val="BF0000"/>
      </a:accent1>
      <a:accent2>
        <a:srgbClr val="EE7B00"/>
      </a:accent2>
      <a:accent3>
        <a:srgbClr val="ECC606"/>
      </a:accent3>
      <a:accent4>
        <a:srgbClr val="77AD1C"/>
      </a:accent4>
      <a:accent5>
        <a:srgbClr val="0069AC"/>
      </a:accent5>
      <a:accent6>
        <a:srgbClr val="00532A"/>
      </a:accent6>
      <a:hlink>
        <a:srgbClr val="0F6FC6"/>
      </a:hlink>
      <a:folHlink>
        <a:srgbClr val="A9AAAC"/>
      </a:folHlink>
    </a:clrScheme>
    <a:fontScheme name="KSSG Schriftdesig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4742</Characters>
  <Application>Microsoft Office Word</Application>
  <DocSecurity>4</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SSC-IT</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Schwab Nathalie Corinne HOCH-IRM</dc:creator>
  <cp:keywords/>
  <dc:description/>
  <cp:lastModifiedBy>Schwab Nathalie Corinne HOCH-IRM</cp:lastModifiedBy>
  <cp:revision>2</cp:revision>
  <dcterms:created xsi:type="dcterms:W3CDTF">2025-03-21T10:09:00Z</dcterms:created>
  <dcterms:modified xsi:type="dcterms:W3CDTF">2025-03-21T10:09:00Z</dcterms:modified>
</cp:coreProperties>
</file>