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2E9879" w14:textId="55E681C4" w:rsidR="00BA2EA0" w:rsidRPr="00B83431" w:rsidRDefault="00BA2EA0" w:rsidP="00BA2EA0">
      <w:pPr>
        <w:spacing w:line="240" w:lineRule="auto"/>
        <w:ind w:right="261"/>
        <w:jc w:val="center"/>
        <w:rPr>
          <w:rFonts w:ascii="Times New Roman" w:hAnsi="Times New Roman" w:cs="Times New Roman"/>
          <w:sz w:val="20"/>
          <w:szCs w:val="20"/>
        </w:rPr>
      </w:pPr>
      <w:r w:rsidRPr="00B83431">
        <w:rPr>
          <w:rFonts w:ascii="Times New Roman" w:hAnsi="Times New Roman" w:cs="Times New Roman"/>
          <w:sz w:val="20"/>
          <w:szCs w:val="20"/>
        </w:rPr>
        <w:t>Submission to Journal of Neurology</w:t>
      </w:r>
    </w:p>
    <w:p w14:paraId="649C3033" w14:textId="77777777" w:rsidR="00BA2EA0" w:rsidRDefault="00BA2EA0" w:rsidP="00BA2EA0">
      <w:pPr>
        <w:spacing w:line="240" w:lineRule="auto"/>
        <w:ind w:right="261"/>
        <w:jc w:val="center"/>
        <w:rPr>
          <w:rFonts w:ascii="Times New Roman" w:hAnsi="Times New Roman" w:cs="Times New Roman"/>
          <w:b/>
          <w:sz w:val="20"/>
          <w:szCs w:val="20"/>
        </w:rPr>
      </w:pPr>
    </w:p>
    <w:p w14:paraId="56F1F0FD" w14:textId="77777777" w:rsidR="00BA2EA0" w:rsidRPr="00961FFD" w:rsidRDefault="00BA2EA0" w:rsidP="00BA2EA0">
      <w:pPr>
        <w:spacing w:line="240" w:lineRule="auto"/>
        <w:ind w:right="261"/>
        <w:jc w:val="center"/>
        <w:rPr>
          <w:rFonts w:ascii="Times New Roman" w:hAnsi="Times New Roman" w:cs="Times New Roman"/>
          <w:b/>
          <w:sz w:val="20"/>
          <w:szCs w:val="20"/>
        </w:rPr>
      </w:pPr>
      <w:r w:rsidRPr="00961FFD">
        <w:rPr>
          <w:rFonts w:ascii="Times New Roman" w:hAnsi="Times New Roman" w:cs="Times New Roman"/>
          <w:b/>
          <w:sz w:val="20"/>
          <w:szCs w:val="20"/>
        </w:rPr>
        <w:t xml:space="preserve">Parkinson’s-adapted Cognitive Stimulation Therapy: </w:t>
      </w:r>
    </w:p>
    <w:p w14:paraId="1AB6F94C" w14:textId="77777777" w:rsidR="00BA2EA0" w:rsidRPr="00961FFD" w:rsidRDefault="00BA2EA0" w:rsidP="00BA2EA0">
      <w:pPr>
        <w:spacing w:line="240" w:lineRule="auto"/>
        <w:jc w:val="center"/>
        <w:rPr>
          <w:rFonts w:ascii="Times New Roman" w:hAnsi="Times New Roman" w:cs="Times New Roman"/>
          <w:b/>
          <w:sz w:val="20"/>
          <w:szCs w:val="20"/>
        </w:rPr>
      </w:pPr>
      <w:r w:rsidRPr="00961FFD">
        <w:rPr>
          <w:rFonts w:ascii="Times New Roman" w:hAnsi="Times New Roman" w:cs="Times New Roman"/>
          <w:b/>
          <w:sz w:val="20"/>
          <w:szCs w:val="20"/>
        </w:rPr>
        <w:t>Feasibility and acceptability in Lewy body spectrum disorders</w:t>
      </w:r>
    </w:p>
    <w:p w14:paraId="788694D9" w14:textId="77777777" w:rsidR="00BA2EA0" w:rsidRPr="00961FFD" w:rsidRDefault="00BA2EA0" w:rsidP="00BA2EA0">
      <w:pPr>
        <w:spacing w:after="0" w:line="288" w:lineRule="auto"/>
        <w:jc w:val="both"/>
        <w:rPr>
          <w:rFonts w:ascii="Times New Roman" w:hAnsi="Times New Roman" w:cs="Times New Roman"/>
          <w:sz w:val="20"/>
          <w:szCs w:val="20"/>
        </w:rPr>
      </w:pPr>
    </w:p>
    <w:p w14:paraId="5E094A88"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rPr>
        <w:t>Sheree A. McCormick, PhD</w:t>
      </w:r>
      <w:r w:rsidRPr="00961FFD">
        <w:rPr>
          <w:rFonts w:ascii="Times New Roman" w:hAnsi="Times New Roman" w:cs="Times New Roman"/>
          <w:sz w:val="20"/>
          <w:szCs w:val="20"/>
          <w:vertAlign w:val="superscript"/>
        </w:rPr>
        <w:t>1</w:t>
      </w:r>
      <w:r w:rsidRPr="00961FFD">
        <w:rPr>
          <w:rFonts w:ascii="Times New Roman" w:hAnsi="Times New Roman" w:cs="Times New Roman"/>
          <w:sz w:val="20"/>
          <w:szCs w:val="20"/>
        </w:rPr>
        <w:t xml:space="preserve">; Sabina </w:t>
      </w:r>
      <w:proofErr w:type="spellStart"/>
      <w:r w:rsidRPr="00961FFD">
        <w:rPr>
          <w:rFonts w:ascii="Times New Roman" w:hAnsi="Times New Roman" w:cs="Times New Roman"/>
          <w:sz w:val="20"/>
          <w:szCs w:val="20"/>
        </w:rPr>
        <w:t>Vatter</w:t>
      </w:r>
      <w:proofErr w:type="spellEnd"/>
      <w:r w:rsidRPr="00961FFD">
        <w:rPr>
          <w:rFonts w:ascii="Times New Roman" w:hAnsi="Times New Roman" w:cs="Times New Roman"/>
          <w:sz w:val="20"/>
          <w:szCs w:val="20"/>
        </w:rPr>
        <w:t>, MA</w:t>
      </w:r>
      <w:r w:rsidRPr="00961FFD">
        <w:rPr>
          <w:rFonts w:ascii="Times New Roman" w:hAnsi="Times New Roman" w:cs="Times New Roman"/>
          <w:sz w:val="20"/>
          <w:szCs w:val="20"/>
          <w:vertAlign w:val="superscript"/>
        </w:rPr>
        <w:t>1</w:t>
      </w:r>
      <w:r w:rsidRPr="00961FFD">
        <w:rPr>
          <w:rFonts w:ascii="Times New Roman" w:hAnsi="Times New Roman" w:cs="Times New Roman"/>
          <w:sz w:val="20"/>
          <w:szCs w:val="20"/>
        </w:rPr>
        <w:t>; Lesley-Anne Carter, PhD</w:t>
      </w:r>
      <w:r w:rsidRPr="00961FFD">
        <w:rPr>
          <w:rFonts w:ascii="Times New Roman" w:hAnsi="Times New Roman" w:cs="Times New Roman"/>
          <w:sz w:val="20"/>
          <w:szCs w:val="20"/>
          <w:vertAlign w:val="superscript"/>
        </w:rPr>
        <w:t>2</w:t>
      </w:r>
      <w:r w:rsidRPr="00961FFD">
        <w:rPr>
          <w:rFonts w:ascii="Times New Roman" w:hAnsi="Times New Roman" w:cs="Times New Roman"/>
          <w:sz w:val="20"/>
          <w:szCs w:val="20"/>
        </w:rPr>
        <w:t>; Sarah J. Smith, PhD</w:t>
      </w:r>
      <w:r w:rsidRPr="00961FFD">
        <w:rPr>
          <w:rFonts w:ascii="Times New Roman" w:hAnsi="Times New Roman" w:cs="Times New Roman"/>
          <w:sz w:val="20"/>
          <w:szCs w:val="20"/>
          <w:vertAlign w:val="superscript"/>
        </w:rPr>
        <w:t>3</w:t>
      </w:r>
      <w:r w:rsidRPr="00961FFD">
        <w:rPr>
          <w:rFonts w:ascii="Times New Roman" w:hAnsi="Times New Roman" w:cs="Times New Roman"/>
          <w:sz w:val="20"/>
          <w:szCs w:val="20"/>
        </w:rPr>
        <w:t xml:space="preserve">; </w:t>
      </w:r>
      <w:proofErr w:type="spellStart"/>
      <w:r w:rsidRPr="00961FFD">
        <w:rPr>
          <w:rFonts w:ascii="Times New Roman" w:hAnsi="Times New Roman" w:cs="Times New Roman"/>
          <w:sz w:val="20"/>
          <w:szCs w:val="20"/>
        </w:rPr>
        <w:t>Vasiliki</w:t>
      </w:r>
      <w:proofErr w:type="spellEnd"/>
      <w:r w:rsidRPr="00961FFD">
        <w:rPr>
          <w:rFonts w:ascii="Times New Roman" w:hAnsi="Times New Roman" w:cs="Times New Roman"/>
          <w:sz w:val="20"/>
          <w:szCs w:val="20"/>
        </w:rPr>
        <w:t xml:space="preserve"> </w:t>
      </w:r>
      <w:proofErr w:type="spellStart"/>
      <w:r w:rsidRPr="00961FFD">
        <w:rPr>
          <w:rFonts w:ascii="Times New Roman" w:hAnsi="Times New Roman" w:cs="Times New Roman"/>
          <w:sz w:val="20"/>
          <w:szCs w:val="20"/>
        </w:rPr>
        <w:t>Orgeta</w:t>
      </w:r>
      <w:proofErr w:type="spellEnd"/>
      <w:r w:rsidRPr="00961FFD">
        <w:rPr>
          <w:rFonts w:ascii="Times New Roman" w:hAnsi="Times New Roman" w:cs="Times New Roman"/>
          <w:sz w:val="20"/>
          <w:szCs w:val="20"/>
        </w:rPr>
        <w:t>, PhD</w:t>
      </w:r>
      <w:r w:rsidRPr="00961FFD">
        <w:rPr>
          <w:rFonts w:ascii="Times New Roman" w:hAnsi="Times New Roman" w:cs="Times New Roman"/>
          <w:sz w:val="20"/>
          <w:szCs w:val="20"/>
          <w:vertAlign w:val="superscript"/>
        </w:rPr>
        <w:t>4</w:t>
      </w:r>
      <w:r w:rsidRPr="00961FFD">
        <w:rPr>
          <w:rFonts w:ascii="Times New Roman" w:hAnsi="Times New Roman" w:cs="Times New Roman"/>
          <w:sz w:val="20"/>
          <w:szCs w:val="20"/>
        </w:rPr>
        <w:t xml:space="preserve">; Ellen </w:t>
      </w:r>
      <w:proofErr w:type="spellStart"/>
      <w:r w:rsidRPr="00961FFD">
        <w:rPr>
          <w:rFonts w:ascii="Times New Roman" w:hAnsi="Times New Roman" w:cs="Times New Roman"/>
          <w:sz w:val="20"/>
          <w:szCs w:val="20"/>
        </w:rPr>
        <w:t>Poliakoff</w:t>
      </w:r>
      <w:proofErr w:type="spellEnd"/>
      <w:r w:rsidRPr="00961FFD">
        <w:rPr>
          <w:rFonts w:ascii="Times New Roman" w:hAnsi="Times New Roman" w:cs="Times New Roman"/>
          <w:sz w:val="20"/>
          <w:szCs w:val="20"/>
        </w:rPr>
        <w:t>, PhD</w:t>
      </w:r>
      <w:r w:rsidRPr="00961FFD">
        <w:rPr>
          <w:rFonts w:ascii="Times New Roman" w:hAnsi="Times New Roman" w:cs="Times New Roman"/>
          <w:sz w:val="20"/>
          <w:szCs w:val="20"/>
          <w:vertAlign w:val="superscript"/>
        </w:rPr>
        <w:t>1</w:t>
      </w:r>
      <w:r w:rsidRPr="00961FFD">
        <w:rPr>
          <w:rFonts w:ascii="Times New Roman" w:hAnsi="Times New Roman" w:cs="Times New Roman"/>
          <w:sz w:val="20"/>
          <w:szCs w:val="20"/>
        </w:rPr>
        <w:t>; Monty A. Silverdale, MD, PhD</w:t>
      </w:r>
      <w:r w:rsidRPr="00961FFD">
        <w:rPr>
          <w:rFonts w:ascii="Times New Roman" w:hAnsi="Times New Roman" w:cs="Times New Roman"/>
          <w:sz w:val="20"/>
          <w:szCs w:val="20"/>
          <w:vertAlign w:val="superscript"/>
        </w:rPr>
        <w:t>5</w:t>
      </w:r>
      <w:r w:rsidRPr="00961FFD">
        <w:rPr>
          <w:rFonts w:ascii="Times New Roman" w:hAnsi="Times New Roman" w:cs="Times New Roman"/>
          <w:sz w:val="20"/>
          <w:szCs w:val="20"/>
        </w:rPr>
        <w:t>; Jason Raw, MD</w:t>
      </w:r>
      <w:r w:rsidRPr="00961FFD">
        <w:rPr>
          <w:rFonts w:ascii="Times New Roman" w:hAnsi="Times New Roman" w:cs="Times New Roman"/>
          <w:sz w:val="20"/>
          <w:szCs w:val="20"/>
          <w:vertAlign w:val="superscript"/>
        </w:rPr>
        <w:t>6</w:t>
      </w:r>
      <w:r w:rsidRPr="00961FFD">
        <w:rPr>
          <w:rFonts w:ascii="Times New Roman" w:hAnsi="Times New Roman" w:cs="Times New Roman"/>
          <w:sz w:val="20"/>
          <w:szCs w:val="20"/>
        </w:rPr>
        <w:t>; David J. Ahearn, MD</w:t>
      </w:r>
      <w:r w:rsidRPr="00961FFD">
        <w:rPr>
          <w:rFonts w:ascii="Times New Roman" w:hAnsi="Times New Roman" w:cs="Times New Roman"/>
          <w:sz w:val="20"/>
          <w:szCs w:val="20"/>
          <w:vertAlign w:val="superscript"/>
        </w:rPr>
        <w:t>7</w:t>
      </w:r>
      <w:r w:rsidRPr="00961FFD">
        <w:rPr>
          <w:rFonts w:ascii="Times New Roman" w:hAnsi="Times New Roman" w:cs="Times New Roman"/>
          <w:sz w:val="20"/>
          <w:szCs w:val="20"/>
        </w:rPr>
        <w:t>; Christine Taylor, MD</w:t>
      </w:r>
      <w:r w:rsidRPr="00961FFD">
        <w:rPr>
          <w:rFonts w:ascii="Times New Roman" w:hAnsi="Times New Roman" w:cs="Times New Roman"/>
          <w:sz w:val="20"/>
          <w:szCs w:val="20"/>
          <w:vertAlign w:val="superscript"/>
        </w:rPr>
        <w:t>8</w:t>
      </w:r>
      <w:r w:rsidRPr="00961FFD">
        <w:rPr>
          <w:rFonts w:ascii="Times New Roman" w:hAnsi="Times New Roman" w:cs="Times New Roman"/>
          <w:sz w:val="20"/>
          <w:szCs w:val="20"/>
        </w:rPr>
        <w:t xml:space="preserve">; Joanne </w:t>
      </w:r>
      <w:proofErr w:type="spellStart"/>
      <w:r w:rsidRPr="00961FFD">
        <w:rPr>
          <w:rFonts w:ascii="Times New Roman" w:hAnsi="Times New Roman" w:cs="Times New Roman"/>
          <w:sz w:val="20"/>
          <w:szCs w:val="20"/>
        </w:rPr>
        <w:t>Rodda</w:t>
      </w:r>
      <w:proofErr w:type="spellEnd"/>
      <w:r w:rsidRPr="00961FFD">
        <w:rPr>
          <w:rFonts w:ascii="Times New Roman" w:hAnsi="Times New Roman" w:cs="Times New Roman"/>
          <w:sz w:val="20"/>
          <w:szCs w:val="20"/>
        </w:rPr>
        <w:t>, MD</w:t>
      </w:r>
      <w:r w:rsidRPr="00961FFD">
        <w:rPr>
          <w:rFonts w:ascii="Times New Roman" w:hAnsi="Times New Roman" w:cs="Times New Roman"/>
          <w:sz w:val="20"/>
          <w:szCs w:val="20"/>
          <w:vertAlign w:val="superscript"/>
        </w:rPr>
        <w:t>9</w:t>
      </w:r>
      <w:r w:rsidRPr="00961FFD">
        <w:rPr>
          <w:rFonts w:ascii="Times New Roman" w:hAnsi="Times New Roman" w:cs="Times New Roman"/>
          <w:sz w:val="20"/>
          <w:szCs w:val="20"/>
        </w:rPr>
        <w:t>; Tarek Abdel-</w:t>
      </w:r>
      <w:proofErr w:type="spellStart"/>
      <w:r w:rsidRPr="00961FFD">
        <w:rPr>
          <w:rFonts w:ascii="Times New Roman" w:hAnsi="Times New Roman" w:cs="Times New Roman"/>
          <w:sz w:val="20"/>
          <w:szCs w:val="20"/>
        </w:rPr>
        <w:t>Ghany</w:t>
      </w:r>
      <w:proofErr w:type="spellEnd"/>
      <w:r w:rsidRPr="00961FFD">
        <w:rPr>
          <w:rFonts w:ascii="Times New Roman" w:hAnsi="Times New Roman" w:cs="Times New Roman"/>
          <w:sz w:val="20"/>
          <w:szCs w:val="20"/>
        </w:rPr>
        <w:t>, MD</w:t>
      </w:r>
      <w:r w:rsidRPr="00961FFD">
        <w:rPr>
          <w:rFonts w:ascii="Times New Roman" w:hAnsi="Times New Roman" w:cs="Times New Roman"/>
          <w:sz w:val="20"/>
          <w:szCs w:val="20"/>
          <w:vertAlign w:val="superscript"/>
        </w:rPr>
        <w:t>10</w:t>
      </w:r>
      <w:r w:rsidRPr="00961FFD">
        <w:rPr>
          <w:rFonts w:ascii="Times New Roman" w:hAnsi="Times New Roman" w:cs="Times New Roman"/>
          <w:sz w:val="20"/>
          <w:szCs w:val="20"/>
        </w:rPr>
        <w:t xml:space="preserve">; </w:t>
      </w:r>
      <w:proofErr w:type="spellStart"/>
      <w:r w:rsidRPr="00961FFD">
        <w:rPr>
          <w:rFonts w:ascii="Times New Roman" w:hAnsi="Times New Roman" w:cs="Times New Roman"/>
          <w:sz w:val="20"/>
          <w:szCs w:val="20"/>
        </w:rPr>
        <w:t>Iracema</w:t>
      </w:r>
      <w:proofErr w:type="spellEnd"/>
      <w:r w:rsidRPr="00961FFD">
        <w:rPr>
          <w:rFonts w:ascii="Times New Roman" w:hAnsi="Times New Roman" w:cs="Times New Roman"/>
          <w:sz w:val="20"/>
          <w:szCs w:val="20"/>
        </w:rPr>
        <w:t xml:space="preserve"> Leroi</w:t>
      </w:r>
      <w:r w:rsidRPr="00961FFD">
        <w:rPr>
          <w:rFonts w:ascii="Times New Roman" w:hAnsi="Times New Roman" w:cs="Times New Roman"/>
          <w:sz w:val="20"/>
          <w:szCs w:val="20"/>
          <w:vertAlign w:val="superscript"/>
        </w:rPr>
        <w:t>1,11*</w:t>
      </w:r>
      <w:r w:rsidRPr="00961FFD">
        <w:rPr>
          <w:rFonts w:ascii="Times New Roman" w:hAnsi="Times New Roman" w:cs="Times New Roman"/>
          <w:sz w:val="20"/>
          <w:szCs w:val="20"/>
        </w:rPr>
        <w:t>.</w:t>
      </w:r>
    </w:p>
    <w:p w14:paraId="257D2D6F" w14:textId="77777777" w:rsidR="00BA2EA0" w:rsidRPr="00961FFD" w:rsidRDefault="00BA2EA0" w:rsidP="00BA2EA0">
      <w:pPr>
        <w:spacing w:after="0" w:line="288" w:lineRule="auto"/>
        <w:jc w:val="both"/>
        <w:rPr>
          <w:rFonts w:ascii="Times New Roman" w:hAnsi="Times New Roman" w:cs="Times New Roman"/>
          <w:sz w:val="20"/>
          <w:szCs w:val="20"/>
          <w:vertAlign w:val="superscript"/>
        </w:rPr>
      </w:pPr>
    </w:p>
    <w:p w14:paraId="4E44AFA0" w14:textId="77777777" w:rsidR="00BA2EA0" w:rsidRPr="00961FFD" w:rsidRDefault="00BA2EA0" w:rsidP="00BA2EA0">
      <w:pPr>
        <w:spacing w:after="0" w:line="288" w:lineRule="auto"/>
        <w:jc w:val="both"/>
        <w:rPr>
          <w:rFonts w:ascii="Times New Roman" w:hAnsi="Times New Roman" w:cs="Times New Roman"/>
          <w:sz w:val="20"/>
          <w:szCs w:val="20"/>
          <w:vertAlign w:val="superscript"/>
          <w:lang w:val="nn-NO"/>
        </w:rPr>
      </w:pPr>
      <w:r w:rsidRPr="00961FFD">
        <w:rPr>
          <w:rFonts w:ascii="Times New Roman" w:hAnsi="Times New Roman" w:cs="Times New Roman"/>
          <w:sz w:val="20"/>
          <w:szCs w:val="20"/>
          <w:vertAlign w:val="superscript"/>
          <w:lang w:val="nn-NO"/>
        </w:rPr>
        <w:t xml:space="preserve">1 </w:t>
      </w:r>
      <w:r w:rsidRPr="00961FFD">
        <w:rPr>
          <w:rFonts w:ascii="Times New Roman" w:hAnsi="Times New Roman" w:cs="Times New Roman"/>
          <w:sz w:val="20"/>
          <w:szCs w:val="20"/>
          <w:lang w:val="nn-NO"/>
        </w:rPr>
        <w:t>Division of Neuroscience and Experimental Psychology</w:t>
      </w:r>
      <w:r w:rsidRPr="00961FFD">
        <w:rPr>
          <w:rFonts w:ascii="Times New Roman" w:hAnsi="Times New Roman" w:cs="Times New Roman"/>
          <w:sz w:val="20"/>
          <w:szCs w:val="20"/>
        </w:rPr>
        <w:t>, University of Manchester, UK;</w:t>
      </w:r>
    </w:p>
    <w:p w14:paraId="3C125EB9" w14:textId="77777777" w:rsidR="00BA2EA0" w:rsidRPr="00961FFD" w:rsidRDefault="00BA2EA0" w:rsidP="00BA2EA0">
      <w:pPr>
        <w:spacing w:after="0" w:line="288" w:lineRule="auto"/>
        <w:jc w:val="both"/>
        <w:rPr>
          <w:rFonts w:ascii="Times New Roman" w:hAnsi="Times New Roman" w:cs="Times New Roman"/>
          <w:sz w:val="20"/>
          <w:szCs w:val="20"/>
          <w:lang w:val="nn-NO"/>
        </w:rPr>
      </w:pPr>
      <w:r w:rsidRPr="00961FFD">
        <w:rPr>
          <w:rFonts w:ascii="Times New Roman" w:hAnsi="Times New Roman" w:cs="Times New Roman"/>
          <w:sz w:val="20"/>
          <w:szCs w:val="20"/>
          <w:vertAlign w:val="superscript"/>
          <w:lang w:val="nn-NO"/>
        </w:rPr>
        <w:t>2</w:t>
      </w:r>
      <w:r w:rsidRPr="00961FFD">
        <w:rPr>
          <w:rFonts w:ascii="Times New Roman" w:hAnsi="Times New Roman" w:cs="Times New Roman"/>
          <w:sz w:val="20"/>
          <w:szCs w:val="20"/>
        </w:rPr>
        <w:t xml:space="preserve"> Division of Population Health, Health Services Research &amp; Primary Care, University of Manchester, UK</w:t>
      </w:r>
    </w:p>
    <w:p w14:paraId="27C8B1A1"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3 </w:t>
      </w:r>
      <w:r w:rsidRPr="00961FFD">
        <w:rPr>
          <w:rFonts w:ascii="Times New Roman" w:hAnsi="Times New Roman" w:cs="Times New Roman"/>
          <w:sz w:val="20"/>
          <w:szCs w:val="20"/>
        </w:rPr>
        <w:t>School of Health and Community Studies, Leeds Beckett University, UK</w:t>
      </w:r>
    </w:p>
    <w:p w14:paraId="59533FD5"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4 </w:t>
      </w:r>
      <w:r w:rsidRPr="00961FFD">
        <w:rPr>
          <w:rFonts w:ascii="Times New Roman" w:hAnsi="Times New Roman" w:cs="Times New Roman"/>
          <w:sz w:val="20"/>
          <w:szCs w:val="20"/>
        </w:rPr>
        <w:t>Division of Psychiatry, University College London, UK</w:t>
      </w:r>
    </w:p>
    <w:p w14:paraId="69C4C01E"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5 </w:t>
      </w:r>
      <w:r w:rsidRPr="00961FFD">
        <w:rPr>
          <w:rFonts w:ascii="Times New Roman" w:hAnsi="Times New Roman" w:cs="Times New Roman"/>
          <w:sz w:val="20"/>
          <w:szCs w:val="20"/>
        </w:rPr>
        <w:t>Salford Royal NHS Foundation Trust, UK</w:t>
      </w:r>
    </w:p>
    <w:p w14:paraId="3C0B34C3"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6</w:t>
      </w:r>
      <w:r w:rsidRPr="00961FFD">
        <w:rPr>
          <w:rFonts w:ascii="Times New Roman" w:hAnsi="Times New Roman" w:cs="Times New Roman"/>
          <w:sz w:val="20"/>
          <w:szCs w:val="20"/>
        </w:rPr>
        <w:t xml:space="preserve"> Pennine Acute Hospitals NHS Trust, UK</w:t>
      </w:r>
    </w:p>
    <w:p w14:paraId="14F3EBF8"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7 </w:t>
      </w:r>
      <w:r w:rsidRPr="00961FFD">
        <w:rPr>
          <w:rFonts w:ascii="Times New Roman" w:hAnsi="Times New Roman" w:cs="Times New Roman"/>
          <w:sz w:val="20"/>
          <w:szCs w:val="20"/>
        </w:rPr>
        <w:t>Manchester University NHS Foundation Trust, UK</w:t>
      </w:r>
    </w:p>
    <w:p w14:paraId="6CB03560"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8 </w:t>
      </w:r>
      <w:r w:rsidRPr="00961FFD">
        <w:rPr>
          <w:rFonts w:ascii="Times New Roman" w:hAnsi="Times New Roman" w:cs="Times New Roman"/>
          <w:sz w:val="20"/>
          <w:szCs w:val="20"/>
        </w:rPr>
        <w:t>Derbyshire Healthcare NHS Foundation Trust, UK</w:t>
      </w:r>
    </w:p>
    <w:p w14:paraId="3EFC8B20"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9 </w:t>
      </w:r>
      <w:r w:rsidRPr="00961FFD">
        <w:rPr>
          <w:rFonts w:ascii="Times New Roman" w:hAnsi="Times New Roman" w:cs="Times New Roman"/>
          <w:sz w:val="20"/>
          <w:szCs w:val="20"/>
        </w:rPr>
        <w:t>North East London NHS Foundation Trust, UK</w:t>
      </w:r>
    </w:p>
    <w:p w14:paraId="79723000"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 xml:space="preserve">10 </w:t>
      </w:r>
      <w:r w:rsidRPr="00961FFD">
        <w:rPr>
          <w:rFonts w:ascii="Times New Roman" w:hAnsi="Times New Roman" w:cs="Times New Roman"/>
          <w:sz w:val="20"/>
          <w:szCs w:val="20"/>
        </w:rPr>
        <w:t>North West Boroughs Healthcare NHS Foundation Trust, UK</w:t>
      </w:r>
    </w:p>
    <w:p w14:paraId="2CA866FD" w14:textId="77777777" w:rsidR="00BA2EA0" w:rsidRPr="00961FFD" w:rsidRDefault="00BA2EA0" w:rsidP="00BA2EA0">
      <w:pPr>
        <w:spacing w:after="0" w:line="288" w:lineRule="auto"/>
        <w:jc w:val="both"/>
        <w:rPr>
          <w:rFonts w:ascii="Times New Roman" w:hAnsi="Times New Roman" w:cs="Times New Roman"/>
          <w:sz w:val="20"/>
          <w:szCs w:val="20"/>
        </w:rPr>
      </w:pPr>
      <w:r w:rsidRPr="00961FFD">
        <w:rPr>
          <w:rFonts w:ascii="Times New Roman" w:hAnsi="Times New Roman" w:cs="Times New Roman"/>
          <w:sz w:val="20"/>
          <w:szCs w:val="20"/>
          <w:vertAlign w:val="superscript"/>
          <w:lang w:val="nn-NO"/>
        </w:rPr>
        <w:t>11</w:t>
      </w:r>
      <w:r w:rsidRPr="00961FFD">
        <w:rPr>
          <w:rFonts w:ascii="Times New Roman" w:hAnsi="Times New Roman" w:cs="Times New Roman"/>
          <w:sz w:val="20"/>
          <w:szCs w:val="20"/>
          <w:lang w:val="nn-NO"/>
        </w:rPr>
        <w:t xml:space="preserve"> </w:t>
      </w:r>
      <w:r w:rsidRPr="00961FFD">
        <w:rPr>
          <w:rFonts w:ascii="Times New Roman" w:hAnsi="Times New Roman" w:cs="Times New Roman"/>
          <w:sz w:val="20"/>
          <w:szCs w:val="20"/>
        </w:rPr>
        <w:t>Greater Manchester Mental Health NHS Foundation Trust, UK</w:t>
      </w:r>
    </w:p>
    <w:p w14:paraId="5383BC78" w14:textId="77777777" w:rsidR="00BA2EA0" w:rsidRPr="00961FFD" w:rsidRDefault="00BA2EA0" w:rsidP="00BA2EA0">
      <w:pPr>
        <w:shd w:val="clear" w:color="auto" w:fill="FFFFFF" w:themeFill="background1"/>
        <w:spacing w:after="0" w:line="240" w:lineRule="auto"/>
        <w:jc w:val="center"/>
        <w:rPr>
          <w:rFonts w:ascii="Times New Roman" w:hAnsi="Times New Roman" w:cs="Times New Roman"/>
          <w:sz w:val="20"/>
          <w:szCs w:val="20"/>
        </w:rPr>
      </w:pPr>
    </w:p>
    <w:p w14:paraId="7FE22926" w14:textId="77777777" w:rsidR="00BA2EA0" w:rsidRPr="00961FFD" w:rsidRDefault="00BA2EA0" w:rsidP="00BA2EA0">
      <w:pPr>
        <w:shd w:val="clear" w:color="auto" w:fill="FFFFFF" w:themeFill="background1"/>
        <w:spacing w:after="0" w:line="240" w:lineRule="auto"/>
        <w:rPr>
          <w:rFonts w:ascii="Times New Roman" w:hAnsi="Times New Roman" w:cs="Times New Roman"/>
          <w:b/>
          <w:sz w:val="20"/>
          <w:szCs w:val="20"/>
        </w:rPr>
      </w:pPr>
      <w:r w:rsidRPr="00961FFD">
        <w:rPr>
          <w:rFonts w:ascii="Times New Roman" w:hAnsi="Times New Roman" w:cs="Times New Roman"/>
          <w:b/>
          <w:sz w:val="20"/>
          <w:szCs w:val="20"/>
        </w:rPr>
        <w:t xml:space="preserve">*Corresponding author:  </w:t>
      </w:r>
    </w:p>
    <w:p w14:paraId="225183AD"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proofErr w:type="spellStart"/>
      <w:r w:rsidRPr="00961FFD">
        <w:rPr>
          <w:rFonts w:ascii="Times New Roman" w:hAnsi="Times New Roman" w:cs="Times New Roman"/>
          <w:sz w:val="20"/>
          <w:szCs w:val="20"/>
        </w:rPr>
        <w:t>Iracema</w:t>
      </w:r>
      <w:proofErr w:type="spellEnd"/>
      <w:r w:rsidRPr="00961FFD">
        <w:rPr>
          <w:rFonts w:ascii="Times New Roman" w:hAnsi="Times New Roman" w:cs="Times New Roman"/>
          <w:sz w:val="20"/>
          <w:szCs w:val="20"/>
        </w:rPr>
        <w:t xml:space="preserve"> </w:t>
      </w:r>
      <w:proofErr w:type="spellStart"/>
      <w:r w:rsidRPr="00961FFD">
        <w:rPr>
          <w:rFonts w:ascii="Times New Roman" w:hAnsi="Times New Roman" w:cs="Times New Roman"/>
          <w:sz w:val="20"/>
          <w:szCs w:val="20"/>
        </w:rPr>
        <w:t>Leroi</w:t>
      </w:r>
      <w:proofErr w:type="spellEnd"/>
    </w:p>
    <w:p w14:paraId="2C355AD7"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lang w:val="nn-NO"/>
        </w:rPr>
        <w:t>Division of Neuroscience &amp; Experimental Psychology</w:t>
      </w:r>
      <w:r w:rsidRPr="00961FFD">
        <w:rPr>
          <w:rFonts w:ascii="Times New Roman" w:hAnsi="Times New Roman" w:cs="Times New Roman"/>
          <w:sz w:val="20"/>
          <w:szCs w:val="20"/>
        </w:rPr>
        <w:t>,</w:t>
      </w:r>
    </w:p>
    <w:p w14:paraId="15EABF87"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rPr>
        <w:t>University of Manchester,</w:t>
      </w:r>
    </w:p>
    <w:p w14:paraId="69C25437"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rPr>
        <w:t>Jean McFarlane Building,</w:t>
      </w:r>
    </w:p>
    <w:p w14:paraId="5F25A855"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rPr>
        <w:t>Oxford Road, Manchester</w:t>
      </w:r>
    </w:p>
    <w:p w14:paraId="42B7A35D"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lang w:val="nb-NO"/>
        </w:rPr>
      </w:pPr>
      <w:r w:rsidRPr="00961FFD">
        <w:rPr>
          <w:rFonts w:ascii="Times New Roman" w:hAnsi="Times New Roman" w:cs="Times New Roman"/>
          <w:sz w:val="20"/>
          <w:szCs w:val="20"/>
          <w:lang w:val="nb-NO"/>
        </w:rPr>
        <w:t>M13 9PL.   U.K.</w:t>
      </w:r>
    </w:p>
    <w:p w14:paraId="1A030280"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rPr>
        <w:t>Tel: +44 (0) 161 3067492</w:t>
      </w:r>
    </w:p>
    <w:p w14:paraId="0083A891" w14:textId="77777777" w:rsidR="00BA2EA0" w:rsidRPr="00961FFD" w:rsidRDefault="00BA2EA0" w:rsidP="00BA2EA0">
      <w:pPr>
        <w:shd w:val="clear" w:color="auto" w:fill="FFFFFF" w:themeFill="background1"/>
        <w:spacing w:after="0" w:line="240" w:lineRule="auto"/>
        <w:rPr>
          <w:rFonts w:ascii="Times New Roman" w:hAnsi="Times New Roman" w:cs="Times New Roman"/>
          <w:sz w:val="20"/>
          <w:szCs w:val="20"/>
        </w:rPr>
      </w:pPr>
      <w:r w:rsidRPr="00961FFD">
        <w:rPr>
          <w:rFonts w:ascii="Times New Roman" w:hAnsi="Times New Roman" w:cs="Times New Roman"/>
          <w:sz w:val="20"/>
          <w:szCs w:val="20"/>
        </w:rPr>
        <w:t xml:space="preserve">Email: </w:t>
      </w:r>
      <w:hyperlink r:id="rId6" w:history="1">
        <w:r w:rsidRPr="00961FFD">
          <w:rPr>
            <w:rStyle w:val="Hyperlink"/>
            <w:rFonts w:ascii="Times New Roman" w:hAnsi="Times New Roman" w:cs="Times New Roman"/>
            <w:sz w:val="20"/>
            <w:szCs w:val="20"/>
          </w:rPr>
          <w:t>iracema.leroi@manchester.ac.uk</w:t>
        </w:r>
      </w:hyperlink>
    </w:p>
    <w:p w14:paraId="3C3DB3FC" w14:textId="070D13CD" w:rsidR="00BA2EA0" w:rsidRDefault="00BA2EA0">
      <w:pPr>
        <w:rPr>
          <w:rFonts w:asciiTheme="majorHAnsi" w:hAnsiTheme="majorHAnsi" w:cs="Arial"/>
          <w:b/>
        </w:rPr>
      </w:pPr>
      <w:r>
        <w:rPr>
          <w:rFonts w:asciiTheme="majorHAnsi" w:hAnsiTheme="majorHAnsi" w:cs="Arial"/>
          <w:b/>
        </w:rPr>
        <w:br w:type="page"/>
      </w:r>
    </w:p>
    <w:p w14:paraId="463D3400" w14:textId="76CE8CE6" w:rsidR="00916C4F" w:rsidRPr="002C2E14" w:rsidRDefault="00CE0522" w:rsidP="00B34AA4">
      <w:pPr>
        <w:spacing w:after="0" w:line="240" w:lineRule="auto"/>
        <w:rPr>
          <w:rFonts w:asciiTheme="majorHAnsi" w:hAnsiTheme="majorHAnsi" w:cs="Arial"/>
          <w:b/>
        </w:rPr>
      </w:pPr>
      <w:r w:rsidRPr="0047022B">
        <w:rPr>
          <w:rFonts w:asciiTheme="majorHAnsi" w:hAnsiTheme="majorHAnsi" w:cs="Arial"/>
          <w:b/>
        </w:rPr>
        <w:lastRenderedPageBreak/>
        <w:t>Supplementary Table 2</w:t>
      </w:r>
      <w:r w:rsidR="00B34AA4" w:rsidRPr="0047022B">
        <w:rPr>
          <w:rFonts w:asciiTheme="majorHAnsi" w:hAnsiTheme="majorHAnsi" w:cs="Arial"/>
          <w:b/>
        </w:rPr>
        <w:t xml:space="preserve"> Outcome measure descriptions for people with Parkinson’s-rel</w:t>
      </w:r>
      <w:r w:rsidR="00916C4F" w:rsidRPr="0047022B">
        <w:rPr>
          <w:rFonts w:asciiTheme="majorHAnsi" w:hAnsiTheme="majorHAnsi" w:cs="Arial"/>
          <w:b/>
        </w:rPr>
        <w:t>ated dementia and care partners</w:t>
      </w:r>
      <w:bookmarkStart w:id="0" w:name="_GoBack"/>
      <w:bookmarkEnd w:id="0"/>
    </w:p>
    <w:tbl>
      <w:tblPr>
        <w:tblStyle w:val="TableGrid"/>
        <w:tblW w:w="9885" w:type="dxa"/>
        <w:tblLayout w:type="fixed"/>
        <w:tblLook w:val="04A0" w:firstRow="1" w:lastRow="0" w:firstColumn="1" w:lastColumn="0" w:noHBand="0" w:noVBand="1"/>
      </w:tblPr>
      <w:tblGrid>
        <w:gridCol w:w="1525"/>
        <w:gridCol w:w="2550"/>
        <w:gridCol w:w="3542"/>
        <w:gridCol w:w="1134"/>
        <w:gridCol w:w="1134"/>
      </w:tblGrid>
      <w:tr w:rsidR="00B34AA4" w14:paraId="26FBFDE2" w14:textId="77777777" w:rsidTr="000D0311">
        <w:tc>
          <w:tcPr>
            <w:tcW w:w="1526" w:type="dxa"/>
            <w:tcBorders>
              <w:top w:val="single" w:sz="4" w:space="0" w:color="auto"/>
              <w:left w:val="single" w:sz="4" w:space="0" w:color="auto"/>
              <w:bottom w:val="single" w:sz="4" w:space="0" w:color="auto"/>
              <w:right w:val="single" w:sz="4" w:space="0" w:color="auto"/>
            </w:tcBorders>
          </w:tcPr>
          <w:p w14:paraId="54F70A1D" w14:textId="77777777" w:rsidR="00B34AA4" w:rsidRDefault="00B34AA4" w:rsidP="000D0311">
            <w:pPr>
              <w:pStyle w:val="PlainText"/>
              <w:jc w:val="center"/>
              <w:rPr>
                <w:rFonts w:asciiTheme="majorHAnsi" w:hAnsiTheme="majorHAnsi" w:cs="Arial"/>
                <w:b/>
                <w:szCs w:val="22"/>
              </w:rPr>
            </w:pPr>
          </w:p>
        </w:tc>
        <w:tc>
          <w:tcPr>
            <w:tcW w:w="2551" w:type="dxa"/>
            <w:tcBorders>
              <w:top w:val="single" w:sz="4" w:space="0" w:color="auto"/>
              <w:left w:val="single" w:sz="4" w:space="0" w:color="auto"/>
              <w:bottom w:val="single" w:sz="4" w:space="0" w:color="auto"/>
              <w:right w:val="single" w:sz="4" w:space="0" w:color="auto"/>
            </w:tcBorders>
          </w:tcPr>
          <w:p w14:paraId="244BE4C9" w14:textId="77777777" w:rsidR="00B34AA4" w:rsidRDefault="00B34AA4" w:rsidP="000D0311">
            <w:pPr>
              <w:pStyle w:val="PlainText"/>
              <w:jc w:val="center"/>
              <w:rPr>
                <w:rFonts w:asciiTheme="majorHAnsi" w:hAnsiTheme="majorHAnsi" w:cs="Arial"/>
                <w:b/>
                <w:szCs w:val="22"/>
              </w:rPr>
            </w:pPr>
          </w:p>
        </w:tc>
        <w:tc>
          <w:tcPr>
            <w:tcW w:w="3544" w:type="dxa"/>
            <w:tcBorders>
              <w:top w:val="single" w:sz="4" w:space="0" w:color="auto"/>
              <w:left w:val="single" w:sz="4" w:space="0" w:color="auto"/>
              <w:bottom w:val="single" w:sz="4" w:space="0" w:color="auto"/>
              <w:right w:val="single" w:sz="4" w:space="0" w:color="auto"/>
            </w:tcBorders>
          </w:tcPr>
          <w:p w14:paraId="0E94BC3A" w14:textId="77777777" w:rsidR="00B34AA4" w:rsidRDefault="00B34AA4" w:rsidP="000D0311">
            <w:pPr>
              <w:pStyle w:val="PlainText"/>
              <w:jc w:val="center"/>
              <w:rPr>
                <w:rFonts w:asciiTheme="majorHAnsi" w:hAnsiTheme="majorHAnsi" w:cs="Arial"/>
                <w:b/>
                <w:szCs w:val="22"/>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7B05C24D"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Respondent</w:t>
            </w:r>
          </w:p>
        </w:tc>
      </w:tr>
      <w:tr w:rsidR="00B34AA4" w14:paraId="2ACC3693" w14:textId="77777777" w:rsidTr="000D0311">
        <w:tc>
          <w:tcPr>
            <w:tcW w:w="1526" w:type="dxa"/>
            <w:tcBorders>
              <w:top w:val="single" w:sz="4" w:space="0" w:color="auto"/>
              <w:left w:val="single" w:sz="4" w:space="0" w:color="auto"/>
              <w:bottom w:val="single" w:sz="4" w:space="0" w:color="auto"/>
              <w:right w:val="single" w:sz="4" w:space="0" w:color="auto"/>
            </w:tcBorders>
            <w:hideMark/>
          </w:tcPr>
          <w:p w14:paraId="2C478EF6"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Outcome domain</w:t>
            </w:r>
          </w:p>
        </w:tc>
        <w:tc>
          <w:tcPr>
            <w:tcW w:w="2551" w:type="dxa"/>
            <w:tcBorders>
              <w:top w:val="single" w:sz="4" w:space="0" w:color="auto"/>
              <w:left w:val="single" w:sz="4" w:space="0" w:color="auto"/>
              <w:bottom w:val="single" w:sz="4" w:space="0" w:color="auto"/>
              <w:right w:val="single" w:sz="4" w:space="0" w:color="auto"/>
            </w:tcBorders>
            <w:hideMark/>
          </w:tcPr>
          <w:p w14:paraId="50442E43"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Specific measurement tool</w:t>
            </w:r>
          </w:p>
        </w:tc>
        <w:tc>
          <w:tcPr>
            <w:tcW w:w="3544" w:type="dxa"/>
            <w:tcBorders>
              <w:top w:val="single" w:sz="4" w:space="0" w:color="auto"/>
              <w:left w:val="single" w:sz="4" w:space="0" w:color="auto"/>
              <w:bottom w:val="single" w:sz="4" w:space="0" w:color="auto"/>
              <w:right w:val="single" w:sz="4" w:space="0" w:color="auto"/>
            </w:tcBorders>
            <w:hideMark/>
          </w:tcPr>
          <w:p w14:paraId="62AF9156"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 xml:space="preserve">Description of the tool </w:t>
            </w:r>
          </w:p>
        </w:tc>
        <w:tc>
          <w:tcPr>
            <w:tcW w:w="1134" w:type="dxa"/>
            <w:tcBorders>
              <w:top w:val="single" w:sz="4" w:space="0" w:color="auto"/>
              <w:left w:val="single" w:sz="4" w:space="0" w:color="auto"/>
              <w:bottom w:val="single" w:sz="4" w:space="0" w:color="auto"/>
              <w:right w:val="single" w:sz="4" w:space="0" w:color="auto"/>
            </w:tcBorders>
            <w:hideMark/>
          </w:tcPr>
          <w:p w14:paraId="046777A6"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Person with PRD</w:t>
            </w:r>
          </w:p>
        </w:tc>
        <w:tc>
          <w:tcPr>
            <w:tcW w:w="1134" w:type="dxa"/>
            <w:tcBorders>
              <w:top w:val="single" w:sz="4" w:space="0" w:color="auto"/>
              <w:left w:val="single" w:sz="4" w:space="0" w:color="auto"/>
              <w:bottom w:val="single" w:sz="4" w:space="0" w:color="auto"/>
              <w:right w:val="single" w:sz="4" w:space="0" w:color="auto"/>
            </w:tcBorders>
            <w:hideMark/>
          </w:tcPr>
          <w:p w14:paraId="1065C1E5" w14:textId="77777777" w:rsidR="00B34AA4" w:rsidRDefault="00B34AA4" w:rsidP="000D0311">
            <w:pPr>
              <w:pStyle w:val="PlainText"/>
              <w:jc w:val="center"/>
              <w:rPr>
                <w:rFonts w:asciiTheme="majorHAnsi" w:hAnsiTheme="majorHAnsi" w:cs="Arial"/>
                <w:b/>
                <w:szCs w:val="22"/>
              </w:rPr>
            </w:pPr>
            <w:r>
              <w:rPr>
                <w:rFonts w:asciiTheme="majorHAnsi" w:hAnsiTheme="majorHAnsi" w:cs="Arial"/>
                <w:b/>
                <w:szCs w:val="22"/>
              </w:rPr>
              <w:t>Care partners</w:t>
            </w:r>
          </w:p>
        </w:tc>
      </w:tr>
      <w:tr w:rsidR="00B34AA4" w14:paraId="1A91C40B" w14:textId="77777777" w:rsidTr="000D0311">
        <w:tc>
          <w:tcPr>
            <w:tcW w:w="1526" w:type="dxa"/>
            <w:vMerge w:val="restart"/>
            <w:tcBorders>
              <w:top w:val="single" w:sz="4" w:space="0" w:color="auto"/>
              <w:left w:val="single" w:sz="4" w:space="0" w:color="auto"/>
              <w:bottom w:val="single" w:sz="4" w:space="0" w:color="auto"/>
              <w:right w:val="single" w:sz="4" w:space="0" w:color="auto"/>
            </w:tcBorders>
            <w:hideMark/>
          </w:tcPr>
          <w:p w14:paraId="77566AB5" w14:textId="77777777" w:rsidR="00B34AA4" w:rsidRDefault="00B34AA4" w:rsidP="000D0311">
            <w:pPr>
              <w:pStyle w:val="PlainText"/>
              <w:rPr>
                <w:rFonts w:asciiTheme="majorHAnsi" w:hAnsiTheme="majorHAnsi" w:cs="Arial"/>
                <w:szCs w:val="22"/>
              </w:rPr>
            </w:pPr>
            <w:r>
              <w:rPr>
                <w:rFonts w:asciiTheme="majorHAnsi" w:hAnsiTheme="majorHAnsi" w:cs="Arial"/>
                <w:szCs w:val="22"/>
              </w:rPr>
              <w:t>Cognition</w:t>
            </w:r>
          </w:p>
        </w:tc>
        <w:tc>
          <w:tcPr>
            <w:tcW w:w="2551" w:type="dxa"/>
            <w:tcBorders>
              <w:top w:val="single" w:sz="4" w:space="0" w:color="auto"/>
              <w:left w:val="single" w:sz="4" w:space="0" w:color="auto"/>
              <w:bottom w:val="single" w:sz="4" w:space="0" w:color="auto"/>
              <w:right w:val="single" w:sz="4" w:space="0" w:color="auto"/>
            </w:tcBorders>
            <w:hideMark/>
          </w:tcPr>
          <w:p w14:paraId="4948A2A1" w14:textId="77777777" w:rsidR="00B34AA4" w:rsidRDefault="00B34AA4" w:rsidP="00B34AA4">
            <w:pPr>
              <w:pStyle w:val="PlainText"/>
              <w:rPr>
                <w:rFonts w:asciiTheme="majorHAnsi" w:hAnsiTheme="majorHAnsi" w:cs="Arial"/>
                <w:szCs w:val="22"/>
              </w:rPr>
            </w:pPr>
            <w:r>
              <w:rPr>
                <w:rFonts w:asciiTheme="majorHAnsi" w:hAnsiTheme="majorHAnsi" w:cs="Arial"/>
                <w:b/>
                <w:szCs w:val="22"/>
              </w:rPr>
              <w:t xml:space="preserve">The </w:t>
            </w:r>
            <w:proofErr w:type="spellStart"/>
            <w:r>
              <w:rPr>
                <w:rFonts w:asciiTheme="majorHAnsi" w:hAnsiTheme="majorHAnsi" w:cs="Arial"/>
                <w:b/>
                <w:szCs w:val="22"/>
              </w:rPr>
              <w:t>Addenbrooke’s</w:t>
            </w:r>
            <w:proofErr w:type="spellEnd"/>
            <w:r>
              <w:rPr>
                <w:rFonts w:asciiTheme="majorHAnsi" w:hAnsiTheme="majorHAnsi" w:cs="Arial"/>
                <w:b/>
                <w:szCs w:val="22"/>
              </w:rPr>
              <w:t xml:space="preserve"> Cognitive Examination</w:t>
            </w:r>
            <w:r>
              <w:rPr>
                <w:rFonts w:asciiTheme="majorHAnsi" w:hAnsiTheme="majorHAnsi" w:cs="Arial"/>
                <w:szCs w:val="22"/>
              </w:rPr>
              <w:t xml:space="preserve"> (ACE-III)</w:t>
            </w:r>
            <w:r>
              <w:rPr>
                <w:rFonts w:asciiTheme="majorHAnsi" w:hAnsiTheme="majorHAnsi" w:cs="Arial"/>
                <w:szCs w:val="22"/>
                <w:vertAlign w:val="superscript"/>
              </w:rPr>
              <w:t xml:space="preserve"> a </w:t>
            </w:r>
            <w:r>
              <w:rPr>
                <w:rFonts w:asciiTheme="majorHAnsi" w:hAnsiTheme="majorHAnsi" w:cs="Arial"/>
                <w:szCs w:val="22"/>
                <w:vertAlign w:val="superscript"/>
              </w:rPr>
              <w:fldChar w:fldCharType="begin" w:fldLock="1"/>
            </w:r>
            <w:r>
              <w:rPr>
                <w:rFonts w:asciiTheme="majorHAnsi" w:hAnsiTheme="majorHAnsi" w:cs="Arial"/>
                <w:szCs w:val="22"/>
                <w:vertAlign w:val="superscript"/>
              </w:rPr>
              <w:instrText>ADDIN CSL_CITATION {"citationItems":[{"id":"ITEM-1","itemData":{"DOI":"10.1159/000351671","ISBN":"1420-8008","ISSN":"14219824","PMID":"23949210","abstract":"BACKGROUND/AIMS: The aims of this study were to validate the newly developed version of the Addenbrooke's Cognitive Examination (ACE-III) against standardised neuropsychological tests and its predecessor (ACE-R) in early dementia.\\n\\nMETHODS: A total of 61 patients with dementia (frontotemporal dementia, FTD, n = 33, and Alzheimer's disease, AD, n = 28) and 25 controls were included in the study.\\n\\nRESULTS: ACE-III cognitive domains correlated significantly with standardised neuropsychological tests used in the assessment of attention, language, verbal memory and visuospatial function. The ACE-III also compared very favourably with its predecessor, the ACE-R, with similar levels of sensitivity and specificity.\\n\\nCONCLUSION: The results of this study provide objective validation of the ACE-III as a screening tool for cognitive deficits in FTD and AD.","author":[{"dropping-particle":"","family":"Hsieh","given":"Sharpley","non-dropping-particle":"","parse-names":false,"suffix":""},{"dropping-particle":"","family":"Schubert","given":"Samantha","non-dropping-particle":"","parse-names":false,"suffix":""},{"dropping-particle":"","family":"Hoon","given":"Christopher","non-dropping-particle":"","parse-names":false,"suffix":""},{"dropping-particle":"","family":"Mioshi","given":"Eneida","non-dropping-particle":"","parse-names":false,"suffix":""},{"dropping-particle":"","family":"Hodges","given":"John R.","non-dropping-particle":"","parse-names":false,"suffix":""}],"container-title":"Dementia and Geriatric Cognitive Disorders","id":"ITEM-1","issue":"3-4","issued":{"date-parts":[["2013"]]},"page":"242-250","title":"Validation of the Addenbrooke's Cognitive Examination III in Frontotemporal Dementia and Alzheimer's Disease","type":"article-journal","volume":"36"},"uris":["http://www.mendeley.com/documents/?uuid=5b1602f2-784b-404c-845b-c30a08f9e3c5"]}],"mendeley":{"formattedCitation":"[1]","plainTextFormattedCitation":"[1]","previouslyFormattedCitation":"[1]"},"properties":{"noteIndex":0},"schema":"https://github.com/citation-style-language/schema/raw/master/csl-citation.json"}</w:instrText>
            </w:r>
            <w:r>
              <w:rPr>
                <w:rFonts w:asciiTheme="majorHAnsi" w:hAnsiTheme="majorHAnsi" w:cs="Arial"/>
                <w:szCs w:val="22"/>
                <w:vertAlign w:val="superscript"/>
              </w:rPr>
              <w:fldChar w:fldCharType="separate"/>
            </w:r>
            <w:r w:rsidRPr="00B34AA4">
              <w:rPr>
                <w:rFonts w:asciiTheme="majorHAnsi" w:hAnsiTheme="majorHAnsi" w:cs="Arial"/>
                <w:noProof/>
                <w:szCs w:val="22"/>
              </w:rPr>
              <w:t>[1]</w:t>
            </w:r>
            <w:r>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0293E484" w14:textId="77777777" w:rsidR="00B34AA4" w:rsidRDefault="00B34AA4" w:rsidP="000D0311">
            <w:pPr>
              <w:pStyle w:val="PlainText"/>
              <w:rPr>
                <w:rFonts w:asciiTheme="majorHAnsi" w:hAnsiTheme="majorHAnsi" w:cs="Arial"/>
                <w:szCs w:val="22"/>
              </w:rPr>
            </w:pPr>
            <w:r>
              <w:rPr>
                <w:rFonts w:asciiTheme="majorHAnsi" w:hAnsiTheme="majorHAnsi" w:cs="Arial"/>
                <w:szCs w:val="22"/>
              </w:rPr>
              <w:t xml:space="preserve">Global cognition (total score) and cognitive sub-domains of memory, attention, verbal fluency, language and visuospatial function. </w:t>
            </w:r>
          </w:p>
        </w:tc>
        <w:tc>
          <w:tcPr>
            <w:tcW w:w="1134" w:type="dxa"/>
            <w:tcBorders>
              <w:top w:val="single" w:sz="4" w:space="0" w:color="auto"/>
              <w:left w:val="single" w:sz="4" w:space="0" w:color="auto"/>
              <w:bottom w:val="single" w:sz="4" w:space="0" w:color="auto"/>
              <w:right w:val="single" w:sz="4" w:space="0" w:color="auto"/>
            </w:tcBorders>
            <w:hideMark/>
          </w:tcPr>
          <w:p w14:paraId="7EB25040"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19BD9F37" w14:textId="77777777" w:rsidR="00B34AA4" w:rsidRDefault="00B34AA4" w:rsidP="000D0311">
            <w:pPr>
              <w:pStyle w:val="PlainText"/>
              <w:jc w:val="center"/>
              <w:rPr>
                <w:rFonts w:asciiTheme="majorHAnsi" w:hAnsiTheme="majorHAnsi" w:cs="Arial"/>
                <w:b/>
                <w:szCs w:val="22"/>
              </w:rPr>
            </w:pPr>
          </w:p>
        </w:tc>
      </w:tr>
      <w:tr w:rsidR="00B34AA4" w14:paraId="72D09602" w14:textId="77777777" w:rsidTr="000D0311">
        <w:tc>
          <w:tcPr>
            <w:tcW w:w="1526" w:type="dxa"/>
            <w:vMerge/>
            <w:tcBorders>
              <w:top w:val="single" w:sz="4" w:space="0" w:color="auto"/>
              <w:left w:val="single" w:sz="4" w:space="0" w:color="auto"/>
              <w:bottom w:val="single" w:sz="4" w:space="0" w:color="auto"/>
              <w:right w:val="single" w:sz="4" w:space="0" w:color="auto"/>
            </w:tcBorders>
            <w:vAlign w:val="center"/>
            <w:hideMark/>
          </w:tcPr>
          <w:p w14:paraId="651AA346"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49F6A6FF" w14:textId="77777777" w:rsidR="00B34AA4" w:rsidRDefault="00B34AA4" w:rsidP="00B34AA4">
            <w:pPr>
              <w:pStyle w:val="PlainText"/>
              <w:rPr>
                <w:rFonts w:asciiTheme="majorHAnsi" w:hAnsiTheme="majorHAnsi" w:cs="Arial"/>
                <w:szCs w:val="22"/>
              </w:rPr>
            </w:pPr>
            <w:r>
              <w:rPr>
                <w:rFonts w:asciiTheme="majorHAnsi" w:hAnsiTheme="majorHAnsi" w:cs="Arial"/>
                <w:b/>
                <w:szCs w:val="22"/>
              </w:rPr>
              <w:t>The Dementia Cognitive Fluctuation Scale</w:t>
            </w:r>
            <w:r>
              <w:rPr>
                <w:rFonts w:asciiTheme="majorHAnsi" w:hAnsiTheme="majorHAnsi" w:cs="Arial"/>
                <w:szCs w:val="22"/>
              </w:rPr>
              <w:t xml:space="preserve"> (DCF) </w:t>
            </w:r>
            <w:r>
              <w:rPr>
                <w:rFonts w:asciiTheme="majorHAnsi" w:hAnsiTheme="majorHAnsi" w:cs="Arial"/>
                <w:szCs w:val="22"/>
                <w:vertAlign w:val="superscript"/>
              </w:rPr>
              <w:t xml:space="preserve">b </w:t>
            </w:r>
            <w:r>
              <w:rPr>
                <w:rFonts w:asciiTheme="majorHAnsi" w:hAnsiTheme="majorHAnsi" w:cs="Arial"/>
                <w:szCs w:val="22"/>
                <w:vertAlign w:val="superscript"/>
              </w:rPr>
              <w:fldChar w:fldCharType="begin" w:fldLock="1"/>
            </w:r>
            <w:r>
              <w:rPr>
                <w:rFonts w:asciiTheme="majorHAnsi" w:hAnsiTheme="majorHAnsi" w:cs="Arial"/>
                <w:szCs w:val="22"/>
                <w:vertAlign w:val="superscript"/>
              </w:rPr>
              <w:instrText>ADDIN CSL_CITATION {"citationItems":[{"id":"ITEM-1","itemData":{"abstract":"Objectives Cognitive fluctuation (CF) is a common feature of dementia and a core diagnostic symptom for dementia with Lewy bodies (DLB). CF remains difficult to accurately and reliably detect clinically. This study aimed to develop a psychometric test that could be used by clinicians to facilitate the identification of CF and improve the recognition and diagnosis of DLB and Parkinson disease, and to improve differential diagnosis of other dementias. Methods We compiled a 17-item psychometric test for identifying CF and applied this measure in a cross-sectional design. Participants were recruited from the North East of England, and assessments were made in individuals' homes. We recruited people with four subtypes of dementia and a healthy comparison group, and all subjects were administered this pilot scale together with other standard ratings. The psychometric properties of the scale were examined with exploratory factor analysis. We also examined the ability of individual items to identify CF to discriminate between dementia subtypes. The sensitivity and specificity of discriminating items were explored along with validity and reliability analyses. Results Participants comprised 32 comparison subjects, 30 people with Alzheimer disease, 30 with vascular dementia, 29 with DLB, and 32 with dementia associated with Parkinson disease. Four items significantly discriminated between dementia groups and showed good levels of sensitivity (range: 78.6%–80.3%) and specificity (range: 73.9%–79.3%). The scale had very good levels of test–retest (Cronbach's alpha: 0.82) and interrater (0.81) reliabilities. The four items loaded onto three different factors. These items were: 1) marked differences in functioning during the daytime; 2) daytime somnolence; 3) daytime drowsiness; and 4) altered levels of consciousness during the day. Conclusions We identified four items that provide valid, sensitive, and specific questions for reliably identifying CF and distinguishing the Lewy body dementias from other major causes of dementia (Alzheimer disease and vascular dementia).","author":[{"dropping-particle":"","family":"Lee","given":"David R.","non-dropping-particle":"","parse-names":false,"suffix":""},{"dropping-particle":"","family":"McKeith","given":"Ian","non-dropping-particle":"","parse-names":false,"suffix":""},{"dropping-particle":"","family":"Mosimann","given":"Urs","non-dropping-particle":"","parse-names":false,"suffix":""},{"dropping-particle":"","family":"Ghosh-Nodial","given":"Arunima","non-dropping-particle":"","parse-names":false,"suffix":""},{"dropping-particle":"","family":"Grayson","given":"Louise","non-dropping-particle":"","parse-names":false,"suffix":""},{"dropping-particle":"","family":"Wilson","given":"Barbara","non-dropping-particle":"","parse-names":false,"suffix":""},{"dropping-particle":"","family":"Thomas","given":"Alan J.","non-dropping-particle":"","parse-names":false,"suffix":""}],"container-title":"The American Journal of Geriatric Psychiatry","id":"ITEM-1","issue":"9","issued":{"date-parts":[["2014"]]},"page":"926-935","title":"The Dementia Cognitive Fluctuation Scale, a New Psychometric Test for Clinicians to Identify Cognitive Fluctuations in People with Dementia","type":"article-journal","volume":"22"},"uris":["http://www.mendeley.com/documents/?uuid=290c378d-e1c4-41ca-85e1-e1f48f1e9ff9"]}],"mendeley":{"formattedCitation":"[2]","plainTextFormattedCitation":"[2]","previouslyFormattedCitation":"[2]"},"properties":{"noteIndex":0},"schema":"https://github.com/citation-style-language/schema/raw/master/csl-citation.json"}</w:instrText>
            </w:r>
            <w:r>
              <w:rPr>
                <w:rFonts w:asciiTheme="majorHAnsi" w:hAnsiTheme="majorHAnsi" w:cs="Arial"/>
                <w:szCs w:val="22"/>
                <w:vertAlign w:val="superscript"/>
              </w:rPr>
              <w:fldChar w:fldCharType="separate"/>
            </w:r>
            <w:r w:rsidRPr="00B34AA4">
              <w:rPr>
                <w:rFonts w:asciiTheme="majorHAnsi" w:hAnsiTheme="majorHAnsi" w:cs="Arial"/>
                <w:noProof/>
                <w:szCs w:val="22"/>
              </w:rPr>
              <w:t>[2]</w:t>
            </w:r>
            <w:r>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16715410" w14:textId="77777777" w:rsidR="00B34AA4" w:rsidRDefault="00B34AA4" w:rsidP="000D0311">
            <w:pPr>
              <w:pStyle w:val="PlainText"/>
              <w:rPr>
                <w:rFonts w:asciiTheme="majorHAnsi" w:hAnsiTheme="majorHAnsi" w:cs="Arial"/>
                <w:b/>
                <w:szCs w:val="22"/>
              </w:rPr>
            </w:pPr>
            <w:r>
              <w:rPr>
                <w:rFonts w:asciiTheme="majorHAnsi" w:hAnsiTheme="majorHAnsi" w:cs="Arial"/>
                <w:szCs w:val="22"/>
              </w:rPr>
              <w:t>Fluctuations in person with PRD cognition reported by the care partner.</w:t>
            </w:r>
          </w:p>
        </w:tc>
        <w:tc>
          <w:tcPr>
            <w:tcW w:w="1134" w:type="dxa"/>
            <w:tcBorders>
              <w:top w:val="single" w:sz="4" w:space="0" w:color="auto"/>
              <w:left w:val="single" w:sz="4" w:space="0" w:color="auto"/>
              <w:bottom w:val="single" w:sz="4" w:space="0" w:color="auto"/>
              <w:right w:val="single" w:sz="4" w:space="0" w:color="auto"/>
            </w:tcBorders>
            <w:hideMark/>
          </w:tcPr>
          <w:p w14:paraId="14B2B1F9"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r>
              <w:rPr>
                <w:rFonts w:asciiTheme="majorHAnsi" w:eastAsia="MS Gothic" w:hAnsiTheme="majorHAnsi" w:cs="Arial"/>
                <w:bCs/>
                <w:color w:val="333333"/>
                <w:szCs w:val="22"/>
                <w:lang w:eastAsia="en-GB"/>
              </w:rPr>
              <w:t xml:space="preserve"> </w:t>
            </w:r>
          </w:p>
          <w:p w14:paraId="26624DDD" w14:textId="77777777" w:rsidR="00B34AA4" w:rsidRDefault="00B34AA4" w:rsidP="000D0311">
            <w:pPr>
              <w:pStyle w:val="PlainText"/>
              <w:jc w:val="center"/>
              <w:rPr>
                <w:rFonts w:asciiTheme="majorHAnsi" w:hAnsiTheme="majorHAnsi" w:cs="Arial"/>
                <w:b/>
                <w:szCs w:val="22"/>
              </w:rPr>
            </w:pPr>
            <w:r>
              <w:rPr>
                <w:rFonts w:asciiTheme="majorHAnsi" w:eastAsia="MS Gothic" w:hAnsiTheme="majorHAnsi" w:cs="Arial"/>
                <w:bCs/>
                <w:color w:val="333333"/>
                <w:szCs w:val="22"/>
                <w:lang w:eastAsia="en-GB"/>
              </w:rPr>
              <w:t>(proxy)</w:t>
            </w:r>
          </w:p>
        </w:tc>
        <w:tc>
          <w:tcPr>
            <w:tcW w:w="1134" w:type="dxa"/>
            <w:tcBorders>
              <w:top w:val="single" w:sz="4" w:space="0" w:color="auto"/>
              <w:left w:val="single" w:sz="4" w:space="0" w:color="auto"/>
              <w:bottom w:val="single" w:sz="4" w:space="0" w:color="auto"/>
              <w:right w:val="single" w:sz="4" w:space="0" w:color="auto"/>
            </w:tcBorders>
          </w:tcPr>
          <w:p w14:paraId="2451D7CD" w14:textId="77777777" w:rsidR="00B34AA4" w:rsidRDefault="00B34AA4" w:rsidP="000D0311">
            <w:pPr>
              <w:pStyle w:val="PlainText"/>
              <w:jc w:val="center"/>
              <w:rPr>
                <w:rFonts w:asciiTheme="majorHAnsi" w:hAnsiTheme="majorHAnsi" w:cs="Arial"/>
                <w:b/>
                <w:szCs w:val="22"/>
              </w:rPr>
            </w:pPr>
          </w:p>
        </w:tc>
      </w:tr>
      <w:tr w:rsidR="00B34AA4" w14:paraId="168D302D" w14:textId="77777777" w:rsidTr="000D0311">
        <w:trPr>
          <w:trHeight w:val="279"/>
        </w:trPr>
        <w:tc>
          <w:tcPr>
            <w:tcW w:w="1526" w:type="dxa"/>
            <w:tcBorders>
              <w:top w:val="single" w:sz="4" w:space="0" w:color="auto"/>
              <w:left w:val="single" w:sz="4" w:space="0" w:color="auto"/>
              <w:bottom w:val="single" w:sz="4" w:space="0" w:color="auto"/>
              <w:right w:val="single" w:sz="4" w:space="0" w:color="auto"/>
            </w:tcBorders>
            <w:hideMark/>
          </w:tcPr>
          <w:p w14:paraId="4717AFF4" w14:textId="77777777" w:rsidR="00B34AA4" w:rsidRDefault="00B34AA4" w:rsidP="000D0311">
            <w:pPr>
              <w:pStyle w:val="PlainText"/>
              <w:rPr>
                <w:rFonts w:asciiTheme="majorHAnsi" w:hAnsiTheme="majorHAnsi" w:cs="Arial"/>
                <w:szCs w:val="22"/>
              </w:rPr>
            </w:pPr>
            <w:r>
              <w:rPr>
                <w:rFonts w:asciiTheme="majorHAnsi" w:hAnsiTheme="majorHAnsi" w:cs="Arial"/>
                <w:szCs w:val="22"/>
              </w:rPr>
              <w:t>Functional ability</w:t>
            </w:r>
          </w:p>
        </w:tc>
        <w:tc>
          <w:tcPr>
            <w:tcW w:w="2551" w:type="dxa"/>
            <w:tcBorders>
              <w:top w:val="single" w:sz="4" w:space="0" w:color="auto"/>
              <w:left w:val="single" w:sz="4" w:space="0" w:color="auto"/>
              <w:bottom w:val="single" w:sz="4" w:space="0" w:color="auto"/>
              <w:right w:val="single" w:sz="4" w:space="0" w:color="auto"/>
            </w:tcBorders>
            <w:hideMark/>
          </w:tcPr>
          <w:p w14:paraId="72C60CC3" w14:textId="77777777" w:rsidR="00B34AA4" w:rsidRDefault="00B34AA4" w:rsidP="000D0311">
            <w:pPr>
              <w:pStyle w:val="PlainText"/>
              <w:rPr>
                <w:rFonts w:asciiTheme="majorHAnsi" w:hAnsiTheme="majorHAnsi" w:cs="Arial"/>
                <w:szCs w:val="22"/>
              </w:rPr>
            </w:pPr>
            <w:r>
              <w:rPr>
                <w:rFonts w:asciiTheme="majorHAnsi" w:hAnsiTheme="majorHAnsi" w:cs="Arial"/>
                <w:b/>
                <w:szCs w:val="22"/>
              </w:rPr>
              <w:t xml:space="preserve">The Pill questionnaire </w:t>
            </w:r>
            <w:r>
              <w:rPr>
                <w:rFonts w:asciiTheme="majorHAnsi" w:hAnsiTheme="majorHAnsi" w:cs="Arial"/>
                <w:szCs w:val="22"/>
                <w:vertAlign w:val="superscript"/>
              </w:rPr>
              <w:t xml:space="preserve">b </w:t>
            </w:r>
            <w:r>
              <w:rPr>
                <w:rFonts w:asciiTheme="majorHAnsi" w:hAnsiTheme="majorHAnsi" w:cs="Arial"/>
                <w:szCs w:val="22"/>
                <w:vertAlign w:val="superscript"/>
              </w:rPr>
              <w:fldChar w:fldCharType="begin" w:fldLock="1"/>
            </w:r>
            <w:r>
              <w:rPr>
                <w:rFonts w:asciiTheme="majorHAnsi" w:hAnsiTheme="majorHAnsi" w:cs="Arial"/>
                <w:szCs w:val="22"/>
                <w:vertAlign w:val="superscript"/>
              </w:rPr>
              <w:instrText>ADDIN CSL_CITATION {"citationItems":[{"id":"ITEM-1","itemData":{"DOI":"10.1002/mds.25124","ISBN":"1531-8257 (Electronic)\r0885-3185 (Linking)","ISSN":"08853185","PMID":"22865587","abstract":"We assessed the Pill Questionnaire as a screen for mild cognitive impairment in nondemented Parkinson's disease patients. The relationship between ability to remember medications for Parkinson's disease in the Pill Questionnaire, mild cognitive impairment, and deficits on neuropsychological tests performed 2-3 weeks later blind to Pill Questionnaire results was assessed in movement disorders clinic patients. In 109 subjects, inaccurate medication reporting on the Pill Questionnaire was associated with lower scores on the Montreal Cognitive Assessment, Scales for Outcomes in Parkinson's Disease-Cognition and with deficits in memory, attention, executive function-inhibitory control, processing speed, visuospatial function, and language. Inaccurate medication reporting was also associated with an adjusted odds ratio of 2.4 (95% CI, 0.91-5.88; P = .06) for mild cognitive impairment, with a specificity of 80% and sensitivity of 41%. The Pill Questionnaire is neither sensitive nor specific enough to be used as the sole screening or diagnostic tool for mild cognitive impairment. However, inaccurate medication reporting is associated with deficits spanning many cognitive domains and should alert a clinician to a higher likelihood of cognitive impairment.","author":[{"dropping-particle":"","family":"Reginold","given":"William","non-dropping-particle":"","parse-names":false,"suffix":""},{"dropping-particle":"","family":"Armstrong","given":"Melissa J.","non-dropping-particle":"","parse-names":false,"suffix":""},{"dropping-particle":"","family":"Duff-Canning","given":"Sarah","non-dropping-particle":"","parse-names":false,"suffix":""},{"dropping-particle":"","family":"Lang","given":"Anthony","non-dropping-particle":"","parse-names":false,"suffix":""},{"dropping-particle":"","family":"Tang-Wai","given":"David","non-dropping-particle":"","parse-names":false,"suffix":""},{"dropping-particle":"","family":"Fox","given":"Susan","non-dropping-particle":"","parse-names":false,"suffix":""},{"dropping-particle":"","family":"Rothberg","given":"Brandon","non-dropping-particle":"","parse-names":false,"suffix":""},{"dropping-particle":"","family":"Zadikoff","given":"Cindy","non-dropping-particle":"","parse-names":false,"suffix":""},{"dropping-particle":"","family":"Kennedy","given":"Nancy","non-dropping-particle":"","parse-names":false,"suffix":""},{"dropping-particle":"","family":"Gill","given":"David","non-dropping-particle":"","parse-names":false,"suffix":""},{"dropping-particle":"","family":"Eslinger","given":"Paul","non-dropping-particle":"","parse-names":false,"suffix":""},{"dropping-particle":"","family":"Mapstone","given":"Mark","non-dropping-particle":"","parse-names":false,"suffix":""},{"dropping-particle":"","family":"Chou","given":"Kelvin","non-dropping-particle":"","parse-names":false,"suffix":""},{"dropping-particle":"","family":"Persad","given":"Carol","non-dropping-particle":"","parse-names":false,"suffix":""},{"dropping-particle":"","family":"Litvan","given":"Irene","non-dropping-particle":"","parse-names":false,"suffix":""},{"dropping-particle":"","family":"Mast","given":"Benjamin","non-dropping-particle":"","parse-names":false,"suffix":""},{"dropping-particle":"","family":"Marras","given":"Connie","non-dropping-particle":"","parse-names":false,"suffix":""}],"container-title":"Movement Disorders","id":"ITEM-1","issue":"10","issued":{"date-parts":[["2012"]]},"page":"1308-1311","title":"The pill questionnaire in a nondemented Parkinson's disease population","type":"article-journal","volume":"27"},"uris":["http://www.mendeley.com/documents/?uuid=d5e24665-e551-41d2-bae0-13ef7aca5109"]}],"mendeley":{"formattedCitation":"[3]","plainTextFormattedCitation":"[3]","previouslyFormattedCitation":"[3]"},"properties":{"noteIndex":0},"schema":"https://github.com/citation-style-language/schema/raw/master/csl-citation.json"}</w:instrText>
            </w:r>
            <w:r>
              <w:rPr>
                <w:rFonts w:asciiTheme="majorHAnsi" w:hAnsiTheme="majorHAnsi" w:cs="Arial"/>
                <w:szCs w:val="22"/>
                <w:vertAlign w:val="superscript"/>
              </w:rPr>
              <w:fldChar w:fldCharType="separate"/>
            </w:r>
            <w:r w:rsidRPr="00B34AA4">
              <w:rPr>
                <w:rFonts w:asciiTheme="majorHAnsi" w:hAnsiTheme="majorHAnsi" w:cs="Arial"/>
                <w:noProof/>
                <w:szCs w:val="22"/>
              </w:rPr>
              <w:t>[3]</w:t>
            </w:r>
            <w:r>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32E48EF9" w14:textId="77777777" w:rsidR="00B34AA4" w:rsidRDefault="00B34AA4" w:rsidP="000D0311">
            <w:pPr>
              <w:pStyle w:val="PlainText"/>
              <w:rPr>
                <w:rFonts w:asciiTheme="majorHAnsi" w:hAnsiTheme="majorHAnsi" w:cs="Arial"/>
                <w:szCs w:val="22"/>
              </w:rPr>
            </w:pPr>
            <w:r>
              <w:rPr>
                <w:rFonts w:asciiTheme="majorHAnsi" w:hAnsiTheme="majorHAnsi" w:cs="Arial"/>
                <w:szCs w:val="22"/>
              </w:rPr>
              <w:t>The ability to undertake a specific activity of daily living (i.e. medication intake).</w:t>
            </w:r>
          </w:p>
        </w:tc>
        <w:tc>
          <w:tcPr>
            <w:tcW w:w="1134" w:type="dxa"/>
            <w:tcBorders>
              <w:top w:val="single" w:sz="4" w:space="0" w:color="auto"/>
              <w:left w:val="single" w:sz="4" w:space="0" w:color="auto"/>
              <w:bottom w:val="single" w:sz="4" w:space="0" w:color="auto"/>
              <w:right w:val="single" w:sz="4" w:space="0" w:color="auto"/>
            </w:tcBorders>
            <w:hideMark/>
          </w:tcPr>
          <w:p w14:paraId="054DC34C"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1349F01C" w14:textId="77777777" w:rsidR="00B34AA4" w:rsidRDefault="00B34AA4" w:rsidP="000D0311">
            <w:pPr>
              <w:pStyle w:val="PlainText"/>
              <w:jc w:val="center"/>
              <w:rPr>
                <w:rFonts w:asciiTheme="majorHAnsi" w:hAnsiTheme="majorHAnsi" w:cs="Arial"/>
                <w:b/>
                <w:szCs w:val="22"/>
              </w:rPr>
            </w:pPr>
          </w:p>
        </w:tc>
      </w:tr>
      <w:tr w:rsidR="00B34AA4" w14:paraId="3B20BC23" w14:textId="77777777" w:rsidTr="000D0311">
        <w:trPr>
          <w:trHeight w:val="279"/>
        </w:trPr>
        <w:tc>
          <w:tcPr>
            <w:tcW w:w="1526" w:type="dxa"/>
            <w:vMerge w:val="restart"/>
            <w:tcBorders>
              <w:top w:val="single" w:sz="4" w:space="0" w:color="auto"/>
              <w:left w:val="single" w:sz="4" w:space="0" w:color="auto"/>
              <w:bottom w:val="single" w:sz="4" w:space="0" w:color="auto"/>
              <w:right w:val="single" w:sz="4" w:space="0" w:color="auto"/>
            </w:tcBorders>
            <w:hideMark/>
          </w:tcPr>
          <w:p w14:paraId="417DE532" w14:textId="77777777" w:rsidR="00B34AA4" w:rsidRDefault="00B34AA4" w:rsidP="000D0311">
            <w:pPr>
              <w:pStyle w:val="PlainText"/>
              <w:rPr>
                <w:rFonts w:asciiTheme="majorHAnsi" w:hAnsiTheme="majorHAnsi" w:cs="Arial"/>
                <w:szCs w:val="22"/>
              </w:rPr>
            </w:pPr>
            <w:r>
              <w:rPr>
                <w:rFonts w:asciiTheme="majorHAnsi" w:hAnsiTheme="majorHAnsi" w:cs="Arial"/>
                <w:szCs w:val="22"/>
              </w:rPr>
              <w:t>Quality of life</w:t>
            </w:r>
          </w:p>
        </w:tc>
        <w:tc>
          <w:tcPr>
            <w:tcW w:w="2551" w:type="dxa"/>
            <w:tcBorders>
              <w:top w:val="single" w:sz="4" w:space="0" w:color="auto"/>
              <w:left w:val="single" w:sz="4" w:space="0" w:color="auto"/>
              <w:bottom w:val="single" w:sz="4" w:space="0" w:color="auto"/>
              <w:right w:val="single" w:sz="4" w:space="0" w:color="auto"/>
            </w:tcBorders>
            <w:hideMark/>
          </w:tcPr>
          <w:p w14:paraId="15CE8782" w14:textId="77777777" w:rsidR="00B34AA4" w:rsidRDefault="00B34AA4" w:rsidP="00B34AA4">
            <w:pPr>
              <w:pStyle w:val="PlainText"/>
              <w:rPr>
                <w:rFonts w:asciiTheme="majorHAnsi" w:hAnsiTheme="majorHAnsi" w:cs="Arial"/>
                <w:szCs w:val="22"/>
              </w:rPr>
            </w:pPr>
            <w:r>
              <w:rPr>
                <w:rFonts w:asciiTheme="majorHAnsi" w:hAnsiTheme="majorHAnsi" w:cs="Arial"/>
                <w:b/>
                <w:szCs w:val="22"/>
              </w:rPr>
              <w:t>The Parkinson’s Disease Questionnaire-39</w:t>
            </w:r>
            <w:r>
              <w:rPr>
                <w:rFonts w:asciiTheme="majorHAnsi" w:hAnsiTheme="majorHAnsi" w:cs="Arial"/>
                <w:szCs w:val="22"/>
              </w:rPr>
              <w:t xml:space="preserve"> (PDQ-39) </w:t>
            </w:r>
            <w:r w:rsidR="007E2F6D">
              <w:rPr>
                <w:rFonts w:asciiTheme="majorHAnsi" w:hAnsiTheme="majorHAnsi" w:cs="Arial"/>
                <w:szCs w:val="22"/>
                <w:vertAlign w:val="superscript"/>
              </w:rPr>
              <w:t xml:space="preserve">b </w:t>
            </w:r>
            <w:r w:rsidR="007E2F6D">
              <w:rPr>
                <w:rFonts w:asciiTheme="majorHAnsi" w:hAnsiTheme="majorHAnsi" w:cs="Arial"/>
                <w:szCs w:val="22"/>
                <w:vertAlign w:val="superscript"/>
              </w:rPr>
              <w:fldChar w:fldCharType="begin" w:fldLock="1"/>
            </w:r>
            <w:r w:rsidR="007E2F6D">
              <w:rPr>
                <w:rFonts w:asciiTheme="majorHAnsi" w:hAnsiTheme="majorHAnsi" w:cs="Arial"/>
                <w:szCs w:val="22"/>
                <w:vertAlign w:val="superscript"/>
              </w:rPr>
              <w:instrText>ADDIN CSL_CITATION {"citationItems":[{"id":"ITEM-1","itemData":{"abstract":"Objectives: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Titis produced a single factor on the data from both surveys. Outcome measures: the eight dimensions of the PDQ-39 and the new single index score-the Parkinson's disease summary index (PDSD, together with clinical assessments (the Columbia rating scale and the Hoehn and Yahr staging score). Results: in the postal survey 227 patients returned questionnaires (58.2%). All 146 patients approached in the clinic sample agreed to take part. Higher-order principal-components factor analysis was undertaken on the eight dimensions of the PDQ-39 and produced one factor on both datasets. Consequently it was decided that the scores of the eight domains could be summed to produce a single index figure. The psychometric properties of this index were explored using reliability tests and tests of construct validity. The newly derived single index was found to be both internally reliable and valid. Discussion: data from the PDQ-39 can be presented either in profile form or as a single index figure. The profile should be of value in studies aimed at determining the impact of treatment regimes upon particular aspects of functioning and well-being in patients with Parkinson's disease, while the PDSI will provide a summary score of the impact of the illness on functioning and well-being and will be of use in the evaluation of the overall effect of different treatments. Furthermore, the PDSI reduces the number of statistical comparisons and hence the role of chance when exploring data from the PDQ-39.","author":[{"dropping-particle":"","family":"Jenkinson","given":"C.","non-dropping-particle":"","parse-names":false,"suffix":""},{"dropping-particle":"","family":"Fitzpatrick","given":"R.","non-dropping-particle":"","parse-names":false,"suffix":""},{"dropping-particle":"","family":"Peto","given":"V.","non-dropping-particle":"","parse-names":false,"suffix":""},{"dropping-particle":"","family":"Greenhall","given":"R.","non-dropping-particle":"","parse-names":false,"suffix":""}],"container-title":"Age and Ageing","id":"ITEM-1","issued":{"date-parts":[["1997"]]},"page":"353-357","title":"The Parkinson ' s Disease Questionnaire ( PDQ-39 ): development and validation of a Parkinson ' s disease summary index score","type":"article-journal","volume":"26"},"uris":["http://www.mendeley.com/documents/?uuid=a74939c3-ad1e-4b27-8a8d-d0a764ba865b"]}],"mendeley":{"formattedCitation":"[4]","plainTextFormattedCitation":"[4]","previouslyFormattedCitation":"[4]"},"properties":{"noteIndex":0},"schema":"https://github.com/citation-style-language/schema/raw/master/csl-citation.json"}</w:instrText>
            </w:r>
            <w:r w:rsidR="007E2F6D">
              <w:rPr>
                <w:rFonts w:asciiTheme="majorHAnsi" w:hAnsiTheme="majorHAnsi" w:cs="Arial"/>
                <w:szCs w:val="22"/>
                <w:vertAlign w:val="superscript"/>
              </w:rPr>
              <w:fldChar w:fldCharType="separate"/>
            </w:r>
            <w:r w:rsidR="007E2F6D" w:rsidRPr="007E2F6D">
              <w:rPr>
                <w:rFonts w:asciiTheme="majorHAnsi" w:hAnsiTheme="majorHAnsi" w:cs="Arial"/>
                <w:noProof/>
                <w:szCs w:val="22"/>
              </w:rPr>
              <w:t>[4]</w:t>
            </w:r>
            <w:r w:rsidR="007E2F6D">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2F313F9F" w14:textId="77777777" w:rsidR="00B34AA4" w:rsidRDefault="00B34AA4" w:rsidP="000D0311">
            <w:pPr>
              <w:pStyle w:val="PlainText"/>
              <w:rPr>
                <w:rFonts w:asciiTheme="majorHAnsi" w:hAnsiTheme="majorHAnsi" w:cs="Arial"/>
                <w:szCs w:val="22"/>
              </w:rPr>
            </w:pPr>
            <w:r>
              <w:rPr>
                <w:rFonts w:asciiTheme="majorHAnsi" w:hAnsiTheme="majorHAnsi" w:cs="Arial"/>
                <w:szCs w:val="22"/>
              </w:rPr>
              <w:t>Parkinson’s-specific quality of life.</w:t>
            </w:r>
          </w:p>
        </w:tc>
        <w:tc>
          <w:tcPr>
            <w:tcW w:w="1134" w:type="dxa"/>
            <w:tcBorders>
              <w:top w:val="single" w:sz="4" w:space="0" w:color="auto"/>
              <w:left w:val="single" w:sz="4" w:space="0" w:color="auto"/>
              <w:bottom w:val="single" w:sz="4" w:space="0" w:color="auto"/>
              <w:right w:val="single" w:sz="4" w:space="0" w:color="auto"/>
            </w:tcBorders>
            <w:hideMark/>
          </w:tcPr>
          <w:p w14:paraId="0F6295D9"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541B6C90" w14:textId="77777777" w:rsidR="00B34AA4" w:rsidRDefault="00B34AA4" w:rsidP="000D0311">
            <w:pPr>
              <w:pStyle w:val="PlainText"/>
              <w:jc w:val="center"/>
              <w:rPr>
                <w:rFonts w:asciiTheme="majorHAnsi" w:hAnsiTheme="majorHAnsi" w:cs="Arial"/>
                <w:b/>
                <w:szCs w:val="22"/>
              </w:rPr>
            </w:pPr>
          </w:p>
        </w:tc>
      </w:tr>
      <w:tr w:rsidR="00B34AA4" w14:paraId="4B8D3538" w14:textId="77777777" w:rsidTr="000D0311">
        <w:trPr>
          <w:trHeight w:val="279"/>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71DE4CCD"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78353640" w14:textId="77777777" w:rsidR="00B34AA4" w:rsidRDefault="00B34AA4" w:rsidP="000D0311">
            <w:pPr>
              <w:pStyle w:val="PlainText"/>
              <w:rPr>
                <w:rFonts w:asciiTheme="majorHAnsi" w:hAnsiTheme="majorHAnsi" w:cs="Arial"/>
                <w:szCs w:val="22"/>
              </w:rPr>
            </w:pPr>
            <w:r>
              <w:rPr>
                <w:rFonts w:asciiTheme="majorHAnsi" w:hAnsiTheme="majorHAnsi" w:cs="Arial"/>
                <w:b/>
                <w:szCs w:val="22"/>
              </w:rPr>
              <w:t xml:space="preserve">The EuroQoL-5D </w:t>
            </w:r>
            <w:r>
              <w:rPr>
                <w:rFonts w:asciiTheme="majorHAnsi" w:hAnsiTheme="majorHAnsi" w:cs="Arial"/>
                <w:szCs w:val="22"/>
              </w:rPr>
              <w:t xml:space="preserve">(EQ5D) </w:t>
            </w:r>
            <w:r w:rsidR="007E2F6D">
              <w:rPr>
                <w:rFonts w:asciiTheme="majorHAnsi" w:hAnsiTheme="majorHAnsi" w:cs="Arial"/>
                <w:szCs w:val="22"/>
                <w:vertAlign w:val="superscript"/>
              </w:rPr>
              <w:t xml:space="preserve">a </w:t>
            </w:r>
            <w:r w:rsidR="007E2F6D">
              <w:rPr>
                <w:rFonts w:asciiTheme="majorHAnsi" w:hAnsiTheme="majorHAnsi" w:cs="Arial"/>
                <w:szCs w:val="22"/>
                <w:vertAlign w:val="superscript"/>
              </w:rPr>
              <w:fldChar w:fldCharType="begin" w:fldLock="1"/>
            </w:r>
            <w:r w:rsidR="007E2F6D">
              <w:rPr>
                <w:rFonts w:asciiTheme="majorHAnsi" w:hAnsiTheme="majorHAnsi" w:cs="Arial"/>
                <w:szCs w:val="22"/>
                <w:vertAlign w:val="superscript"/>
              </w:rPr>
              <w:instrText>ADDIN CSL_CITATION {"citationItems":[{"id":"ITEM-1","itemData":{"DOI":"10.1016/0168-8510(90)90421-9","ISSN":"0168-8510","PMID":"10109801","abstract":"In the course of developing a standardised, non-disease-specific instrument for describing and valuing health states (based on the items in Table 1), the EuroQol Group (whose members are listed in the Appendix) conducted postal surveys in England, The Netherlands and Sweden which indicate a striking similarity in the relative valuations attached to 14 different health states. The data were collected using a visual analogue scale similar to a thermometer. The EuroQol instrument is intended to complement other quality-of-life measures and to facilitate the collection of a common data set for reference purposes. Others interested in participating in the extension of this work are invited to contact the EuroQol Group.","author":[{"dropping-particle":"","family":"EuroQol Group","given":"","non-dropping-particle":"","parse-names":false,"suffix":""}],"container-title":"Health policy (Amsterdam, Netherlands)","id":"ITEM-1","issue":"3","issued":{"date-parts":[["1990","12","1"]]},"page":"199-208","publisher":"Elsevier","title":"EuroQol--a new facility for the measurement of health-related quality of life.","type":"article-journal","volume":"16"},"uris":["http://www.mendeley.com/documents/?uuid=b6ac1360-b237-31c6-b263-f983c3254639"]}],"mendeley":{"formattedCitation":"[5]","plainTextFormattedCitation":"[5]","previouslyFormattedCitation":"[5]"},"properties":{"noteIndex":0},"schema":"https://github.com/citation-style-language/schema/raw/master/csl-citation.json"}</w:instrText>
            </w:r>
            <w:r w:rsidR="007E2F6D">
              <w:rPr>
                <w:rFonts w:asciiTheme="majorHAnsi" w:hAnsiTheme="majorHAnsi" w:cs="Arial"/>
                <w:szCs w:val="22"/>
                <w:vertAlign w:val="superscript"/>
              </w:rPr>
              <w:fldChar w:fldCharType="separate"/>
            </w:r>
            <w:r w:rsidR="007E2F6D" w:rsidRPr="007E2F6D">
              <w:rPr>
                <w:rFonts w:asciiTheme="majorHAnsi" w:hAnsiTheme="majorHAnsi" w:cs="Arial"/>
                <w:noProof/>
                <w:szCs w:val="22"/>
              </w:rPr>
              <w:t>[5]</w:t>
            </w:r>
            <w:r w:rsidR="007E2F6D">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2C6F371A" w14:textId="77777777" w:rsidR="00B34AA4" w:rsidRDefault="00B34AA4" w:rsidP="000D0311">
            <w:pPr>
              <w:pStyle w:val="PlainText"/>
              <w:rPr>
                <w:rFonts w:asciiTheme="majorHAnsi" w:hAnsiTheme="majorHAnsi" w:cs="Arial"/>
                <w:szCs w:val="22"/>
              </w:rPr>
            </w:pPr>
            <w:r>
              <w:rPr>
                <w:rFonts w:asciiTheme="majorHAnsi" w:hAnsiTheme="majorHAnsi" w:cs="Arial"/>
                <w:szCs w:val="22"/>
              </w:rPr>
              <w:t>Health-related quality of life.</w:t>
            </w:r>
          </w:p>
        </w:tc>
        <w:tc>
          <w:tcPr>
            <w:tcW w:w="1134" w:type="dxa"/>
            <w:tcBorders>
              <w:top w:val="single" w:sz="4" w:space="0" w:color="auto"/>
              <w:left w:val="single" w:sz="4" w:space="0" w:color="auto"/>
              <w:bottom w:val="single" w:sz="4" w:space="0" w:color="auto"/>
              <w:right w:val="single" w:sz="4" w:space="0" w:color="auto"/>
            </w:tcBorders>
            <w:hideMark/>
          </w:tcPr>
          <w:p w14:paraId="41A1B20B"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hideMark/>
          </w:tcPr>
          <w:p w14:paraId="7338226A"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r>
      <w:tr w:rsidR="00B34AA4" w14:paraId="40BBB46E" w14:textId="77777777" w:rsidTr="000D0311">
        <w:tc>
          <w:tcPr>
            <w:tcW w:w="1526" w:type="dxa"/>
            <w:vMerge w:val="restart"/>
            <w:tcBorders>
              <w:top w:val="single" w:sz="4" w:space="0" w:color="auto"/>
              <w:left w:val="single" w:sz="4" w:space="0" w:color="auto"/>
              <w:bottom w:val="single" w:sz="4" w:space="0" w:color="auto"/>
              <w:right w:val="single" w:sz="4" w:space="0" w:color="auto"/>
            </w:tcBorders>
            <w:hideMark/>
          </w:tcPr>
          <w:p w14:paraId="033F70CD" w14:textId="77777777" w:rsidR="00B34AA4" w:rsidRDefault="00B34AA4" w:rsidP="000D0311">
            <w:pPr>
              <w:pStyle w:val="PlainText"/>
              <w:rPr>
                <w:rFonts w:asciiTheme="majorHAnsi" w:hAnsiTheme="majorHAnsi" w:cs="Arial"/>
                <w:szCs w:val="22"/>
              </w:rPr>
            </w:pPr>
            <w:r>
              <w:rPr>
                <w:rFonts w:asciiTheme="majorHAnsi" w:hAnsiTheme="majorHAnsi" w:cs="Arial"/>
                <w:szCs w:val="22"/>
              </w:rPr>
              <w:t>Neuropsychiatric symptoms (NPS)</w:t>
            </w:r>
          </w:p>
        </w:tc>
        <w:tc>
          <w:tcPr>
            <w:tcW w:w="2551" w:type="dxa"/>
            <w:tcBorders>
              <w:top w:val="single" w:sz="4" w:space="0" w:color="auto"/>
              <w:left w:val="single" w:sz="4" w:space="0" w:color="auto"/>
              <w:bottom w:val="single" w:sz="4" w:space="0" w:color="auto"/>
              <w:right w:val="single" w:sz="4" w:space="0" w:color="auto"/>
            </w:tcBorders>
            <w:hideMark/>
          </w:tcPr>
          <w:p w14:paraId="33D71894"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Neuropsychiatric Inventory</w:t>
            </w:r>
            <w:r>
              <w:rPr>
                <w:rFonts w:asciiTheme="majorHAnsi" w:hAnsiTheme="majorHAnsi" w:cs="Arial"/>
                <w:szCs w:val="22"/>
              </w:rPr>
              <w:t xml:space="preserve"> (NPI)</w:t>
            </w:r>
            <w:r w:rsidR="007E2F6D">
              <w:rPr>
                <w:rFonts w:asciiTheme="majorHAnsi" w:hAnsiTheme="majorHAnsi" w:cs="Arial"/>
                <w:szCs w:val="22"/>
                <w:vertAlign w:val="superscript"/>
              </w:rPr>
              <w:t xml:space="preserve"> b </w:t>
            </w:r>
            <w:r w:rsidR="007E2F6D">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{"citationItems":[{"id":"ITEM-1","itemData":{"author":[{"dropping-particle":"","family":"Cummings, J. L., Mega, M., Gray, K., Rosenberg-Thompson, S., Carusi, D. A., &amp; Gornbein","given":"J. (1994).","non-dropping-particle":"","parse-names":false,"suffix":""}],"container-title":"Neurology","id":"ITEM-1","issue":"12","issued":{"date-parts":[["1994"]]},"page":"2308-2314","title":"The neuropsychiatric inventory: Comprehensive assessment of psychopathology in dementia.","type":"article-journal","volume":"44"},"uris":["http://www.mendeley.com/documents/?uuid=d056a140-a12a-41a2-96b5-7d3d6db24bb7"]}],"mendeley":{"formattedCitation":"[6]","plainTextFormattedCitation":"[6]","previouslyFormattedCitation":"[6]"},"properties":{"noteIndex":0},"schema":"https://github.com/citation-style-language/schema/raw/master/csl-citation.json"}</w:instrText>
            </w:r>
            <w:r w:rsidR="007E2F6D">
              <w:rPr>
                <w:rFonts w:asciiTheme="majorHAnsi" w:hAnsiTheme="majorHAnsi" w:cs="Arial"/>
                <w:szCs w:val="22"/>
                <w:vertAlign w:val="superscript"/>
              </w:rPr>
              <w:fldChar w:fldCharType="separate"/>
            </w:r>
            <w:r w:rsidR="007E2F6D" w:rsidRPr="007E2F6D">
              <w:rPr>
                <w:rFonts w:asciiTheme="majorHAnsi" w:hAnsiTheme="majorHAnsi" w:cs="Arial"/>
                <w:noProof/>
                <w:szCs w:val="22"/>
              </w:rPr>
              <w:t>[6]</w:t>
            </w:r>
            <w:r w:rsidR="007E2F6D">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5DD6B0C5" w14:textId="77777777" w:rsidR="00B34AA4" w:rsidRDefault="00B34AA4" w:rsidP="000D0311">
            <w:pPr>
              <w:pStyle w:val="PlainText"/>
              <w:rPr>
                <w:rFonts w:asciiTheme="majorHAnsi" w:hAnsiTheme="majorHAnsi" w:cs="Arial"/>
                <w:szCs w:val="22"/>
              </w:rPr>
            </w:pPr>
            <w:r>
              <w:rPr>
                <w:rFonts w:asciiTheme="majorHAnsi" w:hAnsiTheme="majorHAnsi" w:cs="Arial"/>
                <w:szCs w:val="22"/>
              </w:rPr>
              <w:t xml:space="preserve">Presence and magnitude of ‘clinically significant’ (frequency x severity ≥4) NPS sub-domains reported by the care partner. </w:t>
            </w:r>
          </w:p>
        </w:tc>
        <w:tc>
          <w:tcPr>
            <w:tcW w:w="1134" w:type="dxa"/>
            <w:tcBorders>
              <w:top w:val="single" w:sz="4" w:space="0" w:color="auto"/>
              <w:left w:val="single" w:sz="4" w:space="0" w:color="auto"/>
              <w:bottom w:val="single" w:sz="4" w:space="0" w:color="auto"/>
              <w:right w:val="single" w:sz="4" w:space="0" w:color="auto"/>
            </w:tcBorders>
            <w:hideMark/>
          </w:tcPr>
          <w:p w14:paraId="10485F98"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r>
              <w:rPr>
                <w:rFonts w:asciiTheme="majorHAnsi" w:eastAsia="MS Gothic" w:hAnsiTheme="majorHAnsi" w:cs="Arial"/>
                <w:bCs/>
                <w:color w:val="333333"/>
                <w:szCs w:val="22"/>
                <w:lang w:eastAsia="en-GB"/>
              </w:rPr>
              <w:t xml:space="preserve"> </w:t>
            </w:r>
          </w:p>
          <w:p w14:paraId="4387FE85" w14:textId="77777777" w:rsidR="00B34AA4" w:rsidRDefault="00B34AA4" w:rsidP="000D0311">
            <w:pPr>
              <w:pStyle w:val="PlainText"/>
              <w:jc w:val="center"/>
              <w:rPr>
                <w:rFonts w:asciiTheme="majorHAnsi" w:hAnsiTheme="majorHAnsi" w:cs="Arial"/>
                <w:szCs w:val="22"/>
              </w:rPr>
            </w:pPr>
            <w:r>
              <w:rPr>
                <w:rFonts w:asciiTheme="majorHAnsi" w:eastAsia="MS Gothic" w:hAnsiTheme="majorHAnsi" w:cs="Arial"/>
                <w:bCs/>
                <w:color w:val="333333"/>
                <w:szCs w:val="22"/>
                <w:lang w:eastAsia="en-GB"/>
              </w:rPr>
              <w:t>(proxy)</w:t>
            </w:r>
          </w:p>
        </w:tc>
        <w:tc>
          <w:tcPr>
            <w:tcW w:w="1134" w:type="dxa"/>
            <w:tcBorders>
              <w:top w:val="single" w:sz="4" w:space="0" w:color="auto"/>
              <w:left w:val="single" w:sz="4" w:space="0" w:color="auto"/>
              <w:bottom w:val="single" w:sz="4" w:space="0" w:color="auto"/>
              <w:right w:val="single" w:sz="4" w:space="0" w:color="auto"/>
            </w:tcBorders>
          </w:tcPr>
          <w:p w14:paraId="533C05EA" w14:textId="77777777" w:rsidR="00B34AA4" w:rsidRDefault="00B34AA4" w:rsidP="000D0311">
            <w:pPr>
              <w:pStyle w:val="PlainText"/>
              <w:jc w:val="center"/>
              <w:rPr>
                <w:rFonts w:asciiTheme="majorHAnsi" w:hAnsiTheme="majorHAnsi" w:cs="Arial"/>
                <w:szCs w:val="22"/>
              </w:rPr>
            </w:pPr>
          </w:p>
        </w:tc>
      </w:tr>
      <w:tr w:rsidR="00B34AA4" w14:paraId="79D2ADA2" w14:textId="77777777" w:rsidTr="000D0311">
        <w:tc>
          <w:tcPr>
            <w:tcW w:w="1526" w:type="dxa"/>
            <w:vMerge/>
            <w:tcBorders>
              <w:top w:val="single" w:sz="4" w:space="0" w:color="auto"/>
              <w:left w:val="single" w:sz="4" w:space="0" w:color="auto"/>
              <w:bottom w:val="single" w:sz="4" w:space="0" w:color="auto"/>
              <w:right w:val="single" w:sz="4" w:space="0" w:color="auto"/>
            </w:tcBorders>
            <w:vAlign w:val="center"/>
            <w:hideMark/>
          </w:tcPr>
          <w:p w14:paraId="7C05B24E"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01964C15" w14:textId="77777777" w:rsidR="00B34AA4" w:rsidRDefault="00B34AA4" w:rsidP="000D0311">
            <w:pPr>
              <w:pStyle w:val="PlainText"/>
              <w:rPr>
                <w:rFonts w:asciiTheme="majorHAnsi" w:hAnsiTheme="majorHAnsi" w:cs="Arial"/>
                <w:b/>
                <w:szCs w:val="22"/>
              </w:rPr>
            </w:pPr>
            <w:r>
              <w:rPr>
                <w:rFonts w:asciiTheme="majorHAnsi" w:hAnsiTheme="majorHAnsi" w:cs="Arial"/>
                <w:b/>
                <w:szCs w:val="22"/>
              </w:rPr>
              <w:t>The Hospital Anxiety and Depression Scale</w:t>
            </w:r>
            <w:r>
              <w:rPr>
                <w:rFonts w:asciiTheme="majorHAnsi" w:hAnsiTheme="majorHAnsi" w:cs="Arial"/>
                <w:szCs w:val="22"/>
              </w:rPr>
              <w:t xml:space="preserve"> (HADS)</w:t>
            </w:r>
            <w:r w:rsidR="00481802">
              <w:rPr>
                <w:rFonts w:asciiTheme="majorHAnsi" w:hAnsiTheme="majorHAnsi" w:cs="Arial"/>
                <w:szCs w:val="22"/>
                <w:vertAlign w:val="superscript"/>
              </w:rPr>
              <w:t xml:space="preserve"> b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{"citationItems":[{"id":"ITEM-1","itemData":{"DOI":"10.1111/j.1600-0447.1983.tb09716.x","PMID":"6880820","abstract":"{ABSTRACT–A} self-assessment scale has been developed and found to be a reliable instrument for detecting states of depression and anxiety in the setting of an hospital medical outpatient clinic. The anxiety and depressive subscales are also valid measures of ...","author":[{"dropping-particle":"","family":"Zigmond","given":"Anthony S","non-dropping-particle":"","parse-names":false,"suffix":""},{"dropping-particle":"","family":"Snaith","given":"Philip R","non-dropping-particle":"","parse-names":false,"suffix":""}],"id":"ITEM-1","issue":"6","issued":{"date-parts":[["1983"]]},"page":"361-370","title":"The hospital anxiety and depression scale","type":"article-journal","volume":"67"},"uris":["http://www.mendeley.com/documents/?uuid=d65682f7-6e8b-44e6-917c-8d8bee19be6a"]}],"mendeley":{"formattedCitation":"[7]","plainTextFormattedCitation":"[7]","previouslyFormattedCitation":"[7]"},"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[7]</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7DF16AE9" w14:textId="77777777" w:rsidR="00B34AA4" w:rsidRDefault="00B34AA4" w:rsidP="000D0311">
            <w:pPr>
              <w:pStyle w:val="PlainText"/>
              <w:rPr>
                <w:rFonts w:asciiTheme="majorHAnsi" w:hAnsiTheme="majorHAnsi" w:cs="Arial"/>
                <w:szCs w:val="22"/>
              </w:rPr>
            </w:pPr>
            <w:r>
              <w:rPr>
                <w:rFonts w:asciiTheme="majorHAnsi" w:hAnsiTheme="majorHAnsi" w:cs="Arial"/>
                <w:szCs w:val="22"/>
              </w:rPr>
              <w:t>Self-rated anxiety and depression.</w:t>
            </w:r>
          </w:p>
        </w:tc>
        <w:tc>
          <w:tcPr>
            <w:tcW w:w="1134" w:type="dxa"/>
            <w:tcBorders>
              <w:top w:val="single" w:sz="4" w:space="0" w:color="auto"/>
              <w:left w:val="single" w:sz="4" w:space="0" w:color="auto"/>
              <w:bottom w:val="single" w:sz="4" w:space="0" w:color="auto"/>
              <w:right w:val="single" w:sz="4" w:space="0" w:color="auto"/>
            </w:tcBorders>
            <w:hideMark/>
          </w:tcPr>
          <w:p w14:paraId="319F7012" w14:textId="77777777" w:rsidR="00B34AA4" w:rsidRDefault="00B34AA4" w:rsidP="000D0311">
            <w:pPr>
              <w:pStyle w:val="PlainText"/>
              <w:jc w:val="center"/>
              <w:rPr>
                <w:rFonts w:asciiTheme="majorHAnsi" w:hAnsiTheme="majorHAnsi" w:cs="Arial"/>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hideMark/>
          </w:tcPr>
          <w:p w14:paraId="4C9B387B" w14:textId="77777777" w:rsidR="00B34AA4" w:rsidRDefault="00B34AA4" w:rsidP="000D0311">
            <w:pPr>
              <w:pStyle w:val="PlainText"/>
              <w:jc w:val="center"/>
              <w:rPr>
                <w:rFonts w:asciiTheme="majorHAnsi" w:hAnsiTheme="majorHAnsi" w:cs="Arial"/>
                <w:szCs w:val="22"/>
              </w:rPr>
            </w:pPr>
            <w:r>
              <w:rPr>
                <w:rFonts w:ascii="MS Mincho" w:eastAsia="MS Mincho" w:hAnsi="MS Mincho" w:cs="MS Mincho" w:hint="eastAsia"/>
                <w:bCs/>
                <w:color w:val="333333"/>
                <w:szCs w:val="22"/>
                <w:lang w:eastAsia="en-GB"/>
              </w:rPr>
              <w:t>✓</w:t>
            </w:r>
          </w:p>
        </w:tc>
      </w:tr>
      <w:tr w:rsidR="00B34AA4" w14:paraId="0B3FC7BC" w14:textId="77777777" w:rsidTr="000D0311">
        <w:tc>
          <w:tcPr>
            <w:tcW w:w="1526" w:type="dxa"/>
            <w:vMerge/>
            <w:tcBorders>
              <w:top w:val="single" w:sz="4" w:space="0" w:color="auto"/>
              <w:left w:val="single" w:sz="4" w:space="0" w:color="auto"/>
              <w:bottom w:val="single" w:sz="4" w:space="0" w:color="auto"/>
              <w:right w:val="single" w:sz="4" w:space="0" w:color="auto"/>
            </w:tcBorders>
            <w:vAlign w:val="center"/>
            <w:hideMark/>
          </w:tcPr>
          <w:p w14:paraId="225C0FB9"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40D3E707" w14:textId="77777777" w:rsidR="00B34AA4" w:rsidRDefault="00B34AA4" w:rsidP="000D0311">
            <w:pPr>
              <w:pStyle w:val="PlainText"/>
              <w:rPr>
                <w:rFonts w:asciiTheme="majorHAnsi" w:hAnsiTheme="majorHAnsi" w:cs="Arial"/>
                <w:szCs w:val="22"/>
              </w:rPr>
            </w:pPr>
            <w:r>
              <w:rPr>
                <w:rFonts w:asciiTheme="majorHAnsi" w:hAnsiTheme="majorHAnsi" w:cs="Arial"/>
                <w:b/>
                <w:szCs w:val="22"/>
              </w:rPr>
              <w:t xml:space="preserve">The Lille Apathy Rating Scale </w:t>
            </w:r>
            <w:r>
              <w:rPr>
                <w:rFonts w:asciiTheme="majorHAnsi" w:hAnsiTheme="majorHAnsi" w:cs="Arial"/>
                <w:szCs w:val="22"/>
              </w:rPr>
              <w:t>(LARS)</w:t>
            </w:r>
            <w:r w:rsidR="00481802">
              <w:rPr>
                <w:rFonts w:asciiTheme="majorHAnsi" w:hAnsiTheme="majorHAnsi" w:cs="Arial"/>
                <w:szCs w:val="22"/>
                <w:vertAlign w:val="superscript"/>
              </w:rPr>
              <w:t xml:space="preserve"> b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{"citationItems":[{"id":"ITEM-1","itemData":{"DOI":"10.1136/jnnp.2005.075929","ISBN":"0022-3050","ISSN":"0022-3050","PMID":"16614016","abstract":"BACKGROUND Apathy is usually defined as reduced interest and participation in various activities. It is a frequent consequence of neurological and psychiatric disorders. Although various scoring methods have been proposed, there is a lack of validated, standardised instruments for detecting apathy and assessing its severity. OBJECTIVE To develop an apathy rating scale using a structured standardised interview capable of distinguishing between the condition's various features. METHODS The Lille Apathy Rating Scale (LARS) is based on a structured interview. It includes 33 items, divided into nine domains. Responses are scored on a dichotomous scale. The participants used to validate the scale consisted of 159 patients with probable Parkinson's disease and 58 healthy control subjects. The Marin Apathy Scale, the Montgomery and Asberg Depression Rating Scale, and the Mattis Dementia Rating Scale were also administered. RESULTS Principal component analysis showed that the LARS probed a single construct which forms the root of an oblique factor structure reflecting four dimensions: intellectual curiosity, self awareness, emotion, and action initiation. The main psychometric properties of the LARS (internal consistency, inter-rater and test-retest reliability) were satisfactory. Concurrent validity was evaluated by reference to the Marin scale and to judgements provided by expert clinicians. CONCLUSIONS Standard validity indices showed that the LARS is sensitive and capable of distinguishing between apathy and depression. As a screening tool, the scale is able to support dichotomous judgements accurately and, when greater measurement sensitivity is required, also determine the severity of apathy within a four category classification.","author":[{"dropping-particle":"","family":"Sockeel","given":"P","non-dropping-particle":"","parse-names":false,"suffix":""},{"dropping-particle":"","family":"Dujardin","given":"K","non-dropping-particle":"","parse-names":false,"suffix":""},{"dropping-particle":"","family":"Devos","given":"D","non-dropping-particle":"","parse-names":false,"suffix":""},{"dropping-particle":"","family":"Denève","given":"C","non-dropping-particle":"","parse-names":false,"suffix":""},{"dropping-particle":"","family":"Destée","given":"A","non-dropping-particle":"","parse-names":false,"suffix":""},{"dropping-particle":"","family":"Defebvre","given":"L","non-dropping-particle":"","parse-names":false,"suffix":""}],"container-title":"Journal of neurology, neurosurgery, and psychiatry","id":"ITEM-1","issue":"5","issued":{"date-parts":[["2006"]]},"page":"579-84","title":"The Lille apathy rating scale (LARS), a new instrument for detecting and quantifying apathy: validation in Parkinson's disease.","type":"article-journal","volume":"77"},"uris":["http://www.mendeley.com/documents/?uuid=b11998cf-d843-438e-af41-0df6b1762647"]}],"mendeley":{"formattedCitation":"[8]","plainTextFormattedCitation":"[8]","previouslyFormattedCitation":"[8]"},"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[8]</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1C52C193" w14:textId="77777777" w:rsidR="00B34AA4" w:rsidRDefault="00B34AA4" w:rsidP="000D0311">
            <w:pPr>
              <w:pStyle w:val="PlainText"/>
              <w:rPr>
                <w:rFonts w:asciiTheme="majorHAnsi" w:hAnsiTheme="majorHAnsi" w:cs="Arial"/>
                <w:szCs w:val="22"/>
              </w:rPr>
            </w:pPr>
            <w:r>
              <w:rPr>
                <w:rFonts w:asciiTheme="majorHAnsi" w:hAnsiTheme="majorHAnsi" w:cs="Arial"/>
                <w:szCs w:val="22"/>
              </w:rPr>
              <w:t>Self-rated apathy.</w:t>
            </w:r>
          </w:p>
        </w:tc>
        <w:tc>
          <w:tcPr>
            <w:tcW w:w="1134" w:type="dxa"/>
            <w:tcBorders>
              <w:top w:val="single" w:sz="4" w:space="0" w:color="auto"/>
              <w:left w:val="single" w:sz="4" w:space="0" w:color="auto"/>
              <w:bottom w:val="single" w:sz="4" w:space="0" w:color="auto"/>
              <w:right w:val="single" w:sz="4" w:space="0" w:color="auto"/>
            </w:tcBorders>
            <w:hideMark/>
          </w:tcPr>
          <w:p w14:paraId="2DD8E990"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758505E3" w14:textId="77777777" w:rsidR="00B34AA4" w:rsidRDefault="00B34AA4" w:rsidP="000D0311">
            <w:pPr>
              <w:pStyle w:val="PlainText"/>
              <w:jc w:val="center"/>
              <w:rPr>
                <w:rFonts w:asciiTheme="majorHAnsi" w:hAnsiTheme="majorHAnsi" w:cs="Arial"/>
                <w:szCs w:val="22"/>
              </w:rPr>
            </w:pPr>
          </w:p>
        </w:tc>
      </w:tr>
      <w:tr w:rsidR="00B34AA4" w14:paraId="3219E604" w14:textId="77777777" w:rsidTr="000D0311">
        <w:trPr>
          <w:trHeight w:val="281"/>
        </w:trPr>
        <w:tc>
          <w:tcPr>
            <w:tcW w:w="1526" w:type="dxa"/>
            <w:tcBorders>
              <w:top w:val="single" w:sz="4" w:space="0" w:color="auto"/>
              <w:left w:val="single" w:sz="4" w:space="0" w:color="auto"/>
              <w:bottom w:val="single" w:sz="4" w:space="0" w:color="auto"/>
              <w:right w:val="single" w:sz="4" w:space="0" w:color="auto"/>
            </w:tcBorders>
            <w:hideMark/>
          </w:tcPr>
          <w:p w14:paraId="28DE2AED" w14:textId="77777777" w:rsidR="00B34AA4" w:rsidRDefault="00B34AA4" w:rsidP="000D0311">
            <w:pPr>
              <w:pStyle w:val="PlainText"/>
              <w:rPr>
                <w:rFonts w:asciiTheme="majorHAnsi" w:hAnsiTheme="majorHAnsi" w:cs="Arial"/>
                <w:szCs w:val="22"/>
              </w:rPr>
            </w:pPr>
            <w:r>
              <w:rPr>
                <w:rFonts w:asciiTheme="majorHAnsi" w:hAnsiTheme="majorHAnsi" w:cs="Arial"/>
                <w:szCs w:val="22"/>
              </w:rPr>
              <w:t>Health</w:t>
            </w:r>
          </w:p>
        </w:tc>
        <w:tc>
          <w:tcPr>
            <w:tcW w:w="2551" w:type="dxa"/>
            <w:tcBorders>
              <w:top w:val="single" w:sz="4" w:space="0" w:color="auto"/>
              <w:left w:val="single" w:sz="4" w:space="0" w:color="auto"/>
              <w:bottom w:val="single" w:sz="4" w:space="0" w:color="auto"/>
              <w:right w:val="single" w:sz="4" w:space="0" w:color="auto"/>
            </w:tcBorders>
            <w:hideMark/>
          </w:tcPr>
          <w:p w14:paraId="6E217F57"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Short Form-12 Health Survey</w:t>
            </w:r>
            <w:r>
              <w:rPr>
                <w:rFonts w:asciiTheme="majorHAnsi" w:hAnsiTheme="majorHAnsi" w:cs="Arial"/>
                <w:szCs w:val="22"/>
              </w:rPr>
              <w:t xml:space="preserve"> (SF-12) </w:t>
            </w:r>
            <w:r w:rsidR="00481802">
              <w:rPr>
                <w:rFonts w:asciiTheme="majorHAnsi" w:hAnsiTheme="majorHAnsi" w:cs="Arial"/>
                <w:szCs w:val="22"/>
                <w:vertAlign w:val="superscript"/>
              </w:rPr>
              <w:t xml:space="preserve">a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{"citationItems":[{"id":"ITEM-1","itemData":{"DOI":"10.1097/00005650-199603000-00003","ISBN":"9603000000","ISSN":"0025-7079","PMID":"8628042","abstract":"Regression methods were used to select and score 12 items from the Medical Outcomes Study 36-Item Short-Form Health Survey (SF-36) to reproduce the Physical Component Summary and Mental Component Summary scales in the general US population (n=2,333). The resulting 12-item short-form (SF-12) achieved multiple R squares of 0.911 and 0.918 in predictions of the SF-36 Physical Component Summary and SF-36 Mental Component Summary scores, respectively. Scoring algorithms from the general population used to score 12-item versions of the two components (Physical Components Summary and Mental Component Summary) achieved R squares of 0.905 with the SF-36 Physical Component Summary and 0.938 with SF-36 Mental Component Summary when cross-validated in the Medical Outcomes Study. Test-retest (2-week)correlations of 0.89 and 0.76 were observed for the 12-item Physical Component Summary and the 12-item Mental Component Summary, respectively, in the general US population (n=232). Twenty cross-sectional and longitudinal tests of empirical validity previously published for the 36-item short-form scales and summary measures were replicated for the 12-item Physical Component Summary and the 12-item Mental Component Summary, including comparisons between patient groups known to differ or to change in terms of the presence and seriousness of physical and mental conditions, acute symptoms, age and aging, self-reported 1-year changes in health, and recovery for depression. In 14 validity tests involving physical criteria, relative validity estimates for the 12-item Physical Component Summary ranged from 0.43 to 0.93 (median=0.67) in comparison with the best 36-item short-form scale. Relative validity estimates for the 12-item Mental Component Summary in 6 tests involving mental criteria ranged from 0.60 to 107 (median=0.97) in relation to the best 36-item short-form scale. Average scores for the 2 summary measures, and those for most scales in the 8-scale profile based on the 12-item short-form, closely mirrored those for the 36-item short-form, although standard errors were nearly always larger for the 12-item short-form.","author":[{"dropping-particle":"","family":"Ware","given":"J","non-dropping-particle":"","parse-names":false,"suffix":""},{"dropping-particle":"","family":"Kosinski","given":"M","non-dropping-particle":"","parse-names":false,"suffix":""},{"dropping-particle":"","family":"Keller","given":"S.D.","non-dropping-particle":"","parse-names":false,"suffix":""}],"container-title":"Med. Care.","id":"ITEM-1","issue":"3","issued":{"date-parts":[["1996"]]},"page":"220-33","title":"A 12-Item SHort Health Survey: construction of scales and preliminary tests of reliability and validity.","type":"article-journal","volume":"34"},"uris":["http://www.mendeley.com/documents/?uuid=05b1a3b8-00e1-44a6-a015-b66e2f79407a"]}],"mendeley":{"formattedCitation":"[9]","plainTextFormattedCitation":"[9]","previouslyFormattedCitation":"[9]"},"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[9]</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161F241E" w14:textId="77777777" w:rsidR="00B34AA4" w:rsidRDefault="00B34AA4" w:rsidP="000D0311">
            <w:pPr>
              <w:pStyle w:val="PlainText"/>
              <w:rPr>
                <w:rFonts w:asciiTheme="majorHAnsi" w:hAnsiTheme="majorHAnsi" w:cs="Arial"/>
                <w:szCs w:val="22"/>
              </w:rPr>
            </w:pPr>
            <w:r>
              <w:rPr>
                <w:rFonts w:asciiTheme="majorHAnsi" w:hAnsiTheme="majorHAnsi" w:cs="Arial"/>
                <w:szCs w:val="22"/>
              </w:rPr>
              <w:t>General physical and mental health.</w:t>
            </w:r>
          </w:p>
        </w:tc>
        <w:tc>
          <w:tcPr>
            <w:tcW w:w="1134" w:type="dxa"/>
            <w:tcBorders>
              <w:top w:val="single" w:sz="4" w:space="0" w:color="auto"/>
              <w:left w:val="single" w:sz="4" w:space="0" w:color="auto"/>
              <w:bottom w:val="single" w:sz="4" w:space="0" w:color="auto"/>
              <w:right w:val="single" w:sz="4" w:space="0" w:color="auto"/>
            </w:tcBorders>
          </w:tcPr>
          <w:p w14:paraId="43B961F3" w14:textId="77777777" w:rsidR="00B34AA4" w:rsidRDefault="00B34AA4" w:rsidP="000D0311">
            <w:pPr>
              <w:pStyle w:val="PlainText"/>
              <w:jc w:val="center"/>
              <w:rPr>
                <w:rFonts w:asciiTheme="majorHAnsi" w:eastAsia="MS Gothic" w:hAnsiTheme="majorHAnsi" w:cs="Arial"/>
                <w:bCs/>
                <w:color w:val="333333"/>
                <w:szCs w:val="22"/>
                <w:lang w:eastAsia="en-GB"/>
              </w:rPr>
            </w:pPr>
          </w:p>
        </w:tc>
        <w:tc>
          <w:tcPr>
            <w:tcW w:w="1134" w:type="dxa"/>
            <w:tcBorders>
              <w:top w:val="single" w:sz="4" w:space="0" w:color="auto"/>
              <w:left w:val="single" w:sz="4" w:space="0" w:color="auto"/>
              <w:bottom w:val="single" w:sz="4" w:space="0" w:color="auto"/>
              <w:right w:val="single" w:sz="4" w:space="0" w:color="auto"/>
            </w:tcBorders>
            <w:hideMark/>
          </w:tcPr>
          <w:p w14:paraId="39EF72F5"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r>
      <w:tr w:rsidR="00B34AA4" w14:paraId="5268302E" w14:textId="77777777" w:rsidTr="000D0311">
        <w:trPr>
          <w:trHeight w:val="281"/>
        </w:trPr>
        <w:tc>
          <w:tcPr>
            <w:tcW w:w="1526" w:type="dxa"/>
            <w:vMerge w:val="restart"/>
            <w:tcBorders>
              <w:top w:val="single" w:sz="4" w:space="0" w:color="auto"/>
              <w:left w:val="single" w:sz="4" w:space="0" w:color="auto"/>
              <w:bottom w:val="single" w:sz="4" w:space="0" w:color="auto"/>
              <w:right w:val="single" w:sz="4" w:space="0" w:color="auto"/>
            </w:tcBorders>
            <w:hideMark/>
          </w:tcPr>
          <w:p w14:paraId="2699E618" w14:textId="77777777" w:rsidR="00B34AA4" w:rsidRDefault="00B34AA4" w:rsidP="000D0311">
            <w:pPr>
              <w:pStyle w:val="PlainText"/>
              <w:rPr>
                <w:rFonts w:asciiTheme="majorHAnsi" w:hAnsiTheme="majorHAnsi" w:cs="Arial"/>
                <w:szCs w:val="22"/>
              </w:rPr>
            </w:pPr>
            <w:r>
              <w:rPr>
                <w:rFonts w:asciiTheme="majorHAnsi" w:hAnsiTheme="majorHAnsi" w:cs="Arial"/>
                <w:szCs w:val="22"/>
              </w:rPr>
              <w:t>Relationship quality</w:t>
            </w:r>
          </w:p>
        </w:tc>
        <w:tc>
          <w:tcPr>
            <w:tcW w:w="2551" w:type="dxa"/>
            <w:tcBorders>
              <w:top w:val="single" w:sz="4" w:space="0" w:color="auto"/>
              <w:left w:val="single" w:sz="4" w:space="0" w:color="auto"/>
              <w:bottom w:val="single" w:sz="4" w:space="0" w:color="auto"/>
              <w:right w:val="single" w:sz="4" w:space="0" w:color="auto"/>
            </w:tcBorders>
            <w:hideMark/>
          </w:tcPr>
          <w:p w14:paraId="791CFADC"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Relationship Satisfaction Scale</w:t>
            </w:r>
            <w:r>
              <w:rPr>
                <w:rFonts w:asciiTheme="majorHAnsi" w:hAnsiTheme="majorHAnsi" w:cs="Arial"/>
                <w:szCs w:val="22"/>
              </w:rPr>
              <w:t xml:space="preserve"> (RSS)</w:t>
            </w:r>
            <w:r w:rsidR="00481802">
              <w:rPr>
                <w:rFonts w:asciiTheme="majorHAnsi" w:hAnsiTheme="majorHAnsi" w:cs="Arial"/>
                <w:szCs w:val="22"/>
                <w:vertAlign w:val="superscript"/>
              </w:rPr>
              <w:t xml:space="preserve"> a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{"citationItems":[{"id":"ITEM-1","itemData":{"author":[{"dropping-particle":"","family":"David","given":"Burns","non-dropping-particle":"","parse-names":false,"suffix":""}],"id":"ITEM-1","issued":{"date-parts":[["1983"]]},"publisher":"Quill William Morrow","publisher-place":"New York","title":"Ten days to self-esteem","type":"book"},"uris":["http://www.mendeley.com/documents/?uuid=39b978bd-3c92-4306-ab24-d3ecea3a8c10"]}],"mendeley":{"formattedCitation":"[10]","plainTextFormattedCitation":"[10]","previouslyFormattedCitation":"[10]"},"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[10]</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67D0C973" w14:textId="77777777" w:rsidR="00B34AA4" w:rsidRDefault="00B34AA4" w:rsidP="000D0311">
            <w:pPr>
              <w:pStyle w:val="PlainText"/>
              <w:rPr>
                <w:rFonts w:asciiTheme="majorHAnsi" w:hAnsiTheme="majorHAnsi" w:cs="Arial"/>
                <w:szCs w:val="22"/>
              </w:rPr>
            </w:pPr>
            <w:r>
              <w:rPr>
                <w:rFonts w:asciiTheme="majorHAnsi" w:hAnsiTheme="majorHAnsi" w:cs="Arial"/>
                <w:szCs w:val="22"/>
              </w:rPr>
              <w:t>Satisfaction with the dyadic relationship.</w:t>
            </w:r>
          </w:p>
        </w:tc>
        <w:tc>
          <w:tcPr>
            <w:tcW w:w="1134" w:type="dxa"/>
            <w:tcBorders>
              <w:top w:val="single" w:sz="4" w:space="0" w:color="auto"/>
              <w:left w:val="single" w:sz="4" w:space="0" w:color="auto"/>
              <w:bottom w:val="single" w:sz="4" w:space="0" w:color="auto"/>
              <w:right w:val="single" w:sz="4" w:space="0" w:color="auto"/>
            </w:tcBorders>
            <w:hideMark/>
          </w:tcPr>
          <w:p w14:paraId="4FCD209C"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hideMark/>
          </w:tcPr>
          <w:p w14:paraId="0B68E6BA"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r>
      <w:tr w:rsidR="00B34AA4" w14:paraId="6AE49E0D" w14:textId="77777777" w:rsidTr="000D0311">
        <w:trPr>
          <w:trHeight w:val="281"/>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020D40E9"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517FE935"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Dyadic Relationship Scale</w:t>
            </w:r>
            <w:r>
              <w:rPr>
                <w:rFonts w:asciiTheme="majorHAnsi" w:hAnsiTheme="majorHAnsi" w:cs="Arial"/>
                <w:szCs w:val="22"/>
              </w:rPr>
              <w:t xml:space="preserve"> (DRS) </w:t>
            </w:r>
            <w:proofErr w:type="spellStart"/>
            <w:r w:rsidR="00481802">
              <w:rPr>
                <w:rFonts w:asciiTheme="majorHAnsi" w:hAnsiTheme="majorHAnsi" w:cs="Arial"/>
                <w:szCs w:val="22"/>
                <w:vertAlign w:val="superscript"/>
              </w:rPr>
              <w:t>a,b</w:t>
            </w:r>
            <w:proofErr w:type="spellEnd"/>
            <w:r w:rsidR="00481802">
              <w:rPr>
                <w:rFonts w:asciiTheme="majorHAnsi" w:hAnsiTheme="majorHAnsi" w:cs="Arial"/>
                <w:szCs w:val="22"/>
                <w:vertAlign w:val="superscript"/>
              </w:rPr>
              <w:t xml:space="preserve">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{"citationItems":[{"id":"ITEM-1","itemData":{"DOI":"10.1093/geront/47.6.741","ISBN":"00169013","ISSN":"0016-9013","PMID":"18192628","abstract":"PURPOSE: This study evaluated the psychometric properties of the Dyadic Relationship Scale (DRS), which measures negative and positive dyadic interactions from the perspective of both the patient and the family caregiver. An important aspect of evaluating the DRS was that it be statistically sound and meaningful for both members of the dyad.\\n\\nDESIGN AND METHODS: The study used a cross-sectional design. Survey packages were mailed to home health care patients and their family caregivers. The unit of analysis was the dyad, and exploratory and confirmatory factor analyses were conducted. We examined the reliability, discriminant, and concurrent validities of the instrument.\\n\\nRESULTS: The data supported a two-factor DRS that included negative dyadic strain (patient alpha =.84; caregiver alpha =.89) and positive dyadic interaction (patient alpha =.86; caregiver alpha =.85). The analysis supported the DRS's construct, discriminant, and concurrent validity, as well as its reliability for both patients and family caregivers.\\n\\nIMPLICATIONS: Using the DRS to measure the impact of family care on positive and negative interactions inclusive of patients and caregivers can assist in identifying areas of difficulty and guide interventions to improve outcomes for both members of the dyad.","author":[{"dropping-particle":"","family":"Sebern","given":"Margaret D","non-dropping-particle":"","parse-names":false,"suffix":""},{"dropping-particle":"","family":"Whitlatch","given":"Carol J","non-dropping-particle":"","parse-names":false,"suffix":""}],"container-title":"The Gerontologist","id":"ITEM-1","issue":"6","issued":{"date-parts":[["2007"]]},"page":"741-51","title":"Dyadic relationship scale: a measure of the impact of the provision and receipt of family care.","type":"article-journal","volume":"47"},"uris":["http://www.mendeley.com/documents/?uuid=c625cf70-e3c0-49e9-b0f3-b5d8c32995c6"]}],"mendeley":{"formattedCitation":"[11]","plainTextFormattedCitation":"[11]","previouslyFormattedCitation":"[11]"},"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[11]</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332289CC" w14:textId="77777777" w:rsidR="00B34AA4" w:rsidRDefault="00B34AA4" w:rsidP="000D0311">
            <w:pPr>
              <w:pStyle w:val="PlainText"/>
              <w:rPr>
                <w:rFonts w:asciiTheme="majorHAnsi" w:hAnsiTheme="majorHAnsi" w:cs="Arial"/>
                <w:szCs w:val="22"/>
              </w:rPr>
            </w:pPr>
            <w:r>
              <w:rPr>
                <w:rFonts w:asciiTheme="majorHAnsi" w:hAnsiTheme="majorHAnsi" w:cs="Arial"/>
                <w:szCs w:val="22"/>
              </w:rPr>
              <w:t>Positive dyadic interaction and negative strain.</w:t>
            </w:r>
          </w:p>
        </w:tc>
        <w:tc>
          <w:tcPr>
            <w:tcW w:w="1134" w:type="dxa"/>
            <w:tcBorders>
              <w:top w:val="single" w:sz="4" w:space="0" w:color="auto"/>
              <w:left w:val="single" w:sz="4" w:space="0" w:color="auto"/>
              <w:bottom w:val="single" w:sz="4" w:space="0" w:color="auto"/>
              <w:right w:val="single" w:sz="4" w:space="0" w:color="auto"/>
            </w:tcBorders>
          </w:tcPr>
          <w:p w14:paraId="4F0D2509" w14:textId="77777777" w:rsidR="00B34AA4" w:rsidRDefault="00B34AA4" w:rsidP="000D0311">
            <w:pPr>
              <w:pStyle w:val="PlainText"/>
              <w:jc w:val="center"/>
              <w:rPr>
                <w:rFonts w:asciiTheme="majorHAnsi" w:eastAsia="MS Gothic" w:hAnsiTheme="majorHAnsi" w:cs="Arial"/>
                <w:bCs/>
                <w:color w:val="333333"/>
                <w:szCs w:val="22"/>
                <w:lang w:eastAsia="en-GB"/>
              </w:rPr>
            </w:pPr>
          </w:p>
        </w:tc>
        <w:tc>
          <w:tcPr>
            <w:tcW w:w="1134" w:type="dxa"/>
            <w:tcBorders>
              <w:top w:val="single" w:sz="4" w:space="0" w:color="auto"/>
              <w:left w:val="single" w:sz="4" w:space="0" w:color="auto"/>
              <w:bottom w:val="single" w:sz="4" w:space="0" w:color="auto"/>
              <w:right w:val="single" w:sz="4" w:space="0" w:color="auto"/>
            </w:tcBorders>
            <w:hideMark/>
          </w:tcPr>
          <w:p w14:paraId="4652A083"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r>
      <w:tr w:rsidR="00B34AA4" w14:paraId="1D0CB2C4" w14:textId="77777777" w:rsidTr="000D0311">
        <w:trPr>
          <w:trHeight w:val="281"/>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5F90381B"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3AC5467D"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Family Caregiving Role Scale</w:t>
            </w:r>
            <w:r>
              <w:rPr>
                <w:rFonts w:asciiTheme="majorHAnsi" w:hAnsiTheme="majorHAnsi" w:cs="Arial"/>
                <w:szCs w:val="22"/>
              </w:rPr>
              <w:t xml:space="preserve"> (FCR) </w:t>
            </w:r>
            <w:proofErr w:type="spellStart"/>
            <w:r w:rsidR="00481802">
              <w:rPr>
                <w:rFonts w:asciiTheme="majorHAnsi" w:hAnsiTheme="majorHAnsi" w:cs="Arial"/>
                <w:szCs w:val="22"/>
                <w:vertAlign w:val="superscript"/>
              </w:rPr>
              <w:t>a,b</w:t>
            </w:r>
            <w:proofErr w:type="spellEnd"/>
            <w:r w:rsidR="00481802">
              <w:rPr>
                <w:rFonts w:asciiTheme="majorHAnsi" w:hAnsiTheme="majorHAnsi" w:cs="Arial"/>
                <w:szCs w:val="22"/>
                <w:vertAlign w:val="superscript"/>
              </w:rPr>
              <w:t xml:space="preserve">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{"citationItems":[{"id":"ITEM-1","itemData":{"DOI":"10.1017/S0033291797004820","ISBN":"0033-2917","ISSN":"0033-2917","PMID":"9153685","abstract":"BACKGROUND: Past research and instrument development in caregiving have focused on specific aspects of caregiving or specific disability groups. This paper reports the scale characteristics of a new generic instrument developed to assess the experience of caregiving, and the social and emotional well-being of caregivers and a comparison group of 'non-caregivers'.\\n\\nMETHODS: Using computer-assisted telephone technology, a random survey of 26000 households was conducted in Victoria, Australia to identify and interview 976 caregivers of people who were aged or had a long-term illness or disability of any kind, and 219 non-caregivers. Both groups were re-interviewed after 15 months. Scales administered on each occasion to caregivers and non-caregivers included life satisfaction, positive and negative affect, social support and overload; and to caregivers, caring role satisfaction, resentment and anger, and, in relation to the care recipient, measures of help provided and needed, severity of disability and behaviour problems.\\n\\nRESULTS: On each occasion and with each sample all scales demonstrated a satisfactory reliability. With a subsample of caregiver-care-recipient dyads (N = 67), caregiver reports of severity of disability, level of helped needed and provided were validated externally by clinician assessments.\\n\\nCONCLUSIONS: A comprehensive instrument to assess the experience of caregiving was developed. It is relevant to a broad range of ages, levels and types of disability and care provided; and, in assessing health and well-being, to both caregivers and non-caregivers. Scales, including both positive and negative dimensions, have demonstrated good internal consistency on two occasions. The instrument is potentially useful in a range of research and practical settings.","author":[{"dropping-particle":"","family":"Schofield","given":"H L","non-dropping-particle":"","parse-names":false,"suffix":""},{"dropping-particle":"","family":"Murphy","given":"B","non-dropping-particle":"","parse-names":false,"suffix":""},{"dropping-particle":"","family":"Herrman","given":"H E","non-dropping-particle":"","parse-names":false,"suffix":""},{"dropping-particle":"","family":"Bloch","given":"S","non-dropping-particle":"","parse-names":false,"suffix":""},{"dropping-particle":"","family":"Singh","given":"B","non-dropping-particle":"","parse-names":false,"suffix":""}],"container-title":"Psychological medicine","id":"ITEM-1","issue":"3","issued":{"date-parts":[["1997"]]},"page":"647-57","title":"Family caregiving: measurement of emotional well-being and various aspects of the caregiving role.","type":"article-journal","volume":"27"},"uris":["http://www.mendeley.com/documents/?uuid=a2df8edb-2edf-4889-8dcc-0ac90c725d1a"]}],"mendeley":{"formattedCitation":"[12]","plainTextFormattedCitation":"[12]","previouslyFormattedCitation":"[12]"},"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[12]</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3D2E0BB7" w14:textId="77777777" w:rsidR="00B34AA4" w:rsidRDefault="00B34AA4" w:rsidP="000D0311">
            <w:pPr>
              <w:pStyle w:val="PlainText"/>
              <w:rPr>
                <w:rFonts w:asciiTheme="majorHAnsi" w:hAnsiTheme="majorHAnsi" w:cs="Arial"/>
                <w:szCs w:val="22"/>
              </w:rPr>
            </w:pPr>
            <w:r>
              <w:rPr>
                <w:rFonts w:asciiTheme="majorHAnsi" w:hAnsiTheme="majorHAnsi" w:cs="Arial"/>
                <w:szCs w:val="22"/>
              </w:rPr>
              <w:t>Specific feelings associated to care provision.</w:t>
            </w:r>
          </w:p>
        </w:tc>
        <w:tc>
          <w:tcPr>
            <w:tcW w:w="1134" w:type="dxa"/>
            <w:tcBorders>
              <w:top w:val="single" w:sz="4" w:space="0" w:color="auto"/>
              <w:left w:val="single" w:sz="4" w:space="0" w:color="auto"/>
              <w:bottom w:val="single" w:sz="4" w:space="0" w:color="auto"/>
              <w:right w:val="single" w:sz="4" w:space="0" w:color="auto"/>
            </w:tcBorders>
          </w:tcPr>
          <w:p w14:paraId="2A84514F" w14:textId="77777777" w:rsidR="00B34AA4" w:rsidRDefault="00B34AA4" w:rsidP="000D0311">
            <w:pPr>
              <w:pStyle w:val="PlainText"/>
              <w:jc w:val="center"/>
              <w:rPr>
                <w:rFonts w:asciiTheme="majorHAnsi" w:eastAsia="MS Gothic" w:hAnsiTheme="majorHAnsi" w:cs="Arial"/>
                <w:bCs/>
                <w:color w:val="333333"/>
                <w:szCs w:val="22"/>
                <w:lang w:eastAsia="en-GB"/>
              </w:rPr>
            </w:pPr>
          </w:p>
        </w:tc>
        <w:tc>
          <w:tcPr>
            <w:tcW w:w="1134" w:type="dxa"/>
            <w:tcBorders>
              <w:top w:val="single" w:sz="4" w:space="0" w:color="auto"/>
              <w:left w:val="single" w:sz="4" w:space="0" w:color="auto"/>
              <w:bottom w:val="single" w:sz="4" w:space="0" w:color="auto"/>
              <w:right w:val="single" w:sz="4" w:space="0" w:color="auto"/>
            </w:tcBorders>
            <w:hideMark/>
          </w:tcPr>
          <w:p w14:paraId="313017C5"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r>
      <w:tr w:rsidR="00B34AA4" w14:paraId="07492CA7" w14:textId="77777777" w:rsidTr="000D0311">
        <w:trPr>
          <w:trHeight w:val="281"/>
        </w:trPr>
        <w:tc>
          <w:tcPr>
            <w:tcW w:w="1526" w:type="dxa"/>
            <w:vMerge w:val="restart"/>
            <w:tcBorders>
              <w:top w:val="single" w:sz="4" w:space="0" w:color="auto"/>
              <w:left w:val="single" w:sz="4" w:space="0" w:color="auto"/>
              <w:bottom w:val="single" w:sz="4" w:space="0" w:color="auto"/>
              <w:right w:val="single" w:sz="4" w:space="0" w:color="auto"/>
            </w:tcBorders>
            <w:hideMark/>
          </w:tcPr>
          <w:p w14:paraId="0B32C6A6" w14:textId="77777777" w:rsidR="00B34AA4" w:rsidRDefault="00B34AA4" w:rsidP="000D0311">
            <w:pPr>
              <w:pStyle w:val="PlainText"/>
              <w:rPr>
                <w:rFonts w:asciiTheme="majorHAnsi" w:hAnsiTheme="majorHAnsi" w:cs="Arial"/>
                <w:szCs w:val="22"/>
              </w:rPr>
            </w:pPr>
            <w:r>
              <w:rPr>
                <w:rFonts w:asciiTheme="majorHAnsi" w:hAnsiTheme="majorHAnsi" w:cs="Arial"/>
                <w:szCs w:val="22"/>
              </w:rPr>
              <w:t>Burden</w:t>
            </w:r>
          </w:p>
        </w:tc>
        <w:tc>
          <w:tcPr>
            <w:tcW w:w="2551" w:type="dxa"/>
            <w:tcBorders>
              <w:top w:val="single" w:sz="4" w:space="0" w:color="auto"/>
              <w:left w:val="single" w:sz="4" w:space="0" w:color="auto"/>
              <w:bottom w:val="single" w:sz="4" w:space="0" w:color="auto"/>
              <w:right w:val="single" w:sz="4" w:space="0" w:color="auto"/>
            </w:tcBorders>
            <w:hideMark/>
          </w:tcPr>
          <w:p w14:paraId="35FB7FAF" w14:textId="77777777" w:rsidR="00B34AA4" w:rsidRDefault="00B34AA4" w:rsidP="000D0311">
            <w:pPr>
              <w:pStyle w:val="PlainText"/>
              <w:rPr>
                <w:rFonts w:asciiTheme="majorHAnsi" w:hAnsiTheme="majorHAnsi" w:cs="Arial"/>
                <w:szCs w:val="22"/>
              </w:rPr>
            </w:pPr>
            <w:r>
              <w:rPr>
                <w:rFonts w:asciiTheme="majorHAnsi" w:hAnsiTheme="majorHAnsi" w:cs="Arial"/>
                <w:b/>
                <w:szCs w:val="22"/>
              </w:rPr>
              <w:t xml:space="preserve">The </w:t>
            </w:r>
            <w:proofErr w:type="spellStart"/>
            <w:r>
              <w:rPr>
                <w:rFonts w:asciiTheme="majorHAnsi" w:hAnsiTheme="majorHAnsi" w:cs="Arial"/>
                <w:b/>
                <w:szCs w:val="22"/>
              </w:rPr>
              <w:t>Zarit</w:t>
            </w:r>
            <w:proofErr w:type="spellEnd"/>
            <w:r>
              <w:rPr>
                <w:rFonts w:asciiTheme="majorHAnsi" w:hAnsiTheme="majorHAnsi" w:cs="Arial"/>
                <w:b/>
                <w:szCs w:val="22"/>
              </w:rPr>
              <w:t xml:space="preserve"> Burden Interview</w:t>
            </w:r>
            <w:r>
              <w:rPr>
                <w:rFonts w:asciiTheme="majorHAnsi" w:hAnsiTheme="majorHAnsi" w:cs="Arial"/>
                <w:szCs w:val="22"/>
              </w:rPr>
              <w:t xml:space="preserve"> (ZBI)</w:t>
            </w:r>
            <w:r>
              <w:rPr>
                <w:rFonts w:asciiTheme="majorHAnsi" w:hAnsiTheme="majorHAnsi" w:cs="Arial"/>
                <w:szCs w:val="22"/>
                <w:vertAlign w:val="superscript"/>
              </w:rPr>
              <w:t xml:space="preserve"> b 13</w:t>
            </w:r>
            <w:r w:rsidR="00481802">
              <w:rPr>
                <w:rFonts w:asciiTheme="majorHAnsi" w:hAnsiTheme="majorHAnsi" w:cs="Arial"/>
                <w:szCs w:val="22"/>
                <w:vertAlign w:val="superscript"/>
              </w:rPr>
              <w:t xml:space="preserve">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{"citationItems":[{"id":"ITEM-1","itemData":{"DOI":"10.1093/geront/20.6.649","ISBN":"0016-9013 (Print)\\r0016-9013 (Linking)","ISSN":"0016-9013, 1758-5341","PMID":"7203086","abstract":"Factors contributing to feelings of burden of caregivers of elderly persons with senile dementia were studied. The amount of burden of caregivers was found to be less when more visits were paid to the dementia patient by other relatives. Severity of behavioral problems was not associated with higher levels of burden. The results suggest the importance of providing support to caregivers as a critical step in the community care of elderly persons with dementia.","author":[{"dropping-particle":"","family":"Zarit","given":"Steven H.","non-dropping-particle":"","parse-names":false,"suffix":""},{"dropping-particle":"","family":"Reever","given":"Karen E.","non-dropping-particle":"","parse-names":false,"suffix":""},{"dropping-particle":"","family":"Bach-Peterson","given":"Julie","non-dropping-particle":"","parse-names":false,"suffix":""}],"container-title":"The Gerontologist","id":"ITEM-1","issue":"6","issued":{"date-parts":[["1980"]]},"page":"649-655","title":"Relatives of the Impaired Elderly: Correlates of Feelings of Burden","type":"article-journal","volume":"20"},"uris":["http://www.mendeley.com/documents/?uuid=c3d8b606-2c37-4e28-9371-a96557677b01"]}],"mendeley":{"formattedCitation":"[13]","plainTextFormattedCitation":"[13]","previouslyFormattedCitation":"[13]"},"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[13]</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0C5E2AF4" w14:textId="77777777" w:rsidR="00B34AA4" w:rsidRDefault="00B34AA4" w:rsidP="000D0311">
            <w:pPr>
              <w:pStyle w:val="PlainText"/>
              <w:rPr>
                <w:rFonts w:asciiTheme="majorHAnsi" w:hAnsiTheme="majorHAnsi" w:cs="Arial"/>
                <w:szCs w:val="22"/>
              </w:rPr>
            </w:pPr>
            <w:r>
              <w:rPr>
                <w:rFonts w:asciiTheme="majorHAnsi" w:hAnsiTheme="majorHAnsi" w:cs="Arial"/>
                <w:szCs w:val="22"/>
              </w:rPr>
              <w:t>Burden related to care provision.</w:t>
            </w:r>
          </w:p>
        </w:tc>
        <w:tc>
          <w:tcPr>
            <w:tcW w:w="1134" w:type="dxa"/>
            <w:tcBorders>
              <w:top w:val="single" w:sz="4" w:space="0" w:color="auto"/>
              <w:left w:val="single" w:sz="4" w:space="0" w:color="auto"/>
              <w:bottom w:val="single" w:sz="4" w:space="0" w:color="auto"/>
              <w:right w:val="single" w:sz="4" w:space="0" w:color="auto"/>
            </w:tcBorders>
          </w:tcPr>
          <w:p w14:paraId="13A285F8" w14:textId="77777777" w:rsidR="00B34AA4" w:rsidRDefault="00B34AA4" w:rsidP="000D0311">
            <w:pPr>
              <w:pStyle w:val="PlainText"/>
              <w:jc w:val="center"/>
              <w:rPr>
                <w:rFonts w:asciiTheme="majorHAnsi" w:eastAsia="MS Gothic" w:hAnsiTheme="majorHAnsi" w:cs="Arial"/>
                <w:bCs/>
                <w:color w:val="333333"/>
                <w:szCs w:val="22"/>
                <w:lang w:eastAsia="en-GB"/>
              </w:rPr>
            </w:pPr>
          </w:p>
        </w:tc>
        <w:tc>
          <w:tcPr>
            <w:tcW w:w="1134" w:type="dxa"/>
            <w:tcBorders>
              <w:top w:val="single" w:sz="4" w:space="0" w:color="auto"/>
              <w:left w:val="single" w:sz="4" w:space="0" w:color="auto"/>
              <w:bottom w:val="single" w:sz="4" w:space="0" w:color="auto"/>
              <w:right w:val="single" w:sz="4" w:space="0" w:color="auto"/>
            </w:tcBorders>
            <w:hideMark/>
          </w:tcPr>
          <w:p w14:paraId="5CFA3ED4"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r>
      <w:tr w:rsidR="00B34AA4" w14:paraId="7A1EA1B1" w14:textId="77777777" w:rsidTr="000D0311">
        <w:trPr>
          <w:trHeight w:val="281"/>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1D42A9C8" w14:textId="77777777" w:rsidR="00B34AA4" w:rsidRDefault="00B34AA4" w:rsidP="000D0311">
            <w:pPr>
              <w:rPr>
                <w:rFonts w:asciiTheme="majorHAnsi" w:hAnsiTheme="majorHAnsi" w:cs="Arial"/>
              </w:rPr>
            </w:pPr>
          </w:p>
        </w:tc>
        <w:tc>
          <w:tcPr>
            <w:tcW w:w="2551" w:type="dxa"/>
            <w:tcBorders>
              <w:top w:val="single" w:sz="4" w:space="0" w:color="auto"/>
              <w:left w:val="single" w:sz="4" w:space="0" w:color="auto"/>
              <w:bottom w:val="single" w:sz="4" w:space="0" w:color="auto"/>
              <w:right w:val="single" w:sz="4" w:space="0" w:color="auto"/>
            </w:tcBorders>
            <w:hideMark/>
          </w:tcPr>
          <w:p w14:paraId="21783074"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Relatives’ Stress Scale</w:t>
            </w:r>
            <w:r>
              <w:rPr>
                <w:rFonts w:asciiTheme="majorHAnsi" w:hAnsiTheme="majorHAnsi" w:cs="Arial"/>
                <w:szCs w:val="22"/>
              </w:rPr>
              <w:t xml:space="preserve"> (</w:t>
            </w:r>
            <w:proofErr w:type="spellStart"/>
            <w:r>
              <w:rPr>
                <w:rFonts w:asciiTheme="majorHAnsi" w:hAnsiTheme="majorHAnsi" w:cs="Arial"/>
                <w:szCs w:val="22"/>
              </w:rPr>
              <w:t>Rel.SS</w:t>
            </w:r>
            <w:proofErr w:type="spellEnd"/>
            <w:r>
              <w:rPr>
                <w:rFonts w:asciiTheme="majorHAnsi" w:hAnsiTheme="majorHAnsi" w:cs="Arial"/>
                <w:szCs w:val="22"/>
              </w:rPr>
              <w:t>)</w:t>
            </w:r>
            <w:r w:rsidR="00481802">
              <w:rPr>
                <w:rFonts w:asciiTheme="majorHAnsi" w:hAnsiTheme="majorHAnsi" w:cs="Arial"/>
                <w:szCs w:val="22"/>
                <w:vertAlign w:val="superscript"/>
              </w:rPr>
              <w:t xml:space="preserve"> b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{"citationItems":[{"id":"ITEM-1","itemData":{"DOI":"10.1093/ageing/11.2.121","ISBN":"0002-0729","ISSN":"0002-0729","PMID":"7102472","abstract":"In recent years increasing interest has centered on the elderly psychogeriatric patient living in the community and the part played by relatives in supporting these patients. There is a need, however, for ways of assessing the behavioural disturbance shown by such patients at home and the effect this behaviour has on relatives. Ratings by relatives of the behaviour at home of elderly dementing patients attending a geriatric psychiatry day hospital, together with the relatives' own ratings of the degree of stress and upset being experienced were obtained. Using the technique of factor analysis was shown that the patient's behaviour and the relative's reaction could be analysed into a number of separate categories and that these were differentially related to each other. Thus, for example, personal distress in the relative was related mainly to the amount of apathetic and withdrawn behaviour shown by the patient, whereas negative feelings held by the relative towards the patient were related only to the degree of disturbance of the patient's mood. The construction of scales measuring these different aspects of patient's behaviour and relative's reaction is described.","author":[{"dropping-particle":"","family":"Greene","given":"J G","non-dropping-particle":"","parse-names":false,"suffix":""},{"dropping-particle":"","family":"Smith","given":"R","non-dropping-particle":"","parse-names":false,"suffix":""},{"dropping-particle":"","family":"Gardiner","given":"M","non-dropping-particle":"","parse-names":false,"suffix":""},{"dropping-particle":"","family":"Timbury","given":"G C","non-dropping-particle":"","parse-names":false,"suffix":""}],"container-title":"Age and ageing","id":"ITEM-1","issued":{"date-parts":[["1982"]]},"page":"121-126","title":"Measuring behavioural disturbance of elderly demented patients in the community and its effects on relatives: a factor analytic study.","type":"article-journal","volume":"11"},"uris":["http://www.mendeley.com/documents/?uuid=fda0654b-c276-43c1-baf2-27767f65ec5d"]}],"mendeley":{"formattedCitation":"[14]","plainTextFormattedCitation":"[14]","previouslyFormattedCitation":"[14]"},"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[14]</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1AE7A0F8" w14:textId="77777777" w:rsidR="00B34AA4" w:rsidRDefault="00B34AA4" w:rsidP="000D0311">
            <w:pPr>
              <w:pStyle w:val="PlainText"/>
              <w:rPr>
                <w:rFonts w:asciiTheme="majorHAnsi" w:hAnsiTheme="majorHAnsi" w:cs="Arial"/>
                <w:szCs w:val="22"/>
              </w:rPr>
            </w:pPr>
            <w:r>
              <w:rPr>
                <w:rFonts w:asciiTheme="majorHAnsi" w:hAnsiTheme="majorHAnsi" w:cs="Arial"/>
                <w:szCs w:val="22"/>
              </w:rPr>
              <w:t>Stress related to care provision.</w:t>
            </w:r>
          </w:p>
        </w:tc>
        <w:tc>
          <w:tcPr>
            <w:tcW w:w="1134" w:type="dxa"/>
            <w:tcBorders>
              <w:top w:val="single" w:sz="4" w:space="0" w:color="auto"/>
              <w:left w:val="single" w:sz="4" w:space="0" w:color="auto"/>
              <w:bottom w:val="single" w:sz="4" w:space="0" w:color="auto"/>
              <w:right w:val="single" w:sz="4" w:space="0" w:color="auto"/>
            </w:tcBorders>
          </w:tcPr>
          <w:p w14:paraId="431700DE" w14:textId="77777777" w:rsidR="00B34AA4" w:rsidRDefault="00B34AA4" w:rsidP="000D0311">
            <w:pPr>
              <w:pStyle w:val="PlainText"/>
              <w:jc w:val="center"/>
              <w:rPr>
                <w:rFonts w:asciiTheme="majorHAnsi" w:eastAsia="MS Gothic" w:hAnsiTheme="majorHAnsi" w:cs="Arial"/>
                <w:bCs/>
                <w:color w:val="333333"/>
                <w:szCs w:val="22"/>
                <w:lang w:eastAsia="en-GB"/>
              </w:rPr>
            </w:pPr>
          </w:p>
        </w:tc>
        <w:tc>
          <w:tcPr>
            <w:tcW w:w="1134" w:type="dxa"/>
            <w:tcBorders>
              <w:top w:val="single" w:sz="4" w:space="0" w:color="auto"/>
              <w:left w:val="single" w:sz="4" w:space="0" w:color="auto"/>
              <w:bottom w:val="single" w:sz="4" w:space="0" w:color="auto"/>
              <w:right w:val="single" w:sz="4" w:space="0" w:color="auto"/>
            </w:tcBorders>
            <w:hideMark/>
          </w:tcPr>
          <w:p w14:paraId="64891605" w14:textId="77777777" w:rsidR="00B34AA4" w:rsidRDefault="00B34AA4" w:rsidP="000D0311">
            <w:pPr>
              <w:pStyle w:val="PlainText"/>
              <w:jc w:val="center"/>
              <w:rPr>
                <w:rFonts w:asciiTheme="majorHAnsi" w:eastAsia="MS Gothic" w:hAnsiTheme="majorHAnsi" w:cs="Arial"/>
                <w:bCs/>
                <w:color w:val="333333"/>
                <w:szCs w:val="22"/>
                <w:lang w:eastAsia="en-GB"/>
              </w:rPr>
            </w:pPr>
            <w:r>
              <w:rPr>
                <w:rFonts w:ascii="MS Mincho" w:eastAsia="MS Mincho" w:hAnsi="MS Mincho" w:cs="MS Mincho" w:hint="eastAsia"/>
                <w:bCs/>
                <w:color w:val="333333"/>
                <w:szCs w:val="22"/>
                <w:lang w:eastAsia="en-GB"/>
              </w:rPr>
              <w:t>✓</w:t>
            </w:r>
          </w:p>
        </w:tc>
      </w:tr>
      <w:tr w:rsidR="00B34AA4" w14:paraId="67B9C021" w14:textId="77777777" w:rsidTr="000D0311">
        <w:trPr>
          <w:trHeight w:val="227"/>
        </w:trPr>
        <w:tc>
          <w:tcPr>
            <w:tcW w:w="1526" w:type="dxa"/>
            <w:tcBorders>
              <w:top w:val="single" w:sz="4" w:space="0" w:color="auto"/>
              <w:left w:val="single" w:sz="4" w:space="0" w:color="auto"/>
              <w:bottom w:val="single" w:sz="4" w:space="0" w:color="auto"/>
              <w:right w:val="single" w:sz="4" w:space="0" w:color="auto"/>
            </w:tcBorders>
            <w:hideMark/>
          </w:tcPr>
          <w:p w14:paraId="042E0861" w14:textId="77777777" w:rsidR="00B34AA4" w:rsidRDefault="00B34AA4" w:rsidP="000D0311">
            <w:pPr>
              <w:pStyle w:val="PlainText"/>
              <w:rPr>
                <w:rFonts w:asciiTheme="majorHAnsi" w:hAnsiTheme="majorHAnsi" w:cs="Arial"/>
                <w:szCs w:val="22"/>
              </w:rPr>
            </w:pPr>
            <w:r>
              <w:rPr>
                <w:rFonts w:asciiTheme="majorHAnsi" w:hAnsiTheme="majorHAnsi" w:cs="Arial"/>
                <w:szCs w:val="22"/>
              </w:rPr>
              <w:t>Resilience</w:t>
            </w:r>
          </w:p>
        </w:tc>
        <w:tc>
          <w:tcPr>
            <w:tcW w:w="2551" w:type="dxa"/>
            <w:tcBorders>
              <w:top w:val="single" w:sz="4" w:space="0" w:color="auto"/>
              <w:left w:val="single" w:sz="4" w:space="0" w:color="auto"/>
              <w:bottom w:val="single" w:sz="4" w:space="0" w:color="auto"/>
              <w:right w:val="single" w:sz="4" w:space="0" w:color="auto"/>
            </w:tcBorders>
            <w:hideMark/>
          </w:tcPr>
          <w:p w14:paraId="75041520" w14:textId="77777777" w:rsidR="00B34AA4" w:rsidRDefault="00B34AA4" w:rsidP="000D0311">
            <w:pPr>
              <w:pStyle w:val="PlainText"/>
              <w:rPr>
                <w:rFonts w:asciiTheme="majorHAnsi" w:hAnsiTheme="majorHAnsi" w:cs="Arial"/>
                <w:szCs w:val="22"/>
              </w:rPr>
            </w:pPr>
            <w:r>
              <w:rPr>
                <w:rFonts w:asciiTheme="majorHAnsi" w:hAnsiTheme="majorHAnsi" w:cs="Arial"/>
                <w:b/>
                <w:szCs w:val="22"/>
              </w:rPr>
              <w:t>The Brief Resilience Scale</w:t>
            </w:r>
            <w:r>
              <w:rPr>
                <w:rFonts w:asciiTheme="majorHAnsi" w:hAnsiTheme="majorHAnsi" w:cs="Arial"/>
                <w:szCs w:val="22"/>
              </w:rPr>
              <w:t xml:space="preserve"> (BRS)</w:t>
            </w:r>
            <w:r w:rsidR="00481802">
              <w:rPr>
                <w:rFonts w:asciiTheme="majorHAnsi" w:hAnsiTheme="majorHAnsi" w:cs="Arial"/>
                <w:szCs w:val="22"/>
                <w:vertAlign w:val="superscript"/>
              </w:rPr>
              <w:t xml:space="preserve"> a </w:t>
            </w:r>
            <w:r w:rsidR="00481802">
              <w:rPr>
                <w:rFonts w:asciiTheme="majorHAnsi" w:hAnsiTheme="majorHAnsi" w:cs="Arial"/>
                <w:szCs w:val="22"/>
                <w:vertAlign w:val="superscript"/>
              </w:rPr>
              <w:fldChar w:fldCharType="begin" w:fldLock="1"/>
            </w:r>
            <w:r w:rsidR="00481802">
              <w:rPr>
                <w:rFonts w:asciiTheme="majorHAnsi" w:hAnsiTheme="majorHAnsi" w:cs="Arial"/>
                <w:szCs w:val="22"/>
                <w:vertAlign w:val="superscript"/>
              </w:rPr>
              <w:instrText>ADDIN CSL_CITATION {"citationItems":[{"id":"ITEM-1","itemData":{"DOI":"10.1080/10705500802222972","ISBN":"1532-7558 (Electronic)\\r1070-5503 (Linking)","ISSN":"10705503","PMID":"18696313","abstract":"BACKGROUND: While resilience has been defined as resistance to illness, adaptation, and thriving, the ability to bounce back or recover from stress is closest to its original meaning. Previous resilience measures assess resources that may promote resilience rather than recovery, resistance, adaptation, or thriving. PURPOSE: To test a new brief resilience scale. METHOD: The brief resilience scale (BRS) was created to assess the ability to bounce back or recover from stress. Its psychometric characteristics were examined in four samples, including two student samples and samples with cardiac and chronic pain patients. RESULTS: The BRS was reliable and measured as a unitary construct. It was predictably related to personal characteristics, social relations, coping, and health in all samples. It was negatively related to anxiety, depression, negative affect, and physical symptoms when other resilience measures and optimism, social support, and Type D personality (high negative affect and high social inhibition) were controlled. There were large differences in BRS scores between cardiac patients with and without Type D and women with and without fibromyalgia. CONCLUSION: The BRS is a reliable means of assessing resilience as the ability to bounce back or recover from stress and may provide unique and important information about people coping with health-related stressors.","author":[{"dropping-particle":"","family":"Smith","given":"Bruce W.","non-dropping-particle":"","parse-names":false,"suffix":""},{"dropping-particle":"","family":"Dalen","given":"Jeanne","non-dropping-particle":"","parse-names":false,"suffix":""},{"dropping-particle":"","family":"Wiggins","given":"Kathryn","non-dropping-particle":"","parse-names":false,"suffix":""},{"dropping-particle":"","family":"Tooley","given":"Erin","non-dropping-particle":"","parse-names":false,"suffix":""},{"dropping-particle":"","family":"Christopher","given":"Paulette","non-dropping-particle":"","parse-names":false,"suffix":""},{"dropping-particle":"","family":"Bernard","given":"Jennifer","non-dropping-particle":"","parse-names":false,"suffix":""}],"container-title":"International Journal of Behavioral Medicine","id":"ITEM-1","issue":"3","issued":{"date-parts":[["2008"]]},"page":"194-200","title":"The brief resilience scale: Assessing the ability to bounce back","type":"article-journal","volume":"15"},"uris":["http://www.mendeley.com/documents/?uuid=8d2428bf-acf2-4f4d-8882-973a46695305"]}],"mendeley":{"formattedCitation":"[15]","plainTextFormattedCitation":"[15]","previouslyFormattedCitation":"[15]"},"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[15]</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38AB6D0E" w14:textId="77777777" w:rsidR="00B34AA4" w:rsidRDefault="00B34AA4" w:rsidP="000D0311">
            <w:pPr>
              <w:pStyle w:val="PlainText"/>
              <w:rPr>
                <w:rFonts w:asciiTheme="majorHAnsi" w:hAnsiTheme="majorHAnsi" w:cs="Arial"/>
                <w:szCs w:val="22"/>
              </w:rPr>
            </w:pPr>
            <w:r>
              <w:rPr>
                <w:rFonts w:asciiTheme="majorHAnsi" w:hAnsiTheme="majorHAnsi" w:cs="Arial"/>
                <w:szCs w:val="22"/>
              </w:rPr>
              <w:t>The ability to bounce back in stressful situations.</w:t>
            </w:r>
            <w:r>
              <w:rPr>
                <w:rFonts w:asciiTheme="majorHAnsi" w:hAnsiTheme="majorHAnsi" w:cs="Arial"/>
                <w:i/>
                <w:szCs w:val="22"/>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23837274"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hideMark/>
          </w:tcPr>
          <w:p w14:paraId="04CA80BF"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r>
      <w:tr w:rsidR="00B34AA4" w14:paraId="3EDC6916" w14:textId="77777777" w:rsidTr="000D0311">
        <w:tc>
          <w:tcPr>
            <w:tcW w:w="1526" w:type="dxa"/>
            <w:tcBorders>
              <w:top w:val="single" w:sz="4" w:space="0" w:color="auto"/>
              <w:left w:val="single" w:sz="4" w:space="0" w:color="auto"/>
              <w:bottom w:val="single" w:sz="4" w:space="0" w:color="auto"/>
              <w:right w:val="single" w:sz="4" w:space="0" w:color="auto"/>
            </w:tcBorders>
            <w:hideMark/>
          </w:tcPr>
          <w:p w14:paraId="5C0C9A49" w14:textId="77777777" w:rsidR="00B34AA4" w:rsidRDefault="00B34AA4" w:rsidP="000D0311">
            <w:pPr>
              <w:pStyle w:val="PlainText"/>
              <w:rPr>
                <w:rFonts w:asciiTheme="majorHAnsi" w:hAnsiTheme="majorHAnsi" w:cs="Arial"/>
                <w:szCs w:val="22"/>
              </w:rPr>
            </w:pPr>
            <w:r>
              <w:rPr>
                <w:rFonts w:asciiTheme="majorHAnsi" w:hAnsiTheme="majorHAnsi" w:cs="Arial"/>
                <w:szCs w:val="22"/>
              </w:rPr>
              <w:t>Empathy</w:t>
            </w:r>
          </w:p>
        </w:tc>
        <w:tc>
          <w:tcPr>
            <w:tcW w:w="2551" w:type="dxa"/>
            <w:tcBorders>
              <w:top w:val="single" w:sz="4" w:space="0" w:color="auto"/>
              <w:left w:val="single" w:sz="4" w:space="0" w:color="auto"/>
              <w:bottom w:val="single" w:sz="4" w:space="0" w:color="auto"/>
              <w:right w:val="single" w:sz="4" w:space="0" w:color="auto"/>
            </w:tcBorders>
            <w:hideMark/>
          </w:tcPr>
          <w:p w14:paraId="6A87DCBA" w14:textId="740E892B" w:rsidR="00B34AA4" w:rsidRDefault="00B34AA4" w:rsidP="000D0311">
            <w:pPr>
              <w:pStyle w:val="PlainText"/>
              <w:rPr>
                <w:rFonts w:asciiTheme="majorHAnsi" w:hAnsiTheme="majorHAnsi" w:cs="Arial"/>
                <w:szCs w:val="22"/>
              </w:rPr>
            </w:pPr>
            <w:r>
              <w:rPr>
                <w:rFonts w:asciiTheme="majorHAnsi" w:hAnsiTheme="majorHAnsi" w:cs="Arial"/>
                <w:b/>
                <w:szCs w:val="22"/>
              </w:rPr>
              <w:t>The Interpersonal Reactivity Index</w:t>
            </w:r>
            <w:r>
              <w:rPr>
                <w:rFonts w:asciiTheme="majorHAnsi" w:hAnsiTheme="majorHAnsi" w:cs="Arial"/>
                <w:szCs w:val="22"/>
              </w:rPr>
              <w:t xml:space="preserve"> (IRI)</w:t>
            </w:r>
            <w:r w:rsidR="00481802">
              <w:rPr>
                <w:rFonts w:asciiTheme="majorHAnsi" w:hAnsiTheme="majorHAnsi" w:cs="Arial"/>
                <w:szCs w:val="22"/>
                <w:vertAlign w:val="superscript"/>
              </w:rPr>
              <w:t xml:space="preserve"> a </w:t>
            </w:r>
            <w:r w:rsidR="00481802">
              <w:rPr>
                <w:rFonts w:asciiTheme="majorHAnsi" w:hAnsiTheme="majorHAnsi" w:cs="Arial"/>
                <w:szCs w:val="22"/>
                <w:vertAlign w:val="superscript"/>
              </w:rPr>
              <w:fldChar w:fldCharType="begin" w:fldLock="1"/>
            </w:r>
            <w:r w:rsidR="007C4718">
              <w:rPr>
                <w:rFonts w:asciiTheme="majorHAnsi" w:hAnsiTheme="majorHAnsi" w:cs="Arial"/>
                <w:szCs w:val="22"/>
                <w:vertAlign w:val="superscript"/>
              </w:rPr>
              <w:instrText>ADDIN CSL_CITATION {"citationItems":[{"id":"ITEM-1","itemData":{"DOI":"10.1037/0022-3514.44.1.113","ISBN":"0022-3514\\r1939-1315","ISSN":"00223514","PMID":"1295920010","abstract":"F-scale pos correlated with perspective taking and more so with empathetic concern. PT scores were consistently associated with better social functioning and higher self-esteem. PT positively related to the PAQ's F scale, assessing an unselfish sensitivity to others, but was slightly negatively related to measures of a more \"self-centered\" awareness of other people. F-scale includes items such as \"aware of feelings of others\", \"understanding of others\", and \"able to devote self to others\".","author":[{"dropping-particle":"","family":"Davis","given":"Mark H","non-dropping-particle":"","parse-names":false,"suffix":""}],"container-title":"Journal of Personality and Social Psychology","id":"ITEM-1","issue":"1","issued":{"date-parts":[["1983"]]},"page":"113-126","title":"A Multidimensional Approach to Individual Differences in Empathy","type":"article-journal","volume":"44"},"uris":["http://www.mendeley.com/documents/?uuid=18727523-eab6-47f2-8015-c8a97d331176"]}],"mendeley":{"formattedCitation":"[16]","plainTextFormattedCitation":"[16]","previouslyFormattedCitation":"[16]"},"properties":{"noteIndex":0},"schema":"https://github.com/citation-style-language/schema/raw/master/csl-citation.json"}</w:instrText>
            </w:r>
            <w:r w:rsidR="00481802">
              <w:rPr>
                <w:rFonts w:asciiTheme="majorHAnsi" w:hAnsiTheme="majorHAnsi" w:cs="Arial"/>
                <w:szCs w:val="22"/>
                <w:vertAlign w:val="superscript"/>
              </w:rPr>
              <w:fldChar w:fldCharType="separate"/>
            </w:r>
            <w:r w:rsidR="00481802" w:rsidRPr="00481802">
              <w:rPr>
                <w:rFonts w:asciiTheme="majorHAnsi" w:hAnsiTheme="majorHAnsi" w:cs="Arial"/>
                <w:noProof/>
                <w:szCs w:val="22"/>
              </w:rPr>
              <w:t>[16]</w:t>
            </w:r>
            <w:r w:rsidR="00481802">
              <w:rPr>
                <w:rFonts w:asciiTheme="majorHAnsi" w:hAnsiTheme="majorHAnsi" w:cs="Arial"/>
                <w:szCs w:val="22"/>
                <w:vertAlign w:val="superscript"/>
              </w:rPr>
              <w:fldChar w:fldCharType="end"/>
            </w:r>
          </w:p>
        </w:tc>
        <w:tc>
          <w:tcPr>
            <w:tcW w:w="3544" w:type="dxa"/>
            <w:tcBorders>
              <w:top w:val="single" w:sz="4" w:space="0" w:color="auto"/>
              <w:left w:val="single" w:sz="4" w:space="0" w:color="auto"/>
              <w:bottom w:val="single" w:sz="4" w:space="0" w:color="auto"/>
              <w:right w:val="single" w:sz="4" w:space="0" w:color="auto"/>
            </w:tcBorders>
            <w:hideMark/>
          </w:tcPr>
          <w:p w14:paraId="792BAF39" w14:textId="77777777" w:rsidR="00B34AA4" w:rsidRDefault="00B34AA4" w:rsidP="000D0311">
            <w:pPr>
              <w:pStyle w:val="PlainText"/>
              <w:rPr>
                <w:rFonts w:asciiTheme="majorHAnsi" w:hAnsiTheme="majorHAnsi" w:cs="Arial"/>
                <w:szCs w:val="22"/>
              </w:rPr>
            </w:pPr>
            <w:r>
              <w:rPr>
                <w:rFonts w:asciiTheme="majorHAnsi" w:hAnsiTheme="majorHAnsi" w:cs="Arial"/>
                <w:szCs w:val="22"/>
              </w:rPr>
              <w:t>Empathic tendencies and perspective taking.</w:t>
            </w:r>
          </w:p>
        </w:tc>
        <w:tc>
          <w:tcPr>
            <w:tcW w:w="1134" w:type="dxa"/>
            <w:tcBorders>
              <w:top w:val="single" w:sz="4" w:space="0" w:color="auto"/>
              <w:left w:val="single" w:sz="4" w:space="0" w:color="auto"/>
              <w:bottom w:val="single" w:sz="4" w:space="0" w:color="auto"/>
              <w:right w:val="single" w:sz="4" w:space="0" w:color="auto"/>
            </w:tcBorders>
            <w:hideMark/>
          </w:tcPr>
          <w:p w14:paraId="1BEE0DE1" w14:textId="77777777" w:rsidR="00B34AA4" w:rsidRDefault="00B34AA4" w:rsidP="000D0311">
            <w:pPr>
              <w:pStyle w:val="PlainText"/>
              <w:jc w:val="center"/>
              <w:rPr>
                <w:rFonts w:asciiTheme="majorHAnsi" w:hAnsiTheme="majorHAnsi" w:cs="Arial"/>
                <w:b/>
                <w:szCs w:val="22"/>
              </w:rPr>
            </w:pPr>
            <w:r>
              <w:rPr>
                <w:rFonts w:ascii="MS Mincho" w:eastAsia="MS Mincho" w:hAnsi="MS Mincho" w:cs="MS Mincho" w:hint="eastAsia"/>
                <w:bCs/>
                <w:color w:val="333333"/>
                <w:szCs w:val="22"/>
                <w:lang w:eastAsia="en-GB"/>
              </w:rPr>
              <w:t>✓</w:t>
            </w:r>
          </w:p>
        </w:tc>
        <w:tc>
          <w:tcPr>
            <w:tcW w:w="1134" w:type="dxa"/>
            <w:tcBorders>
              <w:top w:val="single" w:sz="4" w:space="0" w:color="auto"/>
              <w:left w:val="single" w:sz="4" w:space="0" w:color="auto"/>
              <w:bottom w:val="single" w:sz="4" w:space="0" w:color="auto"/>
              <w:right w:val="single" w:sz="4" w:space="0" w:color="auto"/>
            </w:tcBorders>
          </w:tcPr>
          <w:p w14:paraId="16972112" w14:textId="77777777" w:rsidR="00B34AA4" w:rsidRDefault="00B34AA4" w:rsidP="000D0311">
            <w:pPr>
              <w:pStyle w:val="PlainText"/>
              <w:jc w:val="center"/>
              <w:rPr>
                <w:rFonts w:asciiTheme="majorHAnsi" w:hAnsiTheme="majorHAnsi" w:cs="Arial"/>
                <w:b/>
                <w:szCs w:val="22"/>
              </w:rPr>
            </w:pPr>
          </w:p>
        </w:tc>
      </w:tr>
    </w:tbl>
    <w:p w14:paraId="28B837A7" w14:textId="77777777" w:rsidR="00B34AA4" w:rsidRDefault="00B34AA4" w:rsidP="00B34AA4">
      <w:pPr>
        <w:spacing w:after="0" w:line="240" w:lineRule="auto"/>
        <w:rPr>
          <w:rFonts w:asciiTheme="majorHAnsi" w:hAnsiTheme="majorHAnsi" w:cs="Arial"/>
        </w:rPr>
      </w:pPr>
      <w:proofErr w:type="gramStart"/>
      <w:r>
        <w:rPr>
          <w:rFonts w:asciiTheme="majorHAnsi" w:hAnsiTheme="majorHAnsi" w:cs="Arial"/>
          <w:vertAlign w:val="superscript"/>
        </w:rPr>
        <w:t>a</w:t>
      </w:r>
      <w:proofErr w:type="gramEnd"/>
      <w:r>
        <w:rPr>
          <w:rFonts w:asciiTheme="majorHAnsi" w:hAnsiTheme="majorHAnsi" w:cs="Arial"/>
          <w:vertAlign w:val="superscript"/>
        </w:rPr>
        <w:t xml:space="preserve"> </w:t>
      </w:r>
      <w:r>
        <w:rPr>
          <w:rFonts w:asciiTheme="majorHAnsi" w:hAnsiTheme="majorHAnsi" w:cs="Arial"/>
        </w:rPr>
        <w:t xml:space="preserve">Higher scores better, </w:t>
      </w:r>
      <w:r>
        <w:rPr>
          <w:rFonts w:asciiTheme="majorHAnsi" w:hAnsiTheme="majorHAnsi" w:cs="Arial"/>
          <w:vertAlign w:val="superscript"/>
        </w:rPr>
        <w:t xml:space="preserve">b </w:t>
      </w:r>
      <w:r>
        <w:rPr>
          <w:rFonts w:asciiTheme="majorHAnsi" w:hAnsiTheme="majorHAnsi" w:cs="Arial"/>
        </w:rPr>
        <w:t>Higher scores worse</w:t>
      </w:r>
    </w:p>
    <w:p w14:paraId="3E3BC029" w14:textId="77777777" w:rsidR="00B34AA4" w:rsidRDefault="00B34AA4" w:rsidP="00B34AA4">
      <w:pPr>
        <w:spacing w:after="0" w:line="240" w:lineRule="auto"/>
        <w:rPr>
          <w:rFonts w:asciiTheme="majorHAnsi" w:hAnsiTheme="majorHAnsi" w:cs="Arial"/>
        </w:rPr>
      </w:pPr>
    </w:p>
    <w:p w14:paraId="53D98FA5" w14:textId="5A298F5E" w:rsidR="007C4718" w:rsidRPr="007C4718" w:rsidRDefault="00B34AA4" w:rsidP="007C4718">
      <w:pPr>
        <w:widowControl w:val="0"/>
        <w:autoSpaceDE w:val="0"/>
        <w:autoSpaceDN w:val="0"/>
        <w:adjustRightInd w:val="0"/>
        <w:spacing w:after="0" w:line="240" w:lineRule="auto"/>
        <w:ind w:left="640" w:hanging="640"/>
        <w:rPr>
          <w:rFonts w:ascii="Cambria" w:hAnsi="Cambria" w:cs="Times New Roman"/>
          <w:noProof/>
          <w:szCs w:val="24"/>
        </w:rPr>
      </w:pPr>
      <w:r>
        <w:rPr>
          <w:rFonts w:asciiTheme="majorHAnsi" w:hAnsiTheme="majorHAnsi" w:cs="Times New Roman"/>
          <w:noProof/>
        </w:rPr>
        <w:fldChar w:fldCharType="begin" w:fldLock="1"/>
      </w:r>
      <w:r>
        <w:rPr>
          <w:rFonts w:asciiTheme="majorHAnsi" w:hAnsiTheme="majorHAnsi" w:cs="Times New Roman"/>
          <w:noProof/>
        </w:rPr>
        <w:instrText xml:space="preserve">ADDIN Mendeley Bibliography CSL_BIBLIOGRAPHY </w:instrText>
      </w:r>
      <w:r>
        <w:rPr>
          <w:rFonts w:asciiTheme="majorHAnsi" w:hAnsiTheme="majorHAnsi" w:cs="Times New Roman"/>
          <w:noProof/>
        </w:rPr>
        <w:fldChar w:fldCharType="separate"/>
      </w:r>
      <w:r w:rsidR="007C4718" w:rsidRPr="007C4718">
        <w:rPr>
          <w:rFonts w:ascii="Cambria" w:hAnsi="Cambria" w:cs="Times New Roman"/>
          <w:noProof/>
          <w:szCs w:val="24"/>
        </w:rPr>
        <w:t xml:space="preserve">1. </w:t>
      </w:r>
      <w:r w:rsidR="007C4718" w:rsidRPr="007C4718">
        <w:rPr>
          <w:rFonts w:ascii="Cambria" w:hAnsi="Cambria" w:cs="Times New Roman"/>
          <w:noProof/>
          <w:szCs w:val="24"/>
        </w:rPr>
        <w:tab/>
        <w:t>Hsieh S, Schubert S, Hoon C, et al (2013) Validation of the Addenbrooke’s Cognitive Examination III in Frontotemporal Dementia and Alzheimer’s Disease. Dement Geriatr Cogn Disord 36:242–250. https://doi.org/10.1159/000351671</w:t>
      </w:r>
    </w:p>
    <w:p w14:paraId="5C689D7B"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2. </w:t>
      </w:r>
      <w:r w:rsidRPr="007C4718">
        <w:rPr>
          <w:rFonts w:ascii="Cambria" w:hAnsi="Cambria" w:cs="Times New Roman"/>
          <w:noProof/>
          <w:szCs w:val="24"/>
        </w:rPr>
        <w:tab/>
        <w:t>Lee DR, McKeith I, Mosimann U, et al (2014) The Dementia Cognitive Fluctuation Scale, a New Psychometric Test for Clinicians to Identify Cognitive Fluctuations in People with Dementia. Am J Geriatr Psychiatry 22:926–935</w:t>
      </w:r>
    </w:p>
    <w:p w14:paraId="346E7125"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3. </w:t>
      </w:r>
      <w:r w:rsidRPr="007C4718">
        <w:rPr>
          <w:rFonts w:ascii="Cambria" w:hAnsi="Cambria" w:cs="Times New Roman"/>
          <w:noProof/>
          <w:szCs w:val="24"/>
        </w:rPr>
        <w:tab/>
        <w:t>Reginold W, Armstrong MJ, Duff-Canning S, et al (2012) The pill questionnaire in a nondemented Parkinson’s disease population. Mov Disord 27:1308–1311. https://doi.org/10.1002/mds.25124</w:t>
      </w:r>
    </w:p>
    <w:p w14:paraId="0BF75CC8"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4. </w:t>
      </w:r>
      <w:r w:rsidRPr="007C4718">
        <w:rPr>
          <w:rFonts w:ascii="Cambria" w:hAnsi="Cambria" w:cs="Times New Roman"/>
          <w:noProof/>
          <w:szCs w:val="24"/>
        </w:rPr>
        <w:tab/>
        <w:t>Jenkinson C, Fitzpatrick R, Peto V, Greenhall R (1997) The Parkinson ’ s Disease Questionnaire ( PDQ-39 ): development and validation of a Parkinson ’ s disease summary index score. Age Ageing 26:353–357</w:t>
      </w:r>
    </w:p>
    <w:p w14:paraId="2BAF0AF2"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5. </w:t>
      </w:r>
      <w:r w:rsidRPr="007C4718">
        <w:rPr>
          <w:rFonts w:ascii="Cambria" w:hAnsi="Cambria" w:cs="Times New Roman"/>
          <w:noProof/>
          <w:szCs w:val="24"/>
        </w:rPr>
        <w:tab/>
        <w:t>EuroQol Group (1990) EuroQol--a new facility for the measurement of health-related quality of life. Health Policy 16:199–208. https://doi.org/10.1016/0168-8510(90)90421-9</w:t>
      </w:r>
    </w:p>
    <w:p w14:paraId="7543B8C8"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6. </w:t>
      </w:r>
      <w:r w:rsidRPr="007C4718">
        <w:rPr>
          <w:rFonts w:ascii="Cambria" w:hAnsi="Cambria" w:cs="Times New Roman"/>
          <w:noProof/>
          <w:szCs w:val="24"/>
        </w:rPr>
        <w:tab/>
        <w:t>Cummings, J. L., Mega, M., Gray, K., Rosenberg-Thompson, S., Carusi, D. A., &amp; Gornbein J (1994). (1994) The neuropsychiatric inventory: Comprehensive assessment of psychopathology in dementia. Neurology 44:2308–2314</w:t>
      </w:r>
    </w:p>
    <w:p w14:paraId="4214CCD0"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7. </w:t>
      </w:r>
      <w:r w:rsidRPr="007C4718">
        <w:rPr>
          <w:rFonts w:ascii="Cambria" w:hAnsi="Cambria" w:cs="Times New Roman"/>
          <w:noProof/>
          <w:szCs w:val="24"/>
        </w:rPr>
        <w:tab/>
        <w:t>Zigmond AS, Snaith PR (1983) The hospital anxiety and depression scale. 67:361–370. https://doi.org/10.1111/j.1600-0447.1983.tb09716.x</w:t>
      </w:r>
    </w:p>
    <w:p w14:paraId="330220A7"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8. </w:t>
      </w:r>
      <w:r w:rsidRPr="007C4718">
        <w:rPr>
          <w:rFonts w:ascii="Cambria" w:hAnsi="Cambria" w:cs="Times New Roman"/>
          <w:noProof/>
          <w:szCs w:val="24"/>
        </w:rPr>
        <w:tab/>
        <w:t>Sockeel P, Dujardin K, Devos D, et al (2006) The Lille apathy rating scale (LARS), a new instrument for detecting and quantifying apathy: validation in Parkinson’s disease. J Neurol Neurosurg Psychiatry 77:579–84. https://doi.org/10.1136/jnnp.2005.075929</w:t>
      </w:r>
    </w:p>
    <w:p w14:paraId="73AB7F61"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9. </w:t>
      </w:r>
      <w:r w:rsidRPr="007C4718">
        <w:rPr>
          <w:rFonts w:ascii="Cambria" w:hAnsi="Cambria" w:cs="Times New Roman"/>
          <w:noProof/>
          <w:szCs w:val="24"/>
        </w:rPr>
        <w:tab/>
        <w:t>Ware J, Kosinski M, Keller SD (1996) A 12-Item SHort Health Survey: construction of scales and preliminary tests of reliability and validity. Med Care 34:220–33. https://doi.org/10.1097/00005650-199603000-00003</w:t>
      </w:r>
    </w:p>
    <w:p w14:paraId="1542AED7"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10. </w:t>
      </w:r>
      <w:r w:rsidRPr="007C4718">
        <w:rPr>
          <w:rFonts w:ascii="Cambria" w:hAnsi="Cambria" w:cs="Times New Roman"/>
          <w:noProof/>
          <w:szCs w:val="24"/>
        </w:rPr>
        <w:tab/>
        <w:t>David B (1983) Ten days to self-esteem. Quill William Morrow, New York</w:t>
      </w:r>
    </w:p>
    <w:p w14:paraId="3A3A38A9"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11. </w:t>
      </w:r>
      <w:r w:rsidRPr="007C4718">
        <w:rPr>
          <w:rFonts w:ascii="Cambria" w:hAnsi="Cambria" w:cs="Times New Roman"/>
          <w:noProof/>
          <w:szCs w:val="24"/>
        </w:rPr>
        <w:tab/>
        <w:t>Sebern MD, Whitlatch CJ (2007) Dyadic relationship scale: a measure of the impact of the provision and receipt of family care. Gerontologist 47:741–51. https://doi.org/10.1093/geront/47.6.741</w:t>
      </w:r>
    </w:p>
    <w:p w14:paraId="669C7AF7"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12. </w:t>
      </w:r>
      <w:r w:rsidRPr="007C4718">
        <w:rPr>
          <w:rFonts w:ascii="Cambria" w:hAnsi="Cambria" w:cs="Times New Roman"/>
          <w:noProof/>
          <w:szCs w:val="24"/>
        </w:rPr>
        <w:tab/>
        <w:t>Schofield HL, Murphy B, Herrman HE, et al (1997) Family caregiving: measurement of emotional well-being and various aspects of the caregiving role. Psychol Med 27:647–57. https://doi.org/10.1017/S0033291797004820</w:t>
      </w:r>
    </w:p>
    <w:p w14:paraId="1C265230"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13. </w:t>
      </w:r>
      <w:r w:rsidRPr="007C4718">
        <w:rPr>
          <w:rFonts w:ascii="Cambria" w:hAnsi="Cambria" w:cs="Times New Roman"/>
          <w:noProof/>
          <w:szCs w:val="24"/>
        </w:rPr>
        <w:tab/>
        <w:t>Zarit SH, Reever KE, Bach-Peterson J (1980) Relatives of the Impaired Elderly: Correlates of Feelings of Burden. Gerontologist 20:649–655. https://doi.org/10.1093/geront/20.6.649</w:t>
      </w:r>
    </w:p>
    <w:p w14:paraId="052BC9F7"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14. </w:t>
      </w:r>
      <w:r w:rsidRPr="007C4718">
        <w:rPr>
          <w:rFonts w:ascii="Cambria" w:hAnsi="Cambria" w:cs="Times New Roman"/>
          <w:noProof/>
          <w:szCs w:val="24"/>
        </w:rPr>
        <w:tab/>
        <w:t>Greene JG, Smith R, Gardiner M, Timbury GC (1982) Measuring behavioural disturbance of elderly demented patients in the community and its effects on relatives: a factor analytic study. Age Ageing 11:121–126. https://doi.org/10.1093/ageing/11.2.121</w:t>
      </w:r>
    </w:p>
    <w:p w14:paraId="7BEFC9FD"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cs="Times New Roman"/>
          <w:noProof/>
          <w:szCs w:val="24"/>
        </w:rPr>
      </w:pPr>
      <w:r w:rsidRPr="007C4718">
        <w:rPr>
          <w:rFonts w:ascii="Cambria" w:hAnsi="Cambria" w:cs="Times New Roman"/>
          <w:noProof/>
          <w:szCs w:val="24"/>
        </w:rPr>
        <w:t xml:space="preserve">15. </w:t>
      </w:r>
      <w:r w:rsidRPr="007C4718">
        <w:rPr>
          <w:rFonts w:ascii="Cambria" w:hAnsi="Cambria" w:cs="Times New Roman"/>
          <w:noProof/>
          <w:szCs w:val="24"/>
        </w:rPr>
        <w:tab/>
        <w:t>Smith BW, Dalen J, Wiggins K, et al (2008) The brief resilience scale: Assessing the ability to bounce back. Int J Behav Med 15:194–200. https://doi.org/10.1080/10705500802222972</w:t>
      </w:r>
    </w:p>
    <w:p w14:paraId="3924F721" w14:textId="77777777" w:rsidR="007C4718" w:rsidRPr="007C4718" w:rsidRDefault="007C4718" w:rsidP="007C4718">
      <w:pPr>
        <w:widowControl w:val="0"/>
        <w:autoSpaceDE w:val="0"/>
        <w:autoSpaceDN w:val="0"/>
        <w:adjustRightInd w:val="0"/>
        <w:spacing w:after="0" w:line="240" w:lineRule="auto"/>
        <w:ind w:left="640" w:hanging="640"/>
        <w:rPr>
          <w:rFonts w:ascii="Cambria" w:hAnsi="Cambria"/>
          <w:noProof/>
        </w:rPr>
      </w:pPr>
      <w:r w:rsidRPr="007C4718">
        <w:rPr>
          <w:rFonts w:ascii="Cambria" w:hAnsi="Cambria" w:cs="Times New Roman"/>
          <w:noProof/>
          <w:szCs w:val="24"/>
        </w:rPr>
        <w:t xml:space="preserve">16. </w:t>
      </w:r>
      <w:r w:rsidRPr="007C4718">
        <w:rPr>
          <w:rFonts w:ascii="Cambria" w:hAnsi="Cambria" w:cs="Times New Roman"/>
          <w:noProof/>
          <w:szCs w:val="24"/>
        </w:rPr>
        <w:tab/>
        <w:t>Davis MH (1983) A Multidimensional Approach to Individual Differences in Empathy. J Pers Soc Psychol 44:113–126. https://doi.org/10.1037/0022-3514.44.1.113</w:t>
      </w:r>
    </w:p>
    <w:p w14:paraId="171F1D56" w14:textId="6CB138C5" w:rsidR="009543CE" w:rsidRDefault="00B34AA4" w:rsidP="007C4718">
      <w:pPr>
        <w:widowControl w:val="0"/>
        <w:autoSpaceDE w:val="0"/>
        <w:autoSpaceDN w:val="0"/>
        <w:adjustRightInd w:val="0"/>
        <w:spacing w:after="0" w:line="240" w:lineRule="auto"/>
        <w:ind w:left="640" w:hanging="640"/>
        <w:rPr>
          <w:rFonts w:asciiTheme="majorHAnsi" w:hAnsiTheme="majorHAnsi" w:cs="Times New Roman"/>
          <w:noProof/>
        </w:rPr>
      </w:pPr>
      <w:r>
        <w:rPr>
          <w:rFonts w:asciiTheme="majorHAnsi" w:hAnsiTheme="majorHAnsi" w:cs="Times New Roman"/>
          <w:noProof/>
        </w:rPr>
        <w:fldChar w:fldCharType="end"/>
      </w:r>
    </w:p>
    <w:p w14:paraId="1FB53719" w14:textId="77777777" w:rsidR="006C736B" w:rsidRPr="00481802" w:rsidRDefault="006C736B" w:rsidP="002D2FE9">
      <w:pPr>
        <w:rPr>
          <w:rFonts w:asciiTheme="majorHAnsi" w:hAnsiTheme="majorHAnsi" w:cs="Times New Roman"/>
          <w:noProof/>
        </w:rPr>
      </w:pPr>
    </w:p>
    <w:sectPr w:rsidR="006C736B" w:rsidRPr="00481802" w:rsidSect="006C73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AA4"/>
    <w:rsid w:val="002C2E14"/>
    <w:rsid w:val="002D2FE9"/>
    <w:rsid w:val="00402978"/>
    <w:rsid w:val="0047022B"/>
    <w:rsid w:val="00481802"/>
    <w:rsid w:val="006C736B"/>
    <w:rsid w:val="007C4718"/>
    <w:rsid w:val="007D7F25"/>
    <w:rsid w:val="007E2F6D"/>
    <w:rsid w:val="00916C4F"/>
    <w:rsid w:val="009543CE"/>
    <w:rsid w:val="00A049F9"/>
    <w:rsid w:val="00A73181"/>
    <w:rsid w:val="00B34AA4"/>
    <w:rsid w:val="00B542D6"/>
    <w:rsid w:val="00BA2EA0"/>
    <w:rsid w:val="00CE052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47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34AA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34AA4"/>
    <w:rPr>
      <w:rFonts w:ascii="Calibri" w:hAnsi="Calibri"/>
      <w:szCs w:val="21"/>
    </w:rPr>
  </w:style>
  <w:style w:type="paragraph" w:styleId="BalloonText">
    <w:name w:val="Balloon Text"/>
    <w:basedOn w:val="Normal"/>
    <w:link w:val="BalloonTextChar"/>
    <w:uiPriority w:val="99"/>
    <w:semiHidden/>
    <w:unhideWhenUsed/>
    <w:rsid w:val="00B34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AA4"/>
    <w:rPr>
      <w:rFonts w:ascii="Tahoma" w:hAnsi="Tahoma" w:cs="Tahoma"/>
      <w:sz w:val="16"/>
      <w:szCs w:val="16"/>
    </w:rPr>
  </w:style>
  <w:style w:type="character" w:styleId="Hyperlink">
    <w:name w:val="Hyperlink"/>
    <w:uiPriority w:val="99"/>
    <w:unhideWhenUsed/>
    <w:rsid w:val="00BA2EA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34AA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34AA4"/>
    <w:rPr>
      <w:rFonts w:ascii="Calibri" w:hAnsi="Calibri"/>
      <w:szCs w:val="21"/>
    </w:rPr>
  </w:style>
  <w:style w:type="paragraph" w:styleId="BalloonText">
    <w:name w:val="Balloon Text"/>
    <w:basedOn w:val="Normal"/>
    <w:link w:val="BalloonTextChar"/>
    <w:uiPriority w:val="99"/>
    <w:semiHidden/>
    <w:unhideWhenUsed/>
    <w:rsid w:val="00B34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AA4"/>
    <w:rPr>
      <w:rFonts w:ascii="Tahoma" w:hAnsi="Tahoma" w:cs="Tahoma"/>
      <w:sz w:val="16"/>
      <w:szCs w:val="16"/>
    </w:rPr>
  </w:style>
  <w:style w:type="character" w:styleId="Hyperlink">
    <w:name w:val="Hyperlink"/>
    <w:uiPriority w:val="99"/>
    <w:unhideWhenUsed/>
    <w:rsid w:val="00BA2E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racema.leroi@manchester.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16185-29F6-4760-8EC3-8EB37ADAA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6653</Words>
  <Characters>37926</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Vatter</dc:creator>
  <cp:lastModifiedBy>Sabina Vatter</cp:lastModifiedBy>
  <cp:revision>10</cp:revision>
  <dcterms:created xsi:type="dcterms:W3CDTF">2018-09-25T12:49:00Z</dcterms:created>
  <dcterms:modified xsi:type="dcterms:W3CDTF">2018-10-19T15:47:00Z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6005248f-6358-3ffd-96b6-904f1c34e3cf</vt:lpwstr>
  </property>
  <property fmtid="{D5CDD505-2E9C-101B-9397-08002B2CF9AE}" pid="4" name="Mendeley Citation Style_1">
    <vt:lpwstr>http://www.zotero.org/styles/journal-of-neurology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http://www.zotero.org/styles/journal-of-neurology</vt:lpwstr>
  </property>
  <property fmtid="{D5CDD505-2E9C-101B-9397-08002B2CF9AE}" pid="18" name="Mendeley Recent Style Name 6_1">
    <vt:lpwstr>Journal of Neurology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