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768" w:rsidRDefault="00DD3768" w:rsidP="00DD3768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Supplementary Figure S1</w:t>
      </w:r>
    </w:p>
    <w:p w:rsidR="00DD3768" w:rsidRDefault="00DD3768" w:rsidP="00DD3768">
      <w:pPr>
        <w:rPr>
          <w:rFonts w:ascii="Arial" w:hAnsi="Arial" w:cs="Arial"/>
          <w:sz w:val="20"/>
          <w:lang w:val="en-GB"/>
        </w:rPr>
      </w:pPr>
    </w:p>
    <w:p w:rsidR="00DD3768" w:rsidRDefault="00DD3768" w:rsidP="00DD3768">
      <w:pPr>
        <w:spacing w:line="276" w:lineRule="auto"/>
        <w:jc w:val="both"/>
        <w:rPr>
          <w:lang w:val="en-GB"/>
        </w:rPr>
      </w:pPr>
      <w:r>
        <w:rPr>
          <w:lang w:val="en-GB"/>
        </w:rPr>
        <w:t xml:space="preserve"> </w:t>
      </w:r>
      <w:r w:rsidRPr="000163C7">
        <w:rPr>
          <w:noProof/>
          <w:lang w:eastAsia="en-IN"/>
        </w:rPr>
        <w:drawing>
          <wp:inline distT="0" distB="0" distL="0" distR="0" wp14:anchorId="12E32F5A" wp14:editId="309C3A1B">
            <wp:extent cx="5706208" cy="591000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5657" cy="5940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768" w:rsidRDefault="00DD3768" w:rsidP="00DD3768">
      <w:pPr>
        <w:spacing w:line="276" w:lineRule="auto"/>
        <w:jc w:val="both"/>
        <w:rPr>
          <w:lang w:val="en-GB"/>
        </w:rPr>
      </w:pPr>
    </w:p>
    <w:p w:rsidR="00DD3768" w:rsidRDefault="00DD3768" w:rsidP="00DD3768">
      <w:pPr>
        <w:spacing w:line="276" w:lineRule="auto"/>
        <w:jc w:val="both"/>
        <w:rPr>
          <w:rFonts w:ascii="Arial" w:hAnsi="Arial" w:cs="Arial"/>
          <w:sz w:val="20"/>
          <w:lang w:val="en-GB"/>
        </w:rPr>
      </w:pPr>
    </w:p>
    <w:p w:rsidR="00DD3768" w:rsidRDefault="00DD3768" w:rsidP="00DD3768">
      <w:pPr>
        <w:jc w:val="both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b/>
          <w:sz w:val="20"/>
          <w:lang w:val="en-GB"/>
        </w:rPr>
        <w:t>Fig. S1 Correlation of serum NfL (a, b) and pNfH (c, d) with age in healthy controls and Friedreich’s ataxia</w:t>
      </w:r>
    </w:p>
    <w:p w:rsidR="00DD3768" w:rsidRDefault="00DD3768" w:rsidP="00DD3768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NfL, Neurofilament light chain; pNfH, phosphorylated neurofilament heavy chain</w:t>
      </w:r>
      <w:r>
        <w:rPr>
          <w:rFonts w:ascii="Arial" w:hAnsi="Arial" w:cs="Arial"/>
          <w:sz w:val="20"/>
          <w:lang w:val="en-GB"/>
        </w:rPr>
        <w:br w:type="page"/>
      </w:r>
    </w:p>
    <w:p w:rsidR="00DD3768" w:rsidRDefault="00DD3768" w:rsidP="00DD3768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lastRenderedPageBreak/>
        <w:t>Supplementary Figure S2</w:t>
      </w:r>
    </w:p>
    <w:p w:rsidR="00DD3768" w:rsidRDefault="00DD3768" w:rsidP="00DD3768">
      <w:pPr>
        <w:spacing w:line="276" w:lineRule="auto"/>
        <w:jc w:val="both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noProof/>
          <w:sz w:val="20"/>
          <w:lang w:eastAsia="en-IN"/>
        </w:rPr>
        <w:drawing>
          <wp:inline distT="0" distB="0" distL="0" distR="0" wp14:anchorId="746DF04D" wp14:editId="38A8B9A7">
            <wp:extent cx="2568234" cy="234966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73523" cy="23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768" w:rsidRDefault="00DD3768" w:rsidP="00DD3768">
      <w:pPr>
        <w:jc w:val="both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b/>
          <w:sz w:val="20"/>
          <w:lang w:val="en-GB"/>
        </w:rPr>
        <w:t>Fig. S2 Correlation of serum pNfH with disease severity in Friedreich’s ataxia</w:t>
      </w:r>
    </w:p>
    <w:p w:rsidR="00DD3768" w:rsidRDefault="00DD3768" w:rsidP="00DD3768">
      <w:pPr>
        <w:jc w:val="both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 xml:space="preserve">Correlation of serum pNfH levels vs. disease severity in patients with Friedreich’s ataxia that were </w:t>
      </w:r>
      <w:r>
        <w:rPr>
          <w:rFonts w:ascii="Arial" w:hAnsi="Arial" w:cs="Arial"/>
          <w:i/>
          <w:sz w:val="20"/>
          <w:lang w:val="en-GB"/>
        </w:rPr>
        <w:t>a priori</w:t>
      </w:r>
      <w:r>
        <w:rPr>
          <w:rFonts w:ascii="Arial" w:hAnsi="Arial" w:cs="Arial"/>
          <w:sz w:val="20"/>
          <w:lang w:val="en-GB"/>
        </w:rPr>
        <w:t xml:space="preserve"> categorized as moderately (SARA 10-20) or severely (SARA 30-40) affected.</w:t>
      </w:r>
    </w:p>
    <w:p w:rsidR="00DD3768" w:rsidRDefault="00DD3768" w:rsidP="00DD3768">
      <w:pPr>
        <w:jc w:val="both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pNfH, phosphorylated neurofilament heavy chain; SARA, Scale for the Assessment and Rating of Ataxia</w:t>
      </w:r>
    </w:p>
    <w:p w:rsidR="00DD3768" w:rsidRDefault="00DD3768" w:rsidP="00DD3768">
      <w:pPr>
        <w:jc w:val="both"/>
        <w:rPr>
          <w:rFonts w:ascii="Arial" w:hAnsi="Arial" w:cs="Arial"/>
          <w:sz w:val="20"/>
          <w:lang w:val="en-GB"/>
        </w:rPr>
      </w:pPr>
    </w:p>
    <w:p w:rsidR="00DD3768" w:rsidRDefault="00DD3768" w:rsidP="00DD3768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br w:type="page"/>
      </w:r>
    </w:p>
    <w:p w:rsidR="00DD3768" w:rsidRDefault="00DD3768" w:rsidP="00DD3768">
      <w:pPr>
        <w:jc w:val="both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lastRenderedPageBreak/>
        <w:t>Supplementary Figure S3</w:t>
      </w:r>
    </w:p>
    <w:p w:rsidR="00DD3768" w:rsidRDefault="00DD3768" w:rsidP="00DD3768">
      <w:pPr>
        <w:rPr>
          <w:rFonts w:ascii="Arial" w:hAnsi="Arial" w:cs="Arial"/>
          <w:sz w:val="20"/>
          <w:lang w:val="en-GB"/>
        </w:rPr>
      </w:pPr>
    </w:p>
    <w:p w:rsidR="00DD3768" w:rsidRDefault="00DD3768" w:rsidP="00DD3768">
      <w:pPr>
        <w:spacing w:line="276" w:lineRule="auto"/>
        <w:jc w:val="both"/>
        <w:rPr>
          <w:rFonts w:ascii="Arial" w:hAnsi="Arial" w:cs="Arial"/>
          <w:sz w:val="20"/>
          <w:lang w:val="en-GB"/>
        </w:rPr>
      </w:pPr>
      <w:r w:rsidRPr="00187F7A">
        <w:rPr>
          <w:rFonts w:ascii="Arial" w:hAnsi="Arial" w:cs="Arial"/>
          <w:noProof/>
          <w:sz w:val="20"/>
          <w:lang w:eastAsia="en-IN"/>
        </w:rPr>
        <w:drawing>
          <wp:inline distT="0" distB="0" distL="0" distR="0" wp14:anchorId="3BE702ED" wp14:editId="28680DF9">
            <wp:extent cx="5760720" cy="262763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2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768" w:rsidRDefault="00DD3768" w:rsidP="00DD3768">
      <w:pPr>
        <w:spacing w:line="276" w:lineRule="auto"/>
        <w:jc w:val="both"/>
        <w:rPr>
          <w:rFonts w:ascii="Arial" w:hAnsi="Arial" w:cs="Arial"/>
          <w:sz w:val="20"/>
          <w:lang w:val="en-GB"/>
        </w:rPr>
      </w:pPr>
    </w:p>
    <w:p w:rsidR="00DD3768" w:rsidRDefault="00DD3768" w:rsidP="00DD3768">
      <w:pPr>
        <w:jc w:val="both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b/>
          <w:sz w:val="20"/>
          <w:lang w:val="en-GB"/>
        </w:rPr>
        <w:t>Fig. S3 Correlation of serum pNfH with GAA repeat length of the shorter allele (allele 1, a) and the longer allele (allele 2, b) in Friedreich’s ataxia</w:t>
      </w:r>
    </w:p>
    <w:p w:rsidR="00DD3768" w:rsidRDefault="00DD3768" w:rsidP="00DD3768">
      <w:pPr>
        <w:jc w:val="both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pNfH, phosphorylated neurofilament heavy chain</w:t>
      </w:r>
      <w:r>
        <w:rPr>
          <w:rFonts w:ascii="Arial" w:hAnsi="Arial" w:cs="Arial"/>
          <w:sz w:val="20"/>
          <w:lang w:val="en-GB"/>
        </w:rPr>
        <w:br w:type="page"/>
      </w:r>
    </w:p>
    <w:p w:rsidR="00DD3768" w:rsidRDefault="00DD3768" w:rsidP="00DD3768">
      <w:pPr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lastRenderedPageBreak/>
        <w:t>Supplementary Figure S4</w:t>
      </w:r>
    </w:p>
    <w:p w:rsidR="00DD3768" w:rsidRDefault="00DD3768" w:rsidP="00DD3768">
      <w:pPr>
        <w:rPr>
          <w:rFonts w:ascii="Arial" w:hAnsi="Arial" w:cs="Arial"/>
          <w:sz w:val="20"/>
          <w:lang w:val="en-GB"/>
        </w:rPr>
      </w:pPr>
    </w:p>
    <w:p w:rsidR="00DD3768" w:rsidRDefault="00DD3768" w:rsidP="00DD3768">
      <w:pPr>
        <w:jc w:val="both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noProof/>
          <w:sz w:val="20"/>
          <w:lang w:eastAsia="en-IN"/>
        </w:rPr>
        <w:drawing>
          <wp:inline distT="0" distB="0" distL="0" distR="0" wp14:anchorId="3AECD50F" wp14:editId="2AB684DB">
            <wp:extent cx="1910281" cy="303908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32665" cy="3074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768" w:rsidRDefault="00DD3768" w:rsidP="00DD3768">
      <w:pPr>
        <w:jc w:val="both"/>
        <w:rPr>
          <w:rFonts w:ascii="Arial" w:hAnsi="Arial" w:cs="Arial"/>
          <w:sz w:val="20"/>
          <w:lang w:val="en-GB"/>
        </w:rPr>
      </w:pPr>
    </w:p>
    <w:p w:rsidR="00DD3768" w:rsidRDefault="00DD3768" w:rsidP="00DD3768">
      <w:pPr>
        <w:jc w:val="both"/>
        <w:rPr>
          <w:rFonts w:ascii="Arial" w:hAnsi="Arial" w:cs="Arial"/>
          <w:sz w:val="20"/>
          <w:lang w:val="en-GB"/>
        </w:rPr>
      </w:pPr>
    </w:p>
    <w:p w:rsidR="00DD3768" w:rsidRDefault="00DD3768" w:rsidP="00DD3768">
      <w:pPr>
        <w:jc w:val="both"/>
        <w:rPr>
          <w:rFonts w:ascii="Arial" w:hAnsi="Arial" w:cs="Arial"/>
          <w:b/>
          <w:sz w:val="20"/>
          <w:lang w:val="en-GB"/>
        </w:rPr>
      </w:pPr>
      <w:r>
        <w:rPr>
          <w:rFonts w:ascii="Arial" w:hAnsi="Arial" w:cs="Arial"/>
          <w:b/>
          <w:sz w:val="20"/>
          <w:lang w:val="en-GB"/>
        </w:rPr>
        <w:t>Fig. S4 Increase of SARA over a period of two years</w:t>
      </w:r>
    </w:p>
    <w:p w:rsidR="00DD3768" w:rsidRDefault="00DD3768" w:rsidP="00DD3768">
      <w:pPr>
        <w:jc w:val="both"/>
        <w:rPr>
          <w:lang w:val="en-GB"/>
        </w:rPr>
      </w:pPr>
      <w:r>
        <w:rPr>
          <w:rFonts w:ascii="Arial" w:hAnsi="Arial" w:cs="Arial"/>
          <w:sz w:val="20"/>
          <w:lang w:val="en-GB"/>
        </w:rPr>
        <w:t xml:space="preserve">**p=0.07. </w:t>
      </w:r>
      <w:r>
        <w:rPr>
          <w:rFonts w:ascii="Arial" w:hAnsi="Arial" w:cs="Arial"/>
          <w:color w:val="000000" w:themeColor="text1"/>
          <w:sz w:val="20"/>
          <w:szCs w:val="20"/>
          <w:lang w:val="en-GB"/>
        </w:rPr>
        <w:t>Data represent median and 95% confidence interval</w:t>
      </w:r>
    </w:p>
    <w:p w:rsidR="00DD3768" w:rsidRDefault="00DD3768" w:rsidP="00DD3768">
      <w:pPr>
        <w:jc w:val="both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SARA, Scale for the Assessment and Rating of Ataxia</w:t>
      </w:r>
    </w:p>
    <w:p w:rsidR="0087161D" w:rsidRDefault="0087161D">
      <w:bookmarkStart w:id="0" w:name="_GoBack"/>
      <w:bookmarkEnd w:id="0"/>
    </w:p>
    <w:sectPr w:rsidR="0087161D">
      <w:footerReference w:type="even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32613381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895E4A" w:rsidRDefault="00DD37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895E4A" w:rsidRDefault="00DD376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  <w:rFonts w:ascii="Arial" w:hAnsi="Arial" w:cs="Arial"/>
        <w:sz w:val="20"/>
        <w:szCs w:val="20"/>
      </w:rPr>
      <w:id w:val="12843923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895E4A" w:rsidRDefault="00DD3768">
        <w:pPr>
          <w:pStyle w:val="Footer"/>
          <w:framePr w:wrap="none" w:vAnchor="text" w:hAnchor="margin" w:xAlign="right" w:y="1"/>
          <w:rPr>
            <w:rStyle w:val="PageNumber"/>
            <w:rFonts w:ascii="Arial" w:hAnsi="Arial" w:cs="Arial"/>
            <w:sz w:val="20"/>
            <w:szCs w:val="20"/>
          </w:rPr>
        </w:pPr>
        <w:r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>
          <w:rPr>
            <w:rStyle w:val="PageNumber"/>
            <w:rFonts w:ascii="Arial" w:hAnsi="Arial" w:cs="Arial"/>
            <w:noProof/>
            <w:sz w:val="20"/>
            <w:szCs w:val="20"/>
          </w:rPr>
          <w:t>4</w:t>
        </w:r>
        <w:r>
          <w:rPr>
            <w:rStyle w:val="PageNumber"/>
            <w:rFonts w:ascii="Arial" w:hAnsi="Arial" w:cs="Arial"/>
            <w:sz w:val="20"/>
            <w:szCs w:val="20"/>
          </w:rPr>
          <w:fldChar w:fldCharType="end"/>
        </w:r>
      </w:p>
    </w:sdtContent>
  </w:sdt>
  <w:p w:rsidR="00895E4A" w:rsidRDefault="00DD3768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768"/>
    <w:rsid w:val="00000974"/>
    <w:rsid w:val="00001393"/>
    <w:rsid w:val="00035CEF"/>
    <w:rsid w:val="00054370"/>
    <w:rsid w:val="00057CEC"/>
    <w:rsid w:val="0006166F"/>
    <w:rsid w:val="000C7844"/>
    <w:rsid w:val="000D7BA6"/>
    <w:rsid w:val="001027DD"/>
    <w:rsid w:val="001531F4"/>
    <w:rsid w:val="001A3E8F"/>
    <w:rsid w:val="001B2489"/>
    <w:rsid w:val="001C0D22"/>
    <w:rsid w:val="001C4AE9"/>
    <w:rsid w:val="001E6CED"/>
    <w:rsid w:val="00230A50"/>
    <w:rsid w:val="00257745"/>
    <w:rsid w:val="00280C1C"/>
    <w:rsid w:val="002F0A3D"/>
    <w:rsid w:val="002F25C6"/>
    <w:rsid w:val="002F5F00"/>
    <w:rsid w:val="00340508"/>
    <w:rsid w:val="00346C94"/>
    <w:rsid w:val="00367F8E"/>
    <w:rsid w:val="00387A32"/>
    <w:rsid w:val="003B2137"/>
    <w:rsid w:val="003B6219"/>
    <w:rsid w:val="003E4748"/>
    <w:rsid w:val="004244BC"/>
    <w:rsid w:val="00457AA9"/>
    <w:rsid w:val="00462540"/>
    <w:rsid w:val="004642C7"/>
    <w:rsid w:val="004937AF"/>
    <w:rsid w:val="0049444A"/>
    <w:rsid w:val="004B215F"/>
    <w:rsid w:val="004F1978"/>
    <w:rsid w:val="004F5EFD"/>
    <w:rsid w:val="00511A17"/>
    <w:rsid w:val="00530B7E"/>
    <w:rsid w:val="0055184D"/>
    <w:rsid w:val="00554355"/>
    <w:rsid w:val="0057718F"/>
    <w:rsid w:val="00587EA4"/>
    <w:rsid w:val="00590A34"/>
    <w:rsid w:val="005B13A4"/>
    <w:rsid w:val="005B2521"/>
    <w:rsid w:val="005C2802"/>
    <w:rsid w:val="005C7932"/>
    <w:rsid w:val="005D4827"/>
    <w:rsid w:val="005E4607"/>
    <w:rsid w:val="00601E75"/>
    <w:rsid w:val="00605ECE"/>
    <w:rsid w:val="00661DBC"/>
    <w:rsid w:val="006B0AA4"/>
    <w:rsid w:val="006E1264"/>
    <w:rsid w:val="00785F91"/>
    <w:rsid w:val="007959C7"/>
    <w:rsid w:val="007C79B5"/>
    <w:rsid w:val="007D0D5F"/>
    <w:rsid w:val="007F0482"/>
    <w:rsid w:val="0080293B"/>
    <w:rsid w:val="008046A4"/>
    <w:rsid w:val="008145E7"/>
    <w:rsid w:val="0082415B"/>
    <w:rsid w:val="008340E4"/>
    <w:rsid w:val="0087161D"/>
    <w:rsid w:val="00871EA3"/>
    <w:rsid w:val="00873D82"/>
    <w:rsid w:val="008C27C2"/>
    <w:rsid w:val="008F68D0"/>
    <w:rsid w:val="0090664B"/>
    <w:rsid w:val="00947A91"/>
    <w:rsid w:val="009714A4"/>
    <w:rsid w:val="009771C6"/>
    <w:rsid w:val="00980663"/>
    <w:rsid w:val="009A69F4"/>
    <w:rsid w:val="009C6FA1"/>
    <w:rsid w:val="00A03C25"/>
    <w:rsid w:val="00A06FB3"/>
    <w:rsid w:val="00A348EA"/>
    <w:rsid w:val="00A74641"/>
    <w:rsid w:val="00A84F01"/>
    <w:rsid w:val="00A96EE7"/>
    <w:rsid w:val="00AF22F3"/>
    <w:rsid w:val="00B00D7A"/>
    <w:rsid w:val="00B42B47"/>
    <w:rsid w:val="00B6310D"/>
    <w:rsid w:val="00B82360"/>
    <w:rsid w:val="00B905D3"/>
    <w:rsid w:val="00C14408"/>
    <w:rsid w:val="00C3523E"/>
    <w:rsid w:val="00C72748"/>
    <w:rsid w:val="00CE4FC9"/>
    <w:rsid w:val="00D018C3"/>
    <w:rsid w:val="00D260EF"/>
    <w:rsid w:val="00D3068A"/>
    <w:rsid w:val="00D41250"/>
    <w:rsid w:val="00D67EC0"/>
    <w:rsid w:val="00D8269F"/>
    <w:rsid w:val="00DB7A3B"/>
    <w:rsid w:val="00DC3ADA"/>
    <w:rsid w:val="00DD3768"/>
    <w:rsid w:val="00DE57EF"/>
    <w:rsid w:val="00E03164"/>
    <w:rsid w:val="00E16BD6"/>
    <w:rsid w:val="00E2674A"/>
    <w:rsid w:val="00E54DC3"/>
    <w:rsid w:val="00F03A59"/>
    <w:rsid w:val="00F40F29"/>
    <w:rsid w:val="00F71A56"/>
    <w:rsid w:val="00F75D0A"/>
    <w:rsid w:val="00F84CCF"/>
    <w:rsid w:val="00F86A6C"/>
    <w:rsid w:val="00FC0DB7"/>
    <w:rsid w:val="00FD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539D25-A533-409C-B080-3503802F4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D3768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DD3768"/>
    <w:rPr>
      <w:rFonts w:ascii="Times New Roman" w:eastAsia="Times New Roman" w:hAnsi="Times New Roman" w:cs="Times New Roman"/>
      <w:sz w:val="24"/>
      <w:szCs w:val="24"/>
      <w:lang w:val="de-DE"/>
    </w:rPr>
  </w:style>
  <w:style w:type="character" w:styleId="PageNumber">
    <w:name w:val="page number"/>
    <w:basedOn w:val="DefaultParagraphFont"/>
    <w:uiPriority w:val="99"/>
    <w:semiHidden/>
    <w:unhideWhenUsed/>
    <w:rsid w:val="00DD3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Megala Priya J.</dc:creator>
  <cp:keywords/>
  <dc:description/>
  <cp:lastModifiedBy>Megala Priya J.</cp:lastModifiedBy>
  <cp:revision>1</cp:revision>
  <dcterms:created xsi:type="dcterms:W3CDTF">2020-01-22T10:22:00Z</dcterms:created>
  <dcterms:modified xsi:type="dcterms:W3CDTF">2020-01-22T10:22:00Z</dcterms:modified>
</cp:coreProperties>
</file>