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A2515" w14:textId="0E2688D6" w:rsidR="00A6684F" w:rsidRDefault="00A6684F" w:rsidP="00A6684F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bookmarkStart w:id="0" w:name="_Hlk102398723"/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Supplementary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Table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. Trends in presurgical VEM modality during study period 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505"/>
        <w:gridCol w:w="1260"/>
        <w:gridCol w:w="1260"/>
        <w:gridCol w:w="1350"/>
        <w:gridCol w:w="1260"/>
        <w:gridCol w:w="1260"/>
      </w:tblGrid>
      <w:tr w:rsidR="00F27F9D" w:rsidRPr="002941A4" w14:paraId="4D388C16" w14:textId="77777777" w:rsidTr="006A66CE">
        <w:tc>
          <w:tcPr>
            <w:tcW w:w="3505" w:type="dxa"/>
            <w:vAlign w:val="center"/>
          </w:tcPr>
          <w:p w14:paraId="60116257" w14:textId="77777777" w:rsidR="00F27F9D" w:rsidRPr="002941A4" w:rsidRDefault="00F27F9D" w:rsidP="006A66CE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center"/>
          </w:tcPr>
          <w:p w14:paraId="15F69127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vertAlign w:val="superscript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1996-2001</w:t>
            </w:r>
            <w:r w:rsidRPr="002941A4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vAlign w:val="center"/>
          </w:tcPr>
          <w:p w14:paraId="2F2B4E13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2002-2006</w:t>
            </w:r>
          </w:p>
        </w:tc>
        <w:tc>
          <w:tcPr>
            <w:tcW w:w="1350" w:type="dxa"/>
            <w:vAlign w:val="center"/>
          </w:tcPr>
          <w:p w14:paraId="2B5EFEA1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2007-2011</w:t>
            </w:r>
          </w:p>
        </w:tc>
        <w:tc>
          <w:tcPr>
            <w:tcW w:w="1260" w:type="dxa"/>
            <w:vAlign w:val="center"/>
          </w:tcPr>
          <w:p w14:paraId="765B2427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2012-2016</w:t>
            </w:r>
          </w:p>
        </w:tc>
        <w:tc>
          <w:tcPr>
            <w:tcW w:w="1260" w:type="dxa"/>
            <w:vAlign w:val="center"/>
          </w:tcPr>
          <w:p w14:paraId="2186D8D1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vertAlign w:val="superscript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2017-2021</w:t>
            </w:r>
            <w:r w:rsidRPr="002941A4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</w:p>
        </w:tc>
      </w:tr>
      <w:tr w:rsidR="00F27F9D" w:rsidRPr="002941A4" w14:paraId="48C5B049" w14:textId="77777777" w:rsidTr="006A66CE">
        <w:tc>
          <w:tcPr>
            <w:tcW w:w="3505" w:type="dxa"/>
            <w:vAlign w:val="center"/>
          </w:tcPr>
          <w:p w14:paraId="0D6310BF" w14:textId="266C9EEF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sz w:val="20"/>
                <w:szCs w:val="20"/>
                <w:lang w:val="en-US"/>
              </w:rPr>
              <w:t>Total presurgical</w:t>
            </w:r>
            <w:r w:rsidRPr="002941A4">
              <w:rPr>
                <w:rFonts w:asciiTheme="minorBidi" w:hAnsiTheme="minorBidi"/>
                <w:sz w:val="20"/>
                <w:szCs w:val="20"/>
                <w:lang w:val="en-US"/>
              </w:rPr>
              <w:t xml:space="preserve"> VEM</w:t>
            </w:r>
            <w:r>
              <w:rPr>
                <w:rFonts w:asciiTheme="minorBidi" w:hAnsiTheme="minorBidi"/>
                <w:sz w:val="20"/>
                <w:szCs w:val="20"/>
                <w:lang w:val="en-US"/>
              </w:rPr>
              <w:t xml:space="preserve">, N </w:t>
            </w:r>
            <w:r w:rsidRPr="002941A4">
              <w:rPr>
                <w:rFonts w:asciiTheme="minorBidi" w:hAnsiTheme="minorBidi"/>
                <w:sz w:val="20"/>
                <w:szCs w:val="20"/>
                <w:lang w:val="en-US"/>
              </w:rPr>
              <w:t xml:space="preserve">(scalp, </w:t>
            </w:r>
            <w:r>
              <w:rPr>
                <w:rFonts w:asciiTheme="minorBidi" w:hAnsiTheme="minorBidi"/>
                <w:sz w:val="20"/>
                <w:szCs w:val="20"/>
                <w:lang w:val="en-US"/>
              </w:rPr>
              <w:t>FOP</w:t>
            </w:r>
            <w:r w:rsidRPr="002941A4">
              <w:rPr>
                <w:rFonts w:asciiTheme="minorBidi" w:hAnsiTheme="minorBidi"/>
                <w:sz w:val="20"/>
                <w:szCs w:val="20"/>
                <w:lang w:val="en-US"/>
              </w:rPr>
              <w:t>, or invasive)</w:t>
            </w:r>
          </w:p>
        </w:tc>
        <w:tc>
          <w:tcPr>
            <w:tcW w:w="1260" w:type="dxa"/>
            <w:vAlign w:val="center"/>
          </w:tcPr>
          <w:p w14:paraId="2C862051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554</w:t>
            </w:r>
          </w:p>
        </w:tc>
        <w:tc>
          <w:tcPr>
            <w:tcW w:w="1260" w:type="dxa"/>
            <w:vAlign w:val="center"/>
          </w:tcPr>
          <w:p w14:paraId="30928E5B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579</w:t>
            </w:r>
          </w:p>
        </w:tc>
        <w:tc>
          <w:tcPr>
            <w:tcW w:w="1350" w:type="dxa"/>
            <w:vAlign w:val="center"/>
          </w:tcPr>
          <w:p w14:paraId="016C051D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585</w:t>
            </w:r>
          </w:p>
        </w:tc>
        <w:tc>
          <w:tcPr>
            <w:tcW w:w="1260" w:type="dxa"/>
            <w:vAlign w:val="center"/>
          </w:tcPr>
          <w:p w14:paraId="280CEB06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661</w:t>
            </w:r>
          </w:p>
        </w:tc>
        <w:tc>
          <w:tcPr>
            <w:tcW w:w="1260" w:type="dxa"/>
            <w:vAlign w:val="center"/>
          </w:tcPr>
          <w:p w14:paraId="12A11595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535</w:t>
            </w:r>
          </w:p>
        </w:tc>
      </w:tr>
      <w:tr w:rsidR="00F27F9D" w:rsidRPr="002941A4" w14:paraId="403588F9" w14:textId="77777777" w:rsidTr="006A66CE">
        <w:tc>
          <w:tcPr>
            <w:tcW w:w="3505" w:type="dxa"/>
            <w:vAlign w:val="center"/>
          </w:tcPr>
          <w:p w14:paraId="6308B6B9" w14:textId="1C05D29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sz w:val="20"/>
                <w:szCs w:val="20"/>
                <w:lang w:val="en-US"/>
              </w:rPr>
              <w:t>FOP</w:t>
            </w:r>
            <w:r w:rsidRPr="002941A4">
              <w:rPr>
                <w:rFonts w:asciiTheme="minorBidi" w:hAnsiTheme="minorBidi"/>
                <w:sz w:val="20"/>
                <w:szCs w:val="20"/>
                <w:lang w:val="en-US"/>
              </w:rPr>
              <w:t xml:space="preserve"> VEM, N (% of </w:t>
            </w:r>
            <w:proofErr w:type="gramStart"/>
            <w:r w:rsidRPr="002941A4">
              <w:rPr>
                <w:rFonts w:asciiTheme="minorBidi" w:hAnsiTheme="minorBidi"/>
                <w:sz w:val="20"/>
                <w:szCs w:val="20"/>
                <w:lang w:val="en-US"/>
              </w:rPr>
              <w:t>total)</w:t>
            </w:r>
            <w:r w:rsidRPr="003B3377">
              <w:rPr>
                <w:rFonts w:asciiTheme="minorBidi" w:hAnsiTheme="minorBidi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260" w:type="dxa"/>
            <w:vAlign w:val="center"/>
          </w:tcPr>
          <w:p w14:paraId="6056C367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49 (8.8%)</w:t>
            </w:r>
          </w:p>
        </w:tc>
        <w:tc>
          <w:tcPr>
            <w:tcW w:w="1260" w:type="dxa"/>
            <w:vAlign w:val="center"/>
          </w:tcPr>
          <w:p w14:paraId="7B932B58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36 (6.2%)</w:t>
            </w:r>
          </w:p>
        </w:tc>
        <w:tc>
          <w:tcPr>
            <w:tcW w:w="1350" w:type="dxa"/>
            <w:vAlign w:val="center"/>
          </w:tcPr>
          <w:p w14:paraId="57F2C282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33 (5.6%)</w:t>
            </w:r>
          </w:p>
        </w:tc>
        <w:tc>
          <w:tcPr>
            <w:tcW w:w="1260" w:type="dxa"/>
            <w:vAlign w:val="center"/>
          </w:tcPr>
          <w:p w14:paraId="171CD2AA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33 (4.9%)</w:t>
            </w:r>
          </w:p>
        </w:tc>
        <w:tc>
          <w:tcPr>
            <w:tcW w:w="1260" w:type="dxa"/>
            <w:vAlign w:val="center"/>
          </w:tcPr>
          <w:p w14:paraId="47CA8AA4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29 (5.4%)</w:t>
            </w:r>
          </w:p>
        </w:tc>
      </w:tr>
      <w:tr w:rsidR="00F27F9D" w:rsidRPr="006A66CE" w14:paraId="46D2DEDF" w14:textId="77777777" w:rsidTr="006A66CE">
        <w:tc>
          <w:tcPr>
            <w:tcW w:w="3505" w:type="dxa"/>
            <w:vAlign w:val="center"/>
          </w:tcPr>
          <w:p w14:paraId="60D498AA" w14:textId="7C0D0F03" w:rsidR="00F27F9D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sz w:val="20"/>
                <w:szCs w:val="20"/>
                <w:lang w:val="en-US"/>
              </w:rPr>
              <w:t>Invasive VEM, N (% of total)</w:t>
            </w:r>
          </w:p>
        </w:tc>
        <w:tc>
          <w:tcPr>
            <w:tcW w:w="1260" w:type="dxa"/>
            <w:vAlign w:val="center"/>
          </w:tcPr>
          <w:p w14:paraId="56F1944A" w14:textId="77777777" w:rsidR="00F27F9D" w:rsidRPr="006A66CE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sz w:val="20"/>
                <w:szCs w:val="20"/>
                <w:lang w:val="en-US"/>
              </w:rPr>
              <w:t>63 (11.3%)</w:t>
            </w:r>
          </w:p>
        </w:tc>
        <w:tc>
          <w:tcPr>
            <w:tcW w:w="1260" w:type="dxa"/>
            <w:vAlign w:val="center"/>
          </w:tcPr>
          <w:p w14:paraId="0CD2AF41" w14:textId="77777777" w:rsidR="00F27F9D" w:rsidRPr="006A66CE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sz w:val="20"/>
                <w:szCs w:val="20"/>
                <w:lang w:val="en-US"/>
              </w:rPr>
              <w:t>35 (6.0%)</w:t>
            </w:r>
          </w:p>
        </w:tc>
        <w:tc>
          <w:tcPr>
            <w:tcW w:w="1350" w:type="dxa"/>
            <w:vAlign w:val="center"/>
          </w:tcPr>
          <w:p w14:paraId="099A1853" w14:textId="77777777" w:rsidR="00F27F9D" w:rsidRPr="006A66CE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sz w:val="20"/>
                <w:szCs w:val="20"/>
                <w:lang w:val="en-US"/>
              </w:rPr>
              <w:t>42 (7.2%)</w:t>
            </w:r>
          </w:p>
        </w:tc>
        <w:tc>
          <w:tcPr>
            <w:tcW w:w="1260" w:type="dxa"/>
            <w:vAlign w:val="center"/>
          </w:tcPr>
          <w:p w14:paraId="77A3D51B" w14:textId="77777777" w:rsidR="00F27F9D" w:rsidRPr="006A66CE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sz w:val="20"/>
                <w:szCs w:val="20"/>
                <w:lang w:val="en-US"/>
              </w:rPr>
              <w:t>71 (10.7%)</w:t>
            </w:r>
          </w:p>
        </w:tc>
        <w:tc>
          <w:tcPr>
            <w:tcW w:w="1260" w:type="dxa"/>
            <w:vAlign w:val="center"/>
          </w:tcPr>
          <w:p w14:paraId="63336C69" w14:textId="77777777" w:rsidR="00F27F9D" w:rsidRPr="006A66CE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sz w:val="20"/>
                <w:szCs w:val="20"/>
                <w:lang w:val="en-US"/>
              </w:rPr>
              <w:t>66 (12.3%)</w:t>
            </w:r>
          </w:p>
        </w:tc>
      </w:tr>
      <w:tr w:rsidR="00F27F9D" w:rsidRPr="002941A4" w14:paraId="009059DB" w14:textId="77777777" w:rsidTr="006A66CE">
        <w:tc>
          <w:tcPr>
            <w:tcW w:w="3505" w:type="dxa"/>
            <w:vAlign w:val="center"/>
          </w:tcPr>
          <w:p w14:paraId="22BCEBFA" w14:textId="3A6275F5" w:rsidR="00F27F9D" w:rsidRPr="002941A4" w:rsidRDefault="007E3C9C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bookmarkStart w:id="1" w:name="_Hlk103156173"/>
            <w:r w:rsidRPr="007E3C9C">
              <w:rPr>
                <w:rFonts w:asciiTheme="minorBidi" w:hAnsiTheme="minorBidi"/>
                <w:sz w:val="20"/>
                <w:szCs w:val="20"/>
                <w:lang w:val="en-US"/>
              </w:rPr>
              <w:t xml:space="preserve">Recommended Invasive VEM following FOP VEM, N (% of FOP </w:t>
            </w:r>
            <w:proofErr w:type="gramStart"/>
            <w:r w:rsidRPr="007E3C9C">
              <w:rPr>
                <w:rFonts w:asciiTheme="minorBidi" w:hAnsiTheme="minorBidi"/>
                <w:sz w:val="20"/>
                <w:szCs w:val="20"/>
                <w:lang w:val="en-US"/>
              </w:rPr>
              <w:t>VEM)</w:t>
            </w:r>
            <w:r w:rsidRPr="007E3C9C">
              <w:rPr>
                <w:rFonts w:asciiTheme="minorBidi" w:hAnsiTheme="minorBidi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260" w:type="dxa"/>
            <w:vAlign w:val="center"/>
          </w:tcPr>
          <w:p w14:paraId="44B59CED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24 (48.9%)</w:t>
            </w:r>
          </w:p>
        </w:tc>
        <w:tc>
          <w:tcPr>
            <w:tcW w:w="1260" w:type="dxa"/>
            <w:vAlign w:val="center"/>
          </w:tcPr>
          <w:p w14:paraId="06521867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6 (16.6%)</w:t>
            </w:r>
          </w:p>
        </w:tc>
        <w:tc>
          <w:tcPr>
            <w:tcW w:w="1350" w:type="dxa"/>
            <w:vAlign w:val="center"/>
          </w:tcPr>
          <w:p w14:paraId="167ED4E7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9 (27.2%)</w:t>
            </w:r>
          </w:p>
        </w:tc>
        <w:tc>
          <w:tcPr>
            <w:tcW w:w="1260" w:type="dxa"/>
            <w:vAlign w:val="center"/>
          </w:tcPr>
          <w:p w14:paraId="1ABA5F36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11 (33.3%)</w:t>
            </w:r>
          </w:p>
        </w:tc>
        <w:tc>
          <w:tcPr>
            <w:tcW w:w="1260" w:type="dxa"/>
            <w:vAlign w:val="center"/>
          </w:tcPr>
          <w:p w14:paraId="7AE3646B" w14:textId="77777777" w:rsidR="00F27F9D" w:rsidRPr="002941A4" w:rsidRDefault="00F27F9D" w:rsidP="006A66C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2941A4">
              <w:rPr>
                <w:rFonts w:asciiTheme="minorBidi" w:hAnsiTheme="minorBidi"/>
                <w:sz w:val="20"/>
                <w:szCs w:val="20"/>
              </w:rPr>
              <w:t>9 (31.0%)</w:t>
            </w:r>
          </w:p>
        </w:tc>
      </w:tr>
    </w:tbl>
    <w:bookmarkEnd w:id="0"/>
    <w:bookmarkEnd w:id="1"/>
    <w:p w14:paraId="379AD74C" w14:textId="4D1144A4" w:rsidR="00A6684F" w:rsidRPr="00A6684F" w:rsidRDefault="007E3C9C" w:rsidP="007E3C9C">
      <w:pPr>
        <w:spacing w:line="360" w:lineRule="auto"/>
        <w:rPr>
          <w:lang w:val="en-US"/>
        </w:rPr>
      </w:pPr>
      <w:r w:rsidRPr="007E3C9C">
        <w:rPr>
          <w:rFonts w:asciiTheme="majorBidi" w:hAnsiTheme="majorBidi" w:cstheme="majorBidi"/>
          <w:sz w:val="20"/>
          <w:szCs w:val="20"/>
          <w:lang w:val="en-US"/>
        </w:rPr>
        <w:t xml:space="preserve">Abbreviations: VEM - video-EEG monitoring; FOP - foramen </w:t>
      </w:r>
      <w:proofErr w:type="spellStart"/>
      <w:r w:rsidRPr="007E3C9C">
        <w:rPr>
          <w:rFonts w:asciiTheme="majorBidi" w:hAnsiTheme="majorBidi" w:cstheme="majorBidi"/>
          <w:sz w:val="20"/>
          <w:szCs w:val="20"/>
          <w:lang w:val="en-US"/>
        </w:rPr>
        <w:t>ovale</w:t>
      </w:r>
      <w:proofErr w:type="spellEnd"/>
      <w:r w:rsidRPr="007E3C9C">
        <w:rPr>
          <w:rFonts w:asciiTheme="majorBidi" w:hAnsiTheme="majorBidi" w:cstheme="majorBidi"/>
          <w:sz w:val="20"/>
          <w:szCs w:val="20"/>
          <w:lang w:val="en-US"/>
        </w:rPr>
        <w:t xml:space="preserve"> and peg electrode. Invasive VEM diagnostics include subdural and stereotactic depth EEG. </w:t>
      </w:r>
      <w:proofErr w:type="spellStart"/>
      <w:r w:rsidRPr="007E3C9C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a</w:t>
      </w:r>
      <w:proofErr w:type="spellEnd"/>
      <w:r w:rsidRPr="007E3C9C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 xml:space="preserve"> </w:t>
      </w:r>
      <w:r w:rsidRPr="007E3C9C">
        <w:rPr>
          <w:rFonts w:asciiTheme="majorBidi" w:hAnsiTheme="majorBidi" w:cstheme="majorBidi"/>
          <w:sz w:val="20"/>
          <w:szCs w:val="20"/>
          <w:lang w:val="en-US"/>
        </w:rPr>
        <w:t xml:space="preserve">During the years 1996 and 2021, only 6 months were included in the study period. </w:t>
      </w:r>
      <w:r w:rsidRPr="007E3C9C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b</w:t>
      </w:r>
      <w:r w:rsidRPr="007E3C9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7E3C9C">
        <w:rPr>
          <w:rFonts w:asciiTheme="majorBidi" w:hAnsiTheme="majorBidi" w:cstheme="majorBidi"/>
          <w:sz w:val="20"/>
          <w:szCs w:val="20"/>
          <w:lang w:val="en-US"/>
        </w:rPr>
        <w:t>In</w:t>
      </w:r>
      <w:proofErr w:type="gramEnd"/>
      <w:r w:rsidRPr="007E3C9C">
        <w:rPr>
          <w:rFonts w:asciiTheme="majorBidi" w:hAnsiTheme="majorBidi" w:cstheme="majorBidi"/>
          <w:sz w:val="20"/>
          <w:szCs w:val="20"/>
          <w:lang w:val="en-US"/>
        </w:rPr>
        <w:t xml:space="preserve"> the years 1996-2001, a significantly higher rate of patients underwent FOP VEM (p = .03) and required additional invasive diagnostics (p = .03).</w:t>
      </w:r>
    </w:p>
    <w:p w14:paraId="5189496A" w14:textId="77777777" w:rsidR="007E3C9C" w:rsidRPr="00A6684F" w:rsidRDefault="007E3C9C">
      <w:pPr>
        <w:spacing w:line="360" w:lineRule="auto"/>
        <w:rPr>
          <w:lang w:val="en-US"/>
        </w:rPr>
      </w:pPr>
    </w:p>
    <w:sectPr w:rsidR="007E3C9C" w:rsidRPr="00A6684F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84F"/>
    <w:rsid w:val="00642A80"/>
    <w:rsid w:val="007E3C9C"/>
    <w:rsid w:val="008B4C83"/>
    <w:rsid w:val="008F7145"/>
    <w:rsid w:val="00A6684F"/>
    <w:rsid w:val="00F2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D99AE"/>
  <w15:chartTrackingRefBased/>
  <w15:docId w15:val="{9D590B3E-48C2-4061-BAB4-149BDC39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42A8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27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7F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7F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Gadi Miron</dc:creator>
  <cp:keywords/>
  <dc:description/>
  <cp:lastModifiedBy>Gadi Miron</cp:lastModifiedBy>
  <cp:revision>2</cp:revision>
  <dcterms:created xsi:type="dcterms:W3CDTF">2022-05-11T09:24:00Z</dcterms:created>
  <dcterms:modified xsi:type="dcterms:W3CDTF">2022-05-11T09:24:00Z</dcterms:modified>
</cp:coreProperties>
</file>