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B7D94D" w14:textId="77777777" w:rsidR="009105DE" w:rsidRPr="00E37DE2" w:rsidRDefault="009105DE" w:rsidP="009105DE">
      <w:pPr>
        <w:widowControl w:val="0"/>
        <w:autoSpaceDE w:val="0"/>
        <w:autoSpaceDN w:val="0"/>
        <w:spacing w:before="1" w:after="0" w:line="360" w:lineRule="auto"/>
        <w:jc w:val="center"/>
        <w:rPr>
          <w:rFonts w:eastAsia="Times New Roman" w:cs="Times New Roman"/>
          <w:b/>
          <w:bCs/>
          <w:color w:val="2D2D2D"/>
          <w:sz w:val="32"/>
          <w:szCs w:val="32"/>
          <w:shd w:val="clear" w:color="auto" w:fill="FFFFFF"/>
          <w:lang w:val="en-US"/>
        </w:rPr>
      </w:pPr>
      <w:r w:rsidRPr="00E37DE2">
        <w:rPr>
          <w:rFonts w:eastAsia="Times New Roman" w:cs="Times New Roman"/>
          <w:b/>
          <w:bCs/>
          <w:color w:val="2D2D2D"/>
          <w:sz w:val="32"/>
          <w:szCs w:val="32"/>
          <w:shd w:val="clear" w:color="auto" w:fill="FFFFFF"/>
          <w:lang w:val="en-US"/>
        </w:rPr>
        <w:t>Transcranial Magnetic Stimulation treatment in Alzheimer’s Disease: a meta-analysis of its efficacy as a function of protocol characteristic</w:t>
      </w:r>
      <w:r>
        <w:rPr>
          <w:rFonts w:eastAsia="Times New Roman" w:cs="Times New Roman"/>
          <w:b/>
          <w:bCs/>
          <w:color w:val="2D2D2D"/>
          <w:sz w:val="32"/>
          <w:szCs w:val="32"/>
          <w:shd w:val="clear" w:color="auto" w:fill="FFFFFF"/>
          <w:lang w:val="en-US"/>
        </w:rPr>
        <w:t>s and degree of personalization</w:t>
      </w:r>
    </w:p>
    <w:p w14:paraId="661842ED" w14:textId="77777777" w:rsidR="009105DE" w:rsidRPr="00EB2A9E" w:rsidRDefault="009105DE" w:rsidP="009105DE">
      <w:pPr>
        <w:widowControl w:val="0"/>
        <w:autoSpaceDE w:val="0"/>
        <w:autoSpaceDN w:val="0"/>
        <w:spacing w:before="1" w:after="0" w:line="360" w:lineRule="auto"/>
        <w:jc w:val="center"/>
        <w:rPr>
          <w:rFonts w:eastAsia="Times New Roman" w:cs="Times New Roman"/>
          <w:color w:val="2D2D2D"/>
          <w:sz w:val="22"/>
          <w:shd w:val="clear" w:color="auto" w:fill="FFFFFF"/>
          <w:lang w:val="en-US"/>
        </w:rPr>
      </w:pPr>
    </w:p>
    <w:p w14:paraId="4BCC63C6" w14:textId="7E539077" w:rsidR="009105DE" w:rsidRPr="006E7AFC" w:rsidRDefault="009105DE" w:rsidP="009105DE">
      <w:pPr>
        <w:jc w:val="center"/>
        <w:outlineLvl w:val="0"/>
        <w:rPr>
          <w:bCs/>
          <w:sz w:val="22"/>
          <w:szCs w:val="20"/>
          <w:vertAlign w:val="superscript"/>
          <w:lang w:val="it-IT"/>
        </w:rPr>
      </w:pPr>
      <w:r>
        <w:rPr>
          <w:bCs/>
          <w:sz w:val="22"/>
          <w:szCs w:val="20"/>
          <w:lang w:val="it-IT"/>
        </w:rPr>
        <w:t>Arianna Menardi</w:t>
      </w:r>
      <w:r>
        <w:rPr>
          <w:bCs/>
          <w:sz w:val="22"/>
          <w:szCs w:val="20"/>
          <w:vertAlign w:val="superscript"/>
          <w:lang w:val="it-IT"/>
        </w:rPr>
        <w:t>1</w:t>
      </w:r>
      <w:r w:rsidR="00833290">
        <w:rPr>
          <w:bCs/>
          <w:sz w:val="22"/>
          <w:szCs w:val="20"/>
          <w:vertAlign w:val="superscript"/>
          <w:lang w:val="it-IT"/>
        </w:rPr>
        <w:t>,2,</w:t>
      </w:r>
      <w:r w:rsidRPr="00E37DE2">
        <w:rPr>
          <w:bCs/>
          <w:szCs w:val="20"/>
          <w:vertAlign w:val="superscript"/>
          <w:lang w:val="it-IT"/>
        </w:rPr>
        <w:t>†</w:t>
      </w:r>
      <w:r>
        <w:rPr>
          <w:bCs/>
          <w:szCs w:val="20"/>
          <w:vertAlign w:val="superscript"/>
          <w:lang w:val="it-IT"/>
        </w:rPr>
        <w:t>*</w:t>
      </w:r>
      <w:r w:rsidRPr="00EB2A9E">
        <w:rPr>
          <w:bCs/>
          <w:sz w:val="22"/>
          <w:szCs w:val="20"/>
          <w:lang w:val="it-IT"/>
        </w:rPr>
        <w:t xml:space="preserve">, </w:t>
      </w:r>
      <w:r>
        <w:rPr>
          <w:bCs/>
          <w:sz w:val="22"/>
          <w:szCs w:val="20"/>
          <w:lang w:val="it-IT"/>
        </w:rPr>
        <w:t xml:space="preserve">Lisa </w:t>
      </w:r>
      <w:r w:rsidR="00833290">
        <w:rPr>
          <w:bCs/>
          <w:sz w:val="22"/>
          <w:szCs w:val="20"/>
          <w:lang w:val="it-IT"/>
        </w:rPr>
        <w:t>Dotti</w:t>
      </w:r>
      <w:r w:rsidR="00833290">
        <w:rPr>
          <w:bCs/>
          <w:sz w:val="22"/>
          <w:szCs w:val="20"/>
          <w:vertAlign w:val="superscript"/>
          <w:lang w:val="it-IT"/>
        </w:rPr>
        <w:t>3</w:t>
      </w:r>
      <w:r w:rsidRPr="00E37DE2">
        <w:rPr>
          <w:bCs/>
          <w:szCs w:val="20"/>
          <w:vertAlign w:val="superscript"/>
          <w:lang w:val="it-IT"/>
        </w:rPr>
        <w:t>†</w:t>
      </w:r>
      <w:r w:rsidRPr="00EB2A9E">
        <w:rPr>
          <w:bCs/>
          <w:sz w:val="22"/>
          <w:szCs w:val="20"/>
          <w:lang w:val="it-IT"/>
        </w:rPr>
        <w:t xml:space="preserve">, </w:t>
      </w:r>
      <w:r>
        <w:rPr>
          <w:bCs/>
          <w:sz w:val="22"/>
          <w:szCs w:val="20"/>
          <w:lang w:val="it-IT"/>
        </w:rPr>
        <w:t xml:space="preserve">Ettore </w:t>
      </w:r>
      <w:r w:rsidRPr="00EB2A9E">
        <w:rPr>
          <w:bCs/>
          <w:sz w:val="22"/>
          <w:szCs w:val="20"/>
          <w:lang w:val="it-IT"/>
        </w:rPr>
        <w:t>Ambrosini</w:t>
      </w:r>
      <w:r>
        <w:rPr>
          <w:bCs/>
          <w:sz w:val="22"/>
          <w:szCs w:val="20"/>
          <w:vertAlign w:val="superscript"/>
          <w:lang w:val="it-IT"/>
        </w:rPr>
        <w:t>1</w:t>
      </w:r>
      <w:r w:rsidR="00833290">
        <w:rPr>
          <w:bCs/>
          <w:sz w:val="22"/>
          <w:szCs w:val="20"/>
          <w:vertAlign w:val="superscript"/>
          <w:lang w:val="it-IT"/>
        </w:rPr>
        <w:t>,2</w:t>
      </w:r>
      <w:r w:rsidR="00824EF7">
        <w:rPr>
          <w:bCs/>
          <w:sz w:val="22"/>
          <w:szCs w:val="20"/>
          <w:vertAlign w:val="superscript"/>
          <w:lang w:val="it-IT"/>
        </w:rPr>
        <w:t>,3</w:t>
      </w:r>
      <w:r w:rsidRPr="00EB2A9E">
        <w:rPr>
          <w:bCs/>
          <w:sz w:val="22"/>
          <w:szCs w:val="20"/>
          <w:lang w:val="it-IT"/>
        </w:rPr>
        <w:t xml:space="preserve">, </w:t>
      </w:r>
      <w:r>
        <w:rPr>
          <w:bCs/>
          <w:sz w:val="22"/>
          <w:szCs w:val="20"/>
          <w:lang w:val="it-IT"/>
        </w:rPr>
        <w:t xml:space="preserve">Antonino </w:t>
      </w:r>
      <w:r w:rsidRPr="00EB2A9E">
        <w:rPr>
          <w:bCs/>
          <w:sz w:val="22"/>
          <w:szCs w:val="20"/>
          <w:lang w:val="it-IT"/>
        </w:rPr>
        <w:t>Vallesi</w:t>
      </w:r>
      <w:r>
        <w:rPr>
          <w:bCs/>
          <w:sz w:val="22"/>
          <w:szCs w:val="20"/>
          <w:vertAlign w:val="superscript"/>
          <w:lang w:val="it-IT"/>
        </w:rPr>
        <w:t>1</w:t>
      </w:r>
      <w:r w:rsidR="00833290">
        <w:rPr>
          <w:bCs/>
          <w:sz w:val="22"/>
          <w:szCs w:val="20"/>
          <w:vertAlign w:val="superscript"/>
          <w:lang w:val="it-IT"/>
        </w:rPr>
        <w:t>,2</w:t>
      </w:r>
    </w:p>
    <w:p w14:paraId="7B1C8F6C" w14:textId="77777777" w:rsidR="009105DE" w:rsidRPr="00EB2A9E" w:rsidRDefault="009105DE" w:rsidP="009105DE">
      <w:pPr>
        <w:rPr>
          <w:b/>
          <w:bCs/>
          <w:szCs w:val="20"/>
          <w:lang w:val="it-IT"/>
        </w:rPr>
      </w:pPr>
    </w:p>
    <w:p w14:paraId="11B7230A" w14:textId="119B001B" w:rsidR="009105DE" w:rsidRDefault="009105DE" w:rsidP="009105DE">
      <w:pPr>
        <w:pStyle w:val="Paragrafoelenco"/>
        <w:numPr>
          <w:ilvl w:val="0"/>
          <w:numId w:val="1"/>
        </w:numPr>
        <w:rPr>
          <w:bCs/>
          <w:sz w:val="20"/>
          <w:szCs w:val="20"/>
          <w:lang w:val="en-US"/>
        </w:rPr>
      </w:pPr>
      <w:r>
        <w:rPr>
          <w:bCs/>
          <w:sz w:val="20"/>
          <w:szCs w:val="20"/>
          <w:lang w:val="en-US"/>
        </w:rPr>
        <w:t>Department of Neuroscience, University of Padova, Padova, Italy</w:t>
      </w:r>
    </w:p>
    <w:p w14:paraId="025FD039" w14:textId="1066F711" w:rsidR="00833290" w:rsidRPr="009A1B62" w:rsidRDefault="00833290" w:rsidP="00833290">
      <w:pPr>
        <w:pStyle w:val="Paragrafoelenco"/>
        <w:numPr>
          <w:ilvl w:val="0"/>
          <w:numId w:val="1"/>
        </w:numPr>
        <w:rPr>
          <w:bCs/>
          <w:sz w:val="20"/>
          <w:szCs w:val="20"/>
          <w:lang w:val="it-IT"/>
        </w:rPr>
      </w:pPr>
      <w:r w:rsidRPr="009A1B62">
        <w:rPr>
          <w:bCs/>
          <w:sz w:val="20"/>
          <w:szCs w:val="20"/>
          <w:lang w:val="it-IT"/>
        </w:rPr>
        <w:t>Padova Neuroscience Center, University of Padova, Padova, Italy</w:t>
      </w:r>
    </w:p>
    <w:p w14:paraId="39C7F366" w14:textId="77777777" w:rsidR="009105DE" w:rsidRDefault="009105DE" w:rsidP="009105DE">
      <w:pPr>
        <w:pStyle w:val="Paragrafoelenco"/>
        <w:numPr>
          <w:ilvl w:val="0"/>
          <w:numId w:val="1"/>
        </w:numPr>
        <w:rPr>
          <w:bCs/>
          <w:sz w:val="20"/>
          <w:szCs w:val="20"/>
          <w:lang w:val="en-US"/>
        </w:rPr>
      </w:pPr>
      <w:r w:rsidRPr="006E7AFC">
        <w:rPr>
          <w:bCs/>
          <w:sz w:val="20"/>
          <w:szCs w:val="20"/>
          <w:lang w:val="en-US"/>
        </w:rPr>
        <w:t>Department of General Psychology, University of Padova, Padova, Italy</w:t>
      </w:r>
    </w:p>
    <w:p w14:paraId="46D175CF" w14:textId="77777777" w:rsidR="009105DE" w:rsidRPr="006E7AFC" w:rsidRDefault="009105DE" w:rsidP="009105DE">
      <w:pPr>
        <w:rPr>
          <w:b/>
          <w:bCs/>
          <w:szCs w:val="20"/>
          <w:lang w:val="en-US"/>
        </w:rPr>
      </w:pPr>
    </w:p>
    <w:p w14:paraId="6CA1534C" w14:textId="77777777" w:rsidR="009105DE" w:rsidRPr="006E7AFC" w:rsidRDefault="009105DE" w:rsidP="009105DE">
      <w:pPr>
        <w:rPr>
          <w:b/>
          <w:bCs/>
          <w:szCs w:val="20"/>
          <w:lang w:val="en-US"/>
        </w:rPr>
      </w:pPr>
    </w:p>
    <w:p w14:paraId="0405874B" w14:textId="77777777" w:rsidR="009105DE" w:rsidRPr="00E37DE2" w:rsidRDefault="009105DE" w:rsidP="009105DE">
      <w:pPr>
        <w:outlineLvl w:val="0"/>
        <w:rPr>
          <w:b/>
          <w:bCs/>
          <w:sz w:val="22"/>
          <w:szCs w:val="20"/>
        </w:rPr>
      </w:pPr>
      <w:r w:rsidRPr="00E37DE2">
        <w:rPr>
          <w:b/>
          <w:bCs/>
          <w:sz w:val="22"/>
          <w:szCs w:val="20"/>
        </w:rPr>
        <w:t xml:space="preserve">Running Head: </w:t>
      </w:r>
      <w:r w:rsidRPr="00D73617">
        <w:rPr>
          <w:bCs/>
          <w:sz w:val="22"/>
          <w:szCs w:val="20"/>
        </w:rPr>
        <w:t>TMS efficacy in AD</w:t>
      </w:r>
      <w:r>
        <w:rPr>
          <w:b/>
          <w:bCs/>
          <w:sz w:val="22"/>
          <w:szCs w:val="20"/>
        </w:rPr>
        <w:t xml:space="preserve"> </w:t>
      </w:r>
    </w:p>
    <w:p w14:paraId="63240550" w14:textId="77777777" w:rsidR="009105DE" w:rsidRPr="00E37DE2" w:rsidRDefault="009105DE" w:rsidP="009105DE">
      <w:pPr>
        <w:outlineLvl w:val="0"/>
        <w:rPr>
          <w:b/>
          <w:bCs/>
          <w:sz w:val="22"/>
          <w:szCs w:val="20"/>
        </w:rPr>
      </w:pPr>
      <w:r w:rsidRPr="00E37DE2">
        <w:rPr>
          <w:b/>
          <w:bCs/>
          <w:sz w:val="22"/>
          <w:szCs w:val="20"/>
        </w:rPr>
        <w:t>Number of Figures:</w:t>
      </w:r>
      <w:r w:rsidRPr="00D73617">
        <w:rPr>
          <w:bCs/>
          <w:sz w:val="22"/>
          <w:szCs w:val="20"/>
        </w:rPr>
        <w:t xml:space="preserve"> 6</w:t>
      </w:r>
    </w:p>
    <w:p w14:paraId="77ECA952" w14:textId="77777777" w:rsidR="009105DE" w:rsidRDefault="009105DE" w:rsidP="009105DE">
      <w:pPr>
        <w:outlineLvl w:val="0"/>
        <w:rPr>
          <w:bCs/>
          <w:sz w:val="22"/>
          <w:szCs w:val="20"/>
        </w:rPr>
      </w:pPr>
      <w:r w:rsidRPr="00E37DE2">
        <w:rPr>
          <w:b/>
          <w:bCs/>
          <w:sz w:val="22"/>
          <w:szCs w:val="20"/>
        </w:rPr>
        <w:t>Number of Table</w:t>
      </w:r>
      <w:r>
        <w:rPr>
          <w:b/>
          <w:bCs/>
          <w:sz w:val="22"/>
          <w:szCs w:val="20"/>
        </w:rPr>
        <w:t>s</w:t>
      </w:r>
      <w:r w:rsidRPr="00E37DE2">
        <w:rPr>
          <w:b/>
          <w:bCs/>
          <w:sz w:val="22"/>
          <w:szCs w:val="20"/>
        </w:rPr>
        <w:t>:</w:t>
      </w:r>
      <w:r w:rsidRPr="00D73617">
        <w:rPr>
          <w:bCs/>
          <w:sz w:val="22"/>
          <w:szCs w:val="20"/>
        </w:rPr>
        <w:t xml:space="preserve"> 3</w:t>
      </w:r>
    </w:p>
    <w:p w14:paraId="4D28B822" w14:textId="77777777" w:rsidR="009105DE" w:rsidRPr="00E37DE2" w:rsidRDefault="009105DE" w:rsidP="009105DE">
      <w:pPr>
        <w:outlineLvl w:val="0"/>
        <w:rPr>
          <w:b/>
          <w:bCs/>
          <w:sz w:val="22"/>
          <w:szCs w:val="20"/>
        </w:rPr>
      </w:pPr>
      <w:r w:rsidRPr="00E37DE2">
        <w:rPr>
          <w:b/>
          <w:bCs/>
          <w:sz w:val="22"/>
          <w:szCs w:val="20"/>
        </w:rPr>
        <w:t>Abstract words count:</w:t>
      </w:r>
      <w:r>
        <w:rPr>
          <w:b/>
          <w:bCs/>
          <w:sz w:val="22"/>
          <w:szCs w:val="20"/>
        </w:rPr>
        <w:t xml:space="preserve"> </w:t>
      </w:r>
      <w:r w:rsidRPr="003058B4">
        <w:rPr>
          <w:bCs/>
          <w:sz w:val="22"/>
          <w:szCs w:val="20"/>
        </w:rPr>
        <w:t>2</w:t>
      </w:r>
      <w:r>
        <w:rPr>
          <w:bCs/>
          <w:sz w:val="22"/>
          <w:szCs w:val="20"/>
        </w:rPr>
        <w:t>21</w:t>
      </w:r>
    </w:p>
    <w:p w14:paraId="2E2CC83E" w14:textId="77777777" w:rsidR="009105DE" w:rsidRPr="00E37DE2" w:rsidRDefault="009105DE" w:rsidP="009105DE">
      <w:pPr>
        <w:rPr>
          <w:bCs/>
          <w:sz w:val="22"/>
          <w:szCs w:val="20"/>
        </w:rPr>
      </w:pPr>
    </w:p>
    <w:p w14:paraId="070ACED7" w14:textId="77777777" w:rsidR="009105DE" w:rsidRPr="00E37DE2" w:rsidRDefault="009105DE" w:rsidP="009105DE">
      <w:pPr>
        <w:rPr>
          <w:bCs/>
          <w:sz w:val="22"/>
          <w:szCs w:val="20"/>
        </w:rPr>
      </w:pPr>
    </w:p>
    <w:p w14:paraId="44ADB930" w14:textId="77777777" w:rsidR="009105DE" w:rsidRPr="00E37DE2" w:rsidRDefault="009105DE" w:rsidP="009105DE">
      <w:pPr>
        <w:rPr>
          <w:bCs/>
          <w:sz w:val="22"/>
          <w:szCs w:val="20"/>
        </w:rPr>
      </w:pPr>
      <w:r w:rsidRPr="00E37DE2">
        <w:rPr>
          <w:bCs/>
          <w:sz w:val="22"/>
          <w:szCs w:val="20"/>
          <w:lang w:val="en-US"/>
        </w:rPr>
        <w:t>† Contributed Equally</w:t>
      </w:r>
    </w:p>
    <w:p w14:paraId="57A65149" w14:textId="77777777" w:rsidR="009105DE" w:rsidRPr="00E37DE2" w:rsidRDefault="009105DE" w:rsidP="009105DE">
      <w:pPr>
        <w:rPr>
          <w:bCs/>
          <w:sz w:val="22"/>
          <w:szCs w:val="20"/>
        </w:rPr>
      </w:pPr>
    </w:p>
    <w:p w14:paraId="2289381C" w14:textId="77777777" w:rsidR="009105DE" w:rsidRPr="00D73617" w:rsidRDefault="009105DE" w:rsidP="009105DE">
      <w:pPr>
        <w:rPr>
          <w:bCs/>
          <w:szCs w:val="20"/>
        </w:rPr>
      </w:pPr>
      <w:r w:rsidRPr="00D73617">
        <w:rPr>
          <w:bCs/>
          <w:szCs w:val="20"/>
        </w:rPr>
        <w:t>*</w:t>
      </w:r>
      <w:r w:rsidRPr="00D73617">
        <w:rPr>
          <w:b/>
          <w:bCs/>
          <w:szCs w:val="20"/>
        </w:rPr>
        <w:t>Corresponding author:</w:t>
      </w:r>
    </w:p>
    <w:p w14:paraId="053A54CE" w14:textId="77777777" w:rsidR="009105DE" w:rsidRPr="00E37DE2" w:rsidRDefault="009105DE" w:rsidP="009105DE">
      <w:pPr>
        <w:rPr>
          <w:bCs/>
          <w:sz w:val="22"/>
          <w:szCs w:val="20"/>
        </w:rPr>
      </w:pPr>
      <w:r>
        <w:rPr>
          <w:bCs/>
          <w:sz w:val="22"/>
          <w:szCs w:val="20"/>
        </w:rPr>
        <w:t>Arianna Menardi</w:t>
      </w:r>
    </w:p>
    <w:p w14:paraId="29D41304" w14:textId="77777777" w:rsidR="009105DE" w:rsidRDefault="009105DE" w:rsidP="009105DE">
      <w:pPr>
        <w:rPr>
          <w:bCs/>
          <w:sz w:val="22"/>
          <w:szCs w:val="20"/>
        </w:rPr>
      </w:pPr>
      <w:r>
        <w:rPr>
          <w:bCs/>
          <w:sz w:val="22"/>
          <w:szCs w:val="20"/>
        </w:rPr>
        <w:t>Department of Neuroscience, University of Padova</w:t>
      </w:r>
    </w:p>
    <w:p w14:paraId="47EA526D" w14:textId="77777777" w:rsidR="009105DE" w:rsidRPr="00E37DE2" w:rsidRDefault="009105DE" w:rsidP="009105DE">
      <w:pPr>
        <w:rPr>
          <w:bCs/>
          <w:sz w:val="22"/>
          <w:szCs w:val="20"/>
          <w:lang w:val="it-IT"/>
        </w:rPr>
      </w:pPr>
      <w:r w:rsidRPr="00E37DE2">
        <w:rPr>
          <w:bCs/>
          <w:sz w:val="22"/>
          <w:szCs w:val="20"/>
          <w:lang w:val="it-IT"/>
        </w:rPr>
        <w:t>Padova, Italy, 35121</w:t>
      </w:r>
    </w:p>
    <w:p w14:paraId="6B92623D" w14:textId="66C8B38C" w:rsidR="009105DE" w:rsidRPr="009A1B62" w:rsidRDefault="009105DE" w:rsidP="009105DE">
      <w:pPr>
        <w:rPr>
          <w:bCs/>
          <w:sz w:val="22"/>
          <w:szCs w:val="20"/>
          <w:lang w:val="en-US"/>
        </w:rPr>
      </w:pPr>
      <w:r w:rsidRPr="009A1B62">
        <w:rPr>
          <w:bCs/>
          <w:sz w:val="22"/>
          <w:szCs w:val="20"/>
          <w:lang w:val="en-US"/>
        </w:rPr>
        <w:t>arianna.menardi@</w:t>
      </w:r>
      <w:r w:rsidR="009A1B62" w:rsidRPr="009A1B62">
        <w:rPr>
          <w:bCs/>
          <w:sz w:val="22"/>
          <w:szCs w:val="20"/>
          <w:lang w:val="en-US"/>
        </w:rPr>
        <w:t>gmail</w:t>
      </w:r>
      <w:r w:rsidRPr="009A1B62">
        <w:rPr>
          <w:bCs/>
          <w:sz w:val="22"/>
          <w:szCs w:val="20"/>
          <w:lang w:val="en-US"/>
        </w:rPr>
        <w:t>.</w:t>
      </w:r>
      <w:r w:rsidR="009A1B62" w:rsidRPr="009A1B62">
        <w:rPr>
          <w:bCs/>
          <w:sz w:val="22"/>
          <w:szCs w:val="20"/>
          <w:lang w:val="en-US"/>
        </w:rPr>
        <w:t>com</w:t>
      </w:r>
    </w:p>
    <w:p w14:paraId="69CFB1C6" w14:textId="77777777" w:rsidR="009105DE" w:rsidRPr="009A1B62" w:rsidRDefault="009105DE">
      <w:pPr>
        <w:spacing w:after="0" w:line="240" w:lineRule="auto"/>
        <w:rPr>
          <w:lang w:val="en-US"/>
        </w:rPr>
      </w:pPr>
      <w:r w:rsidRPr="009A1B62">
        <w:rPr>
          <w:lang w:val="en-US"/>
        </w:rPr>
        <w:br w:type="page"/>
      </w:r>
    </w:p>
    <w:p w14:paraId="43AC0F22" w14:textId="3D5B1653" w:rsidR="009105DE" w:rsidRPr="009A1B62" w:rsidRDefault="009A1B62">
      <w:pPr>
        <w:rPr>
          <w:b/>
          <w:lang w:val="en-US"/>
        </w:rPr>
      </w:pPr>
      <w:r w:rsidRPr="007B2501">
        <w:rPr>
          <w:b/>
          <w:lang w:val="en-US"/>
        </w:rPr>
        <w:lastRenderedPageBreak/>
        <w:t xml:space="preserve">Table S1. Comprehensive list of studies excluded from the meta-analysis and their reasons. </w:t>
      </w:r>
      <w:bookmarkStart w:id="0" w:name="_GoBack"/>
      <w:bookmarkEnd w:id="0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1"/>
        <w:gridCol w:w="4811"/>
      </w:tblGrid>
      <w:tr w:rsidR="00682D2E" w:rsidRPr="00A12FF7" w14:paraId="44C8C7E5" w14:textId="77777777" w:rsidTr="00A12FF7">
        <w:tc>
          <w:tcPr>
            <w:tcW w:w="4811" w:type="dxa"/>
          </w:tcPr>
          <w:p w14:paraId="014442AA" w14:textId="2697DD5B" w:rsidR="00682D2E" w:rsidRPr="00A12FF7" w:rsidRDefault="007B2501">
            <w:pPr>
              <w:rPr>
                <w:sz w:val="22"/>
                <w:lang w:val="it-IT"/>
              </w:rPr>
            </w:pPr>
            <w:r w:rsidRPr="00A12FF7">
              <w:rPr>
                <w:b/>
                <w:bCs/>
                <w:sz w:val="22"/>
                <w:lang w:val="en-US"/>
              </w:rPr>
              <w:t>Study</w:t>
            </w:r>
          </w:p>
        </w:tc>
        <w:tc>
          <w:tcPr>
            <w:tcW w:w="4811" w:type="dxa"/>
          </w:tcPr>
          <w:p w14:paraId="32BE2CC8" w14:textId="50BA42BA" w:rsidR="00682D2E" w:rsidRPr="00A12FF7" w:rsidRDefault="007B2501">
            <w:pPr>
              <w:rPr>
                <w:sz w:val="22"/>
                <w:lang w:val="it-IT"/>
              </w:rPr>
            </w:pPr>
            <w:r w:rsidRPr="00A12FF7">
              <w:rPr>
                <w:b/>
                <w:bCs/>
                <w:sz w:val="22"/>
                <w:lang w:val="en-US"/>
              </w:rPr>
              <w:t xml:space="preserve">Reasons for rejection </w:t>
            </w:r>
          </w:p>
        </w:tc>
      </w:tr>
      <w:tr w:rsidR="00682D2E" w:rsidRPr="00A12FF7" w14:paraId="77C4E316" w14:textId="77777777" w:rsidTr="00A12FF7">
        <w:tc>
          <w:tcPr>
            <w:tcW w:w="4811" w:type="dxa"/>
          </w:tcPr>
          <w:p w14:paraId="65A981AE" w14:textId="7F97CA6F" w:rsidR="00682D2E" w:rsidRPr="00A12FF7" w:rsidRDefault="00682D2E" w:rsidP="00A12FF7">
            <w:pPr>
              <w:jc w:val="both"/>
              <w:rPr>
                <w:sz w:val="22"/>
                <w:lang w:val="en-US"/>
              </w:rPr>
            </w:pPr>
            <w:r w:rsidRPr="007B2501">
              <w:rPr>
                <w:b/>
                <w:sz w:val="22"/>
                <w:lang w:val="it-IT"/>
              </w:rPr>
              <w:t>Alcalá-Lozano</w:t>
            </w:r>
            <w:r w:rsidRPr="007B2501">
              <w:rPr>
                <w:sz w:val="22"/>
                <w:lang w:val="it-IT"/>
              </w:rPr>
              <w:t xml:space="preserve">, R., Morelos-Santana, E., Cortés-Sotres, J. F., Garza-Villarreal, E. A., Sosa-Ortiz, A. L., </w:t>
            </w:r>
            <w:r w:rsidR="00A12FF7" w:rsidRPr="007B2501">
              <w:rPr>
                <w:sz w:val="22"/>
                <w:lang w:val="it-IT"/>
              </w:rPr>
              <w:t xml:space="preserve">&amp; González-Olvera, J. J. (2018). </w:t>
            </w:r>
            <w:r w:rsidRPr="00A12FF7">
              <w:rPr>
                <w:iCs/>
                <w:sz w:val="22"/>
                <w:lang w:val="en-US"/>
              </w:rPr>
              <w:t>Similar clinical improvement and maintenance after rTMS at 5 Hz using a simple vs. Complex protocol in Alzheimer’s disease</w:t>
            </w:r>
            <w:r w:rsidR="00A12FF7">
              <w:rPr>
                <w:sz w:val="22"/>
                <w:lang w:val="en-US"/>
              </w:rPr>
              <w:t>.</w:t>
            </w:r>
            <w:r w:rsidRPr="00A12FF7">
              <w:rPr>
                <w:sz w:val="22"/>
                <w:lang w:val="en-US"/>
              </w:rPr>
              <w:t>Brain Stimulation: Basic, Translational, and Clinical Research in Neuromodulation</w:t>
            </w:r>
          </w:p>
        </w:tc>
        <w:tc>
          <w:tcPr>
            <w:tcW w:w="4811" w:type="dxa"/>
          </w:tcPr>
          <w:p w14:paraId="7F22880E" w14:textId="77777777" w:rsidR="00A12FF7" w:rsidRPr="00A12FF7" w:rsidRDefault="00A12FF7" w:rsidP="00A12FF7">
            <w:pPr>
              <w:rPr>
                <w:sz w:val="22"/>
                <w:lang w:val="en-US"/>
              </w:rPr>
            </w:pPr>
            <w:r w:rsidRPr="00A12FF7">
              <w:rPr>
                <w:b/>
                <w:bCs/>
                <w:sz w:val="22"/>
                <w:lang w:val="en-CA"/>
              </w:rPr>
              <w:t xml:space="preserve">Incomplete data. </w:t>
            </w:r>
            <w:r w:rsidRPr="00A12FF7">
              <w:rPr>
                <w:b/>
                <w:bCs/>
                <w:sz w:val="22"/>
                <w:lang w:val="en-CA"/>
              </w:rPr>
              <w:br/>
            </w:r>
            <w:r w:rsidRPr="00A12FF7">
              <w:rPr>
                <w:sz w:val="22"/>
              </w:rPr>
              <w:t>Lack of sham/control group</w:t>
            </w:r>
          </w:p>
          <w:p w14:paraId="32E0DE82" w14:textId="77777777" w:rsidR="00682D2E" w:rsidRPr="00A12FF7" w:rsidRDefault="00682D2E">
            <w:pPr>
              <w:rPr>
                <w:sz w:val="22"/>
                <w:lang w:val="en-US"/>
              </w:rPr>
            </w:pPr>
          </w:p>
        </w:tc>
      </w:tr>
      <w:tr w:rsidR="00682D2E" w:rsidRPr="00A12FF7" w14:paraId="2CCFE9CA" w14:textId="77777777" w:rsidTr="00A12FF7">
        <w:tc>
          <w:tcPr>
            <w:tcW w:w="4811" w:type="dxa"/>
          </w:tcPr>
          <w:p w14:paraId="5748B63B" w14:textId="1AC1809B" w:rsidR="00682D2E" w:rsidRPr="00A12FF7" w:rsidRDefault="00682D2E" w:rsidP="00A12FF7">
            <w:pPr>
              <w:jc w:val="both"/>
              <w:rPr>
                <w:sz w:val="22"/>
                <w:lang w:val="en-US"/>
              </w:rPr>
            </w:pPr>
            <w:r w:rsidRPr="007B2501">
              <w:rPr>
                <w:b/>
                <w:sz w:val="22"/>
                <w:lang w:val="it-IT"/>
              </w:rPr>
              <w:t>Anderkova</w:t>
            </w:r>
            <w:r w:rsidRPr="00A12FF7">
              <w:rPr>
                <w:sz w:val="22"/>
                <w:lang w:val="it-IT"/>
              </w:rPr>
              <w:t>, L., Eliasova, I., Marecek, R., Janouso</w:t>
            </w:r>
            <w:r w:rsidR="00A12FF7" w:rsidRPr="00A12FF7">
              <w:rPr>
                <w:sz w:val="22"/>
                <w:lang w:val="it-IT"/>
              </w:rPr>
              <w:t xml:space="preserve">va, E., &amp; Rektorova, I. (2015). </w:t>
            </w:r>
            <w:r w:rsidRPr="00A12FF7">
              <w:rPr>
                <w:iCs/>
                <w:sz w:val="22"/>
                <w:lang w:val="en-US"/>
              </w:rPr>
              <w:t>Distinct Pattern of Gray Matter Atrophy in Mild Alzheimer’s Disease Impacts on Cognitive Outcomes of Noninvasive Brain Stimulation</w:t>
            </w:r>
            <w:r w:rsidR="00A12FF7">
              <w:rPr>
                <w:i/>
                <w:iCs/>
                <w:sz w:val="22"/>
                <w:lang w:val="en-US"/>
              </w:rPr>
              <w:t xml:space="preserve">. </w:t>
            </w:r>
            <w:r w:rsidRPr="00A12FF7">
              <w:rPr>
                <w:sz w:val="22"/>
                <w:lang w:val="en-US"/>
              </w:rPr>
              <w:t>Journal of Alzheimer’s Disease</w:t>
            </w:r>
          </w:p>
        </w:tc>
        <w:tc>
          <w:tcPr>
            <w:tcW w:w="4811" w:type="dxa"/>
          </w:tcPr>
          <w:p w14:paraId="5A1AC0CD" w14:textId="77777777" w:rsidR="00A12FF7" w:rsidRDefault="00A12FF7" w:rsidP="00A12FF7">
            <w:pPr>
              <w:spacing w:line="240" w:lineRule="auto"/>
              <w:jc w:val="both"/>
              <w:rPr>
                <w:sz w:val="22"/>
                <w:lang w:val="en-CA"/>
              </w:rPr>
            </w:pPr>
            <w:r w:rsidRPr="00A12FF7">
              <w:rPr>
                <w:b/>
                <w:bCs/>
                <w:sz w:val="22"/>
                <w:lang w:val="en-CA"/>
              </w:rPr>
              <w:t>Lack of behavioural outcome data</w:t>
            </w:r>
            <w:r w:rsidRPr="00A12FF7">
              <w:rPr>
                <w:sz w:val="22"/>
                <w:lang w:val="en-CA"/>
              </w:rPr>
              <w:t>.</w:t>
            </w:r>
          </w:p>
          <w:p w14:paraId="2C8F186F" w14:textId="4797F636" w:rsidR="00A12FF7" w:rsidRPr="00A12FF7" w:rsidRDefault="00A12FF7" w:rsidP="00A12FF7">
            <w:pPr>
              <w:spacing w:line="240" w:lineRule="auto"/>
              <w:jc w:val="both"/>
              <w:rPr>
                <w:sz w:val="22"/>
                <w:lang w:val="en-CA"/>
              </w:rPr>
            </w:pPr>
            <w:r w:rsidRPr="00A12FF7">
              <w:rPr>
                <w:sz w:val="22"/>
              </w:rPr>
              <w:t>The effect of the stimulation was measured using three tests: Trail Making Test (TMT), Stroop test (ST), and Complex Visua</w:t>
            </w:r>
            <w:r>
              <w:rPr>
                <w:sz w:val="22"/>
              </w:rPr>
              <w:t xml:space="preserve">l Scene Encoding Task (CVSET). </w:t>
            </w:r>
            <w:r w:rsidRPr="00A12FF7">
              <w:rPr>
                <w:sz w:val="22"/>
              </w:rPr>
              <w:t>Screening tests (including MMSE) were administered only at baseline.</w:t>
            </w:r>
          </w:p>
          <w:p w14:paraId="1B83DD5D" w14:textId="77777777" w:rsidR="00682D2E" w:rsidRPr="00A12FF7" w:rsidRDefault="00682D2E">
            <w:pPr>
              <w:rPr>
                <w:sz w:val="22"/>
                <w:lang w:val="en-US"/>
              </w:rPr>
            </w:pPr>
          </w:p>
        </w:tc>
      </w:tr>
      <w:tr w:rsidR="00682D2E" w:rsidRPr="00A12FF7" w14:paraId="1933DA38" w14:textId="77777777" w:rsidTr="00A12FF7">
        <w:tc>
          <w:tcPr>
            <w:tcW w:w="4811" w:type="dxa"/>
          </w:tcPr>
          <w:p w14:paraId="3F48BC48" w14:textId="069475E8" w:rsidR="00682D2E" w:rsidRPr="00A12FF7" w:rsidRDefault="00682D2E" w:rsidP="00A12FF7">
            <w:pPr>
              <w:jc w:val="both"/>
              <w:rPr>
                <w:sz w:val="22"/>
                <w:lang w:val="en-US"/>
              </w:rPr>
            </w:pPr>
            <w:r w:rsidRPr="007B2501">
              <w:rPr>
                <w:b/>
                <w:sz w:val="22"/>
                <w:lang w:val="en-US"/>
              </w:rPr>
              <w:t>Bentwich</w:t>
            </w:r>
            <w:r w:rsidRPr="00A12FF7">
              <w:rPr>
                <w:sz w:val="22"/>
                <w:lang w:val="en-US"/>
              </w:rPr>
              <w:t xml:space="preserve">, J., Dobronevsky, E., Aichenbaum, S., Shorer, R., Peretz, R., Khaigrekht, </w:t>
            </w:r>
            <w:r w:rsidR="00A12FF7">
              <w:rPr>
                <w:sz w:val="22"/>
                <w:lang w:val="en-US"/>
              </w:rPr>
              <w:t xml:space="preserve">M., … Rabey, J. M. (2011). </w:t>
            </w:r>
            <w:r w:rsidRPr="00A12FF7">
              <w:rPr>
                <w:iCs/>
                <w:sz w:val="22"/>
                <w:lang w:val="en-US"/>
              </w:rPr>
              <w:t>Beneficial effect of repetitive transcranial magnetic stimulation combined with cognitive training for the treatment of Alzheimer’s disease: A proof of concept study</w:t>
            </w:r>
            <w:r w:rsidR="00A12FF7">
              <w:rPr>
                <w:sz w:val="22"/>
                <w:lang w:val="en-US"/>
              </w:rPr>
              <w:t xml:space="preserve">. </w:t>
            </w:r>
            <w:r w:rsidRPr="00A12FF7">
              <w:rPr>
                <w:sz w:val="22"/>
                <w:lang w:val="en-US"/>
              </w:rPr>
              <w:t>Journal of Neural Transmission</w:t>
            </w:r>
          </w:p>
        </w:tc>
        <w:tc>
          <w:tcPr>
            <w:tcW w:w="4811" w:type="dxa"/>
          </w:tcPr>
          <w:p w14:paraId="23B38B86" w14:textId="77777777" w:rsidR="00A12FF7" w:rsidRPr="00A12FF7" w:rsidRDefault="00A12FF7" w:rsidP="00A12FF7">
            <w:pPr>
              <w:rPr>
                <w:sz w:val="22"/>
                <w:lang w:val="en-US"/>
              </w:rPr>
            </w:pPr>
            <w:r w:rsidRPr="00A12FF7">
              <w:rPr>
                <w:b/>
                <w:bCs/>
                <w:sz w:val="22"/>
                <w:lang w:val="en-CA"/>
              </w:rPr>
              <w:t xml:space="preserve">Incomplete data. </w:t>
            </w:r>
            <w:r w:rsidRPr="00A12FF7">
              <w:rPr>
                <w:b/>
                <w:bCs/>
                <w:sz w:val="22"/>
                <w:lang w:val="en-CA"/>
              </w:rPr>
              <w:br/>
            </w:r>
            <w:r w:rsidRPr="00A12FF7">
              <w:rPr>
                <w:sz w:val="22"/>
              </w:rPr>
              <w:t>Lack of sham/control group</w:t>
            </w:r>
          </w:p>
          <w:p w14:paraId="646BDE16" w14:textId="77777777" w:rsidR="00682D2E" w:rsidRPr="00A12FF7" w:rsidRDefault="00682D2E">
            <w:pPr>
              <w:rPr>
                <w:sz w:val="22"/>
                <w:lang w:val="en-US"/>
              </w:rPr>
            </w:pPr>
          </w:p>
        </w:tc>
      </w:tr>
      <w:tr w:rsidR="00682D2E" w:rsidRPr="00A12FF7" w14:paraId="4139C5C4" w14:textId="77777777" w:rsidTr="00A12FF7">
        <w:tc>
          <w:tcPr>
            <w:tcW w:w="4811" w:type="dxa"/>
          </w:tcPr>
          <w:p w14:paraId="75476338" w14:textId="51C42D5E" w:rsidR="00682D2E" w:rsidRPr="00A12FF7" w:rsidRDefault="00682D2E" w:rsidP="00A12FF7">
            <w:pPr>
              <w:jc w:val="both"/>
              <w:rPr>
                <w:sz w:val="22"/>
                <w:lang w:val="en-US"/>
              </w:rPr>
            </w:pPr>
            <w:r w:rsidRPr="007B2501">
              <w:rPr>
                <w:b/>
                <w:sz w:val="22"/>
                <w:lang w:val="en-US"/>
              </w:rPr>
              <w:t>Devi</w:t>
            </w:r>
            <w:r w:rsidRPr="00A12FF7">
              <w:rPr>
                <w:sz w:val="22"/>
                <w:lang w:val="en-US"/>
              </w:rPr>
              <w:t>, G., Voss, H. U., Levine, D., Abrassart, D., Heier, L., Halper, J., …</w:t>
            </w:r>
            <w:r w:rsidR="00A12FF7">
              <w:rPr>
                <w:sz w:val="22"/>
                <w:lang w:val="en-US"/>
              </w:rPr>
              <w:t xml:space="preserve"> Lowe, S. (2014). </w:t>
            </w:r>
            <w:r w:rsidRPr="00A12FF7">
              <w:rPr>
                <w:iCs/>
                <w:sz w:val="22"/>
                <w:lang w:val="en-US"/>
              </w:rPr>
              <w:t>Open-Label, Short-Term, Repetitive Transcranial Magnetic Stimulation in Patients With Alzheimer’s Disease With Functional Imaging Correlates and Literature Review</w:t>
            </w:r>
            <w:r w:rsidR="00A12FF7">
              <w:rPr>
                <w:sz w:val="22"/>
                <w:lang w:val="en-US"/>
              </w:rPr>
              <w:t xml:space="preserve">. </w:t>
            </w:r>
            <w:r w:rsidRPr="00A12FF7">
              <w:rPr>
                <w:sz w:val="22"/>
                <w:lang w:val="en-US"/>
              </w:rPr>
              <w:t>American Journal of Alzheimer’s Disease &amp; Other Dementias.</w:t>
            </w:r>
          </w:p>
        </w:tc>
        <w:tc>
          <w:tcPr>
            <w:tcW w:w="4811" w:type="dxa"/>
          </w:tcPr>
          <w:p w14:paraId="1A9A41F7" w14:textId="77777777" w:rsidR="00A12FF7" w:rsidRPr="00A12FF7" w:rsidRDefault="00A12FF7" w:rsidP="00A12FF7">
            <w:pPr>
              <w:rPr>
                <w:sz w:val="22"/>
                <w:lang w:val="en-US"/>
              </w:rPr>
            </w:pPr>
            <w:r w:rsidRPr="00A12FF7">
              <w:rPr>
                <w:b/>
                <w:bCs/>
                <w:sz w:val="22"/>
                <w:lang w:val="en-CA"/>
              </w:rPr>
              <w:t xml:space="preserve">Incomplete data. </w:t>
            </w:r>
            <w:r w:rsidRPr="00A12FF7">
              <w:rPr>
                <w:b/>
                <w:bCs/>
                <w:sz w:val="22"/>
                <w:lang w:val="en-CA"/>
              </w:rPr>
              <w:br/>
            </w:r>
            <w:r w:rsidRPr="00A12FF7">
              <w:rPr>
                <w:sz w:val="22"/>
              </w:rPr>
              <w:t>Lack of sham/control group</w:t>
            </w:r>
          </w:p>
          <w:p w14:paraId="4EB6431E" w14:textId="77777777" w:rsidR="00682D2E" w:rsidRPr="00A12FF7" w:rsidRDefault="00682D2E">
            <w:pPr>
              <w:rPr>
                <w:sz w:val="22"/>
                <w:lang w:val="en-US"/>
              </w:rPr>
            </w:pPr>
          </w:p>
        </w:tc>
      </w:tr>
      <w:tr w:rsidR="00682D2E" w:rsidRPr="00A12FF7" w14:paraId="2C046DE8" w14:textId="77777777" w:rsidTr="00A12FF7">
        <w:tc>
          <w:tcPr>
            <w:tcW w:w="4811" w:type="dxa"/>
          </w:tcPr>
          <w:p w14:paraId="6064D14F" w14:textId="529BF7BD" w:rsidR="00682D2E" w:rsidRPr="00A12FF7" w:rsidRDefault="00A12FF7" w:rsidP="00A12FF7">
            <w:pPr>
              <w:jc w:val="both"/>
              <w:rPr>
                <w:sz w:val="22"/>
                <w:lang w:val="en-US"/>
              </w:rPr>
            </w:pPr>
            <w:r w:rsidRPr="007B2501">
              <w:rPr>
                <w:b/>
                <w:sz w:val="22"/>
                <w:lang w:val="it-IT"/>
              </w:rPr>
              <w:t>Eliasova</w:t>
            </w:r>
            <w:r w:rsidRPr="00A12FF7">
              <w:rPr>
                <w:sz w:val="22"/>
                <w:lang w:val="it-IT"/>
              </w:rPr>
              <w:t xml:space="preserve">, I., Anderkova, L., Marecek, R., &amp; Rektorova, I. (2014). </w:t>
            </w:r>
            <w:r w:rsidRPr="00A12FF7">
              <w:rPr>
                <w:iCs/>
                <w:sz w:val="22"/>
                <w:lang w:val="en-US"/>
              </w:rPr>
              <w:t xml:space="preserve">Non-invasive brain stimulation of the right inferior frontal gyrus may improve attention in early Alzheimer’s disease: A pilot </w:t>
            </w:r>
            <w:r>
              <w:rPr>
                <w:iCs/>
                <w:sz w:val="22"/>
                <w:lang w:val="en-US"/>
              </w:rPr>
              <w:t xml:space="preserve">study. </w:t>
            </w:r>
            <w:r w:rsidRPr="00A12FF7">
              <w:rPr>
                <w:sz w:val="22"/>
                <w:lang w:val="en-US"/>
              </w:rPr>
              <w:t>Journal of the Neurological Sciences</w:t>
            </w:r>
          </w:p>
        </w:tc>
        <w:tc>
          <w:tcPr>
            <w:tcW w:w="4811" w:type="dxa"/>
          </w:tcPr>
          <w:p w14:paraId="3046D46F" w14:textId="77777777" w:rsidR="00A12FF7" w:rsidRDefault="00A12FF7" w:rsidP="00A12FF7">
            <w:pPr>
              <w:jc w:val="both"/>
              <w:rPr>
                <w:b/>
                <w:bCs/>
                <w:sz w:val="22"/>
                <w:lang w:val="en-CA"/>
              </w:rPr>
            </w:pPr>
            <w:r w:rsidRPr="00A12FF7">
              <w:rPr>
                <w:b/>
                <w:bCs/>
                <w:sz w:val="22"/>
                <w:lang w:val="en-CA"/>
              </w:rPr>
              <w:t xml:space="preserve">Lack of behavioural outcome data. </w:t>
            </w:r>
          </w:p>
          <w:p w14:paraId="30DCD74B" w14:textId="7D2EFB87" w:rsidR="00A12FF7" w:rsidRPr="00A12FF7" w:rsidRDefault="00A12FF7" w:rsidP="00A12FF7">
            <w:pPr>
              <w:jc w:val="both"/>
              <w:rPr>
                <w:sz w:val="22"/>
              </w:rPr>
            </w:pPr>
            <w:r w:rsidRPr="00A12FF7">
              <w:rPr>
                <w:sz w:val="22"/>
              </w:rPr>
              <w:t>Trail Making Test (TMT), Stroop test, and CVSET test were considered for the measurement of post-</w:t>
            </w:r>
            <w:r>
              <w:rPr>
                <w:sz w:val="22"/>
              </w:rPr>
              <w:t xml:space="preserve">treatment behavioural outcome. </w:t>
            </w:r>
            <w:r w:rsidRPr="00A12FF7">
              <w:rPr>
                <w:sz w:val="22"/>
              </w:rPr>
              <w:t>Screening tests (including MMSE) were administered only at baseline.</w:t>
            </w:r>
          </w:p>
          <w:p w14:paraId="16BEAD20" w14:textId="77777777" w:rsidR="00682D2E" w:rsidRPr="00A12FF7" w:rsidRDefault="00682D2E">
            <w:pPr>
              <w:rPr>
                <w:sz w:val="22"/>
                <w:lang w:val="en-US"/>
              </w:rPr>
            </w:pPr>
          </w:p>
        </w:tc>
      </w:tr>
      <w:tr w:rsidR="00682D2E" w:rsidRPr="00A12FF7" w14:paraId="2C446F1D" w14:textId="77777777" w:rsidTr="00A12FF7">
        <w:tc>
          <w:tcPr>
            <w:tcW w:w="4811" w:type="dxa"/>
          </w:tcPr>
          <w:p w14:paraId="40F9297C" w14:textId="4EB9A208" w:rsidR="00682D2E" w:rsidRPr="00A12FF7" w:rsidRDefault="00A12FF7" w:rsidP="00A12FF7">
            <w:pPr>
              <w:jc w:val="both"/>
              <w:rPr>
                <w:sz w:val="22"/>
                <w:lang w:val="en-US"/>
              </w:rPr>
            </w:pPr>
            <w:r w:rsidRPr="007B2501">
              <w:rPr>
                <w:b/>
                <w:sz w:val="22"/>
                <w:lang w:val="en-US"/>
              </w:rPr>
              <w:t>Nguyen</w:t>
            </w:r>
            <w:r w:rsidRPr="00A12FF7">
              <w:rPr>
                <w:sz w:val="22"/>
                <w:lang w:val="en-US"/>
              </w:rPr>
              <w:t>, J.-P., Suarez, A., Saout, E. L., Meignier, M., Nizard,</w:t>
            </w:r>
            <w:r>
              <w:rPr>
                <w:sz w:val="22"/>
                <w:lang w:val="en-US"/>
              </w:rPr>
              <w:t xml:space="preserve"> J., &amp; Lefaucheur, J.-P. (2018). </w:t>
            </w:r>
            <w:r w:rsidRPr="00A12FF7">
              <w:rPr>
                <w:iCs/>
                <w:sz w:val="22"/>
                <w:lang w:val="en-US"/>
              </w:rPr>
              <w:t>Combining cognitive training and multi-site rTMS to improve cognitive functions in Alzheimer’s disease</w:t>
            </w:r>
            <w:r>
              <w:rPr>
                <w:sz w:val="22"/>
                <w:lang w:val="en-US"/>
              </w:rPr>
              <w:t xml:space="preserve">. </w:t>
            </w:r>
            <w:r w:rsidRPr="00A12FF7">
              <w:rPr>
                <w:sz w:val="22"/>
                <w:lang w:val="en-US"/>
              </w:rPr>
              <w:t>Brain Stimulation: Basic, Translational, and Clinical Research in Neuromodulation</w:t>
            </w:r>
          </w:p>
        </w:tc>
        <w:tc>
          <w:tcPr>
            <w:tcW w:w="4811" w:type="dxa"/>
          </w:tcPr>
          <w:p w14:paraId="42D59EAD" w14:textId="77777777" w:rsidR="00A12FF7" w:rsidRPr="00A12FF7" w:rsidRDefault="00A12FF7" w:rsidP="00A12FF7">
            <w:pPr>
              <w:rPr>
                <w:sz w:val="22"/>
                <w:lang w:val="en-US"/>
              </w:rPr>
            </w:pPr>
            <w:r w:rsidRPr="00A12FF7">
              <w:rPr>
                <w:b/>
                <w:bCs/>
                <w:sz w:val="22"/>
                <w:lang w:val="en-CA"/>
              </w:rPr>
              <w:t xml:space="preserve">Incomplete data. </w:t>
            </w:r>
            <w:r w:rsidRPr="00A12FF7">
              <w:rPr>
                <w:b/>
                <w:bCs/>
                <w:sz w:val="22"/>
                <w:lang w:val="en-CA"/>
              </w:rPr>
              <w:br/>
            </w:r>
            <w:r w:rsidRPr="00A12FF7">
              <w:rPr>
                <w:sz w:val="22"/>
              </w:rPr>
              <w:t>Lack of sham/control group</w:t>
            </w:r>
          </w:p>
          <w:p w14:paraId="31B94979" w14:textId="77777777" w:rsidR="00682D2E" w:rsidRPr="00A12FF7" w:rsidRDefault="00682D2E">
            <w:pPr>
              <w:rPr>
                <w:sz w:val="22"/>
                <w:lang w:val="en-US"/>
              </w:rPr>
            </w:pPr>
          </w:p>
        </w:tc>
      </w:tr>
      <w:tr w:rsidR="00682D2E" w:rsidRPr="00A12FF7" w14:paraId="65ED2FBB" w14:textId="77777777" w:rsidTr="00A12FF7">
        <w:tc>
          <w:tcPr>
            <w:tcW w:w="4811" w:type="dxa"/>
          </w:tcPr>
          <w:p w14:paraId="5867824D" w14:textId="31A117A7" w:rsidR="00682D2E" w:rsidRPr="00A12FF7" w:rsidRDefault="00A12FF7" w:rsidP="00A12FF7">
            <w:pPr>
              <w:jc w:val="both"/>
              <w:rPr>
                <w:sz w:val="22"/>
                <w:lang w:val="en-US"/>
              </w:rPr>
            </w:pPr>
            <w:r w:rsidRPr="007B2501">
              <w:rPr>
                <w:b/>
                <w:sz w:val="22"/>
                <w:lang w:val="it-IT"/>
              </w:rPr>
              <w:lastRenderedPageBreak/>
              <w:t>Turriziani</w:t>
            </w:r>
            <w:r w:rsidRPr="00A12FF7">
              <w:rPr>
                <w:sz w:val="22"/>
                <w:lang w:val="it-IT"/>
              </w:rPr>
              <w:t>, P., Smirni, D., Mangano, G. R., Zappalà, G., Giustiniani, A., Cipo</w:t>
            </w:r>
            <w:r>
              <w:rPr>
                <w:sz w:val="22"/>
                <w:lang w:val="it-IT"/>
              </w:rPr>
              <w:t xml:space="preserve">lotti, L., &amp; Oliveri, M. (2019). </w:t>
            </w:r>
            <w:r w:rsidRPr="00A12FF7">
              <w:rPr>
                <w:iCs/>
                <w:sz w:val="22"/>
                <w:lang w:val="en-US"/>
              </w:rPr>
              <w:t>Low-Frequency Repetitive Transcranial Magnetic Stimulation of the Right Dorsolateral Prefrontal Cortex Enhances Recognition Memory in Alzheimer’s Disease</w:t>
            </w:r>
            <w:r>
              <w:rPr>
                <w:sz w:val="22"/>
                <w:lang w:val="en-US"/>
              </w:rPr>
              <w:t xml:space="preserve">. </w:t>
            </w:r>
            <w:r w:rsidRPr="00A12FF7">
              <w:rPr>
                <w:sz w:val="22"/>
                <w:lang w:val="en-US"/>
              </w:rPr>
              <w:t>Journal of Alzheimer’s Disease</w:t>
            </w:r>
          </w:p>
        </w:tc>
        <w:tc>
          <w:tcPr>
            <w:tcW w:w="4811" w:type="dxa"/>
          </w:tcPr>
          <w:p w14:paraId="742C0F58" w14:textId="0D0FA4C3" w:rsidR="00A12FF7" w:rsidRPr="00A12FF7" w:rsidRDefault="00A12FF7" w:rsidP="00A12FF7">
            <w:pPr>
              <w:rPr>
                <w:sz w:val="22"/>
                <w:lang w:val="en-US"/>
              </w:rPr>
            </w:pPr>
            <w:r w:rsidRPr="00A12FF7">
              <w:rPr>
                <w:b/>
                <w:bCs/>
                <w:sz w:val="22"/>
                <w:lang w:val="en-CA"/>
              </w:rPr>
              <w:t>Different stimulation protocol.</w:t>
            </w:r>
            <w:r w:rsidRPr="00A12FF7">
              <w:rPr>
                <w:sz w:val="22"/>
                <w:lang w:val="en-CA"/>
              </w:rPr>
              <w:t xml:space="preserve"> </w:t>
            </w:r>
            <w:r w:rsidRPr="00A12FF7">
              <w:rPr>
                <w:sz w:val="22"/>
                <w:lang w:val="en-CA"/>
              </w:rPr>
              <w:br/>
              <w:t>I</w:t>
            </w:r>
            <w:r w:rsidRPr="00A12FF7">
              <w:rPr>
                <w:sz w:val="22"/>
              </w:rPr>
              <w:t>nhibitory rTMS stimulation.</w:t>
            </w:r>
          </w:p>
          <w:p w14:paraId="15FEAADA" w14:textId="77777777" w:rsidR="00682D2E" w:rsidRPr="00A12FF7" w:rsidRDefault="00682D2E">
            <w:pPr>
              <w:rPr>
                <w:sz w:val="22"/>
                <w:lang w:val="en-US"/>
              </w:rPr>
            </w:pPr>
          </w:p>
        </w:tc>
      </w:tr>
      <w:tr w:rsidR="00A12FF7" w:rsidRPr="00A12FF7" w14:paraId="19C11992" w14:textId="77777777" w:rsidTr="00A12FF7">
        <w:tc>
          <w:tcPr>
            <w:tcW w:w="4811" w:type="dxa"/>
          </w:tcPr>
          <w:p w14:paraId="26F9F61F" w14:textId="3D98B6D7" w:rsidR="00A12FF7" w:rsidRPr="00A12FF7" w:rsidRDefault="00A12FF7" w:rsidP="00A12FF7">
            <w:pPr>
              <w:jc w:val="both"/>
              <w:rPr>
                <w:sz w:val="22"/>
                <w:lang w:val="en-US"/>
              </w:rPr>
            </w:pPr>
            <w:r w:rsidRPr="007B2501">
              <w:rPr>
                <w:b/>
                <w:sz w:val="22"/>
              </w:rPr>
              <w:t>Rabey</w:t>
            </w:r>
            <w:r w:rsidRPr="00A12FF7">
              <w:rPr>
                <w:sz w:val="22"/>
              </w:rPr>
              <w:t>, J. M., &amp; Dobronevsky, E. (2016)</w:t>
            </w:r>
            <w:r>
              <w:rPr>
                <w:sz w:val="22"/>
                <w:lang w:val="en-US"/>
              </w:rPr>
              <w:t xml:space="preserve">. </w:t>
            </w:r>
            <w:r w:rsidRPr="00A12FF7">
              <w:rPr>
                <w:iCs/>
                <w:sz w:val="22"/>
              </w:rPr>
              <w:t>Repetitive transcranial magnetic stimulation (rTMS) combined with cognitive training is a safe and effective modality for the treatment of Alzheimer’s disease: Clinical experience</w:t>
            </w:r>
            <w:r>
              <w:rPr>
                <w:i/>
                <w:sz w:val="22"/>
              </w:rPr>
              <w:t xml:space="preserve">. </w:t>
            </w:r>
            <w:r w:rsidRPr="00A12FF7">
              <w:rPr>
                <w:sz w:val="22"/>
              </w:rPr>
              <w:t>Journal of Neural Transmission</w:t>
            </w:r>
          </w:p>
          <w:p w14:paraId="22500CEB" w14:textId="77777777" w:rsidR="00A12FF7" w:rsidRPr="00A12FF7" w:rsidRDefault="00A12FF7" w:rsidP="00A12FF7">
            <w:pPr>
              <w:jc w:val="both"/>
              <w:rPr>
                <w:sz w:val="22"/>
                <w:lang w:val="en-US"/>
              </w:rPr>
            </w:pPr>
          </w:p>
        </w:tc>
        <w:tc>
          <w:tcPr>
            <w:tcW w:w="4811" w:type="dxa"/>
          </w:tcPr>
          <w:p w14:paraId="22138240" w14:textId="77777777" w:rsidR="00A12FF7" w:rsidRPr="00A12FF7" w:rsidRDefault="00A12FF7" w:rsidP="00A12FF7">
            <w:pPr>
              <w:rPr>
                <w:sz w:val="22"/>
                <w:lang w:val="en-US"/>
              </w:rPr>
            </w:pPr>
            <w:r w:rsidRPr="00A12FF7">
              <w:rPr>
                <w:b/>
                <w:bCs/>
                <w:sz w:val="22"/>
                <w:lang w:val="en-CA"/>
              </w:rPr>
              <w:t xml:space="preserve">Incomplete data. </w:t>
            </w:r>
            <w:r w:rsidRPr="00A12FF7">
              <w:rPr>
                <w:b/>
                <w:bCs/>
                <w:sz w:val="22"/>
                <w:lang w:val="en-CA"/>
              </w:rPr>
              <w:br/>
            </w:r>
            <w:r w:rsidRPr="00A12FF7">
              <w:rPr>
                <w:sz w:val="22"/>
              </w:rPr>
              <w:t>Lack of sham/control group</w:t>
            </w:r>
          </w:p>
          <w:p w14:paraId="740C5FB8" w14:textId="77777777" w:rsidR="00A12FF7" w:rsidRPr="00A12FF7" w:rsidRDefault="00A12FF7">
            <w:pPr>
              <w:rPr>
                <w:sz w:val="22"/>
                <w:lang w:val="en-US"/>
              </w:rPr>
            </w:pPr>
          </w:p>
        </w:tc>
      </w:tr>
      <w:tr w:rsidR="00A12FF7" w:rsidRPr="00A12FF7" w14:paraId="617E2574" w14:textId="77777777" w:rsidTr="00A12FF7">
        <w:tc>
          <w:tcPr>
            <w:tcW w:w="4811" w:type="dxa"/>
          </w:tcPr>
          <w:p w14:paraId="236CBD1B" w14:textId="62AD0325" w:rsidR="00A12FF7" w:rsidRPr="00A12FF7" w:rsidRDefault="00A12FF7" w:rsidP="00A12FF7">
            <w:pPr>
              <w:jc w:val="both"/>
              <w:rPr>
                <w:sz w:val="22"/>
                <w:lang w:val="en-US"/>
              </w:rPr>
            </w:pPr>
            <w:r w:rsidRPr="007B2501">
              <w:rPr>
                <w:b/>
                <w:sz w:val="22"/>
                <w:lang w:val="en-US"/>
              </w:rPr>
              <w:t>Wu</w:t>
            </w:r>
            <w:r w:rsidRPr="00A12FF7">
              <w:rPr>
                <w:sz w:val="22"/>
                <w:lang w:val="en-US"/>
              </w:rPr>
              <w:t>, X., Ji, G.-J., Geng, Z., Zhou, S., Yan, Y., Wei, L., … Wang, K. (2020)</w:t>
            </w:r>
            <w:r>
              <w:rPr>
                <w:sz w:val="22"/>
                <w:lang w:val="en-US"/>
              </w:rPr>
              <w:t xml:space="preserve">. </w:t>
            </w:r>
            <w:r w:rsidRPr="00A12FF7">
              <w:rPr>
                <w:iCs/>
                <w:sz w:val="22"/>
                <w:lang w:val="en-US"/>
              </w:rPr>
              <w:t>Strengthened theta-burst transcranial magnetic stimulation as an adjunctive treatment for Alzheimer’s disease: An open-label pilot study</w:t>
            </w:r>
            <w:r>
              <w:rPr>
                <w:sz w:val="22"/>
                <w:lang w:val="en-US"/>
              </w:rPr>
              <w:t xml:space="preserve">. </w:t>
            </w:r>
            <w:r w:rsidRPr="00A12FF7">
              <w:rPr>
                <w:sz w:val="22"/>
                <w:lang w:val="en-US"/>
              </w:rPr>
              <w:t>Brain Stimulation: Basic, Translational, and Clinical Research in Neuromodulation</w:t>
            </w:r>
          </w:p>
          <w:p w14:paraId="639F9725" w14:textId="77777777" w:rsidR="00A12FF7" w:rsidRPr="00A12FF7" w:rsidRDefault="00A12FF7" w:rsidP="00A12FF7">
            <w:pPr>
              <w:jc w:val="both"/>
              <w:rPr>
                <w:sz w:val="22"/>
                <w:lang w:val="en-US"/>
              </w:rPr>
            </w:pPr>
          </w:p>
        </w:tc>
        <w:tc>
          <w:tcPr>
            <w:tcW w:w="4811" w:type="dxa"/>
          </w:tcPr>
          <w:p w14:paraId="50453385" w14:textId="77777777" w:rsidR="00A12FF7" w:rsidRPr="00A12FF7" w:rsidRDefault="00A12FF7" w:rsidP="00A12FF7">
            <w:pPr>
              <w:rPr>
                <w:sz w:val="22"/>
                <w:lang w:val="en-US"/>
              </w:rPr>
            </w:pPr>
            <w:r w:rsidRPr="00A12FF7">
              <w:rPr>
                <w:b/>
                <w:bCs/>
                <w:sz w:val="22"/>
                <w:lang w:val="en-CA"/>
              </w:rPr>
              <w:t xml:space="preserve">Different stimulation protocol. </w:t>
            </w:r>
            <w:r w:rsidRPr="00A12FF7">
              <w:rPr>
                <w:b/>
                <w:bCs/>
                <w:sz w:val="22"/>
                <w:lang w:val="en-CA"/>
              </w:rPr>
              <w:br/>
            </w:r>
            <w:r w:rsidRPr="00A12FF7">
              <w:rPr>
                <w:sz w:val="22"/>
                <w:lang w:val="en-US"/>
              </w:rPr>
              <w:t>iTBS protocol</w:t>
            </w:r>
          </w:p>
          <w:p w14:paraId="7C764D3D" w14:textId="77777777" w:rsidR="00A12FF7" w:rsidRPr="00A12FF7" w:rsidRDefault="00A12FF7">
            <w:pPr>
              <w:rPr>
                <w:sz w:val="22"/>
                <w:lang w:val="en-US"/>
              </w:rPr>
            </w:pPr>
          </w:p>
        </w:tc>
      </w:tr>
    </w:tbl>
    <w:p w14:paraId="3ACD633E" w14:textId="246D17A1" w:rsidR="009105DE" w:rsidRPr="007B2501" w:rsidRDefault="009105DE" w:rsidP="009A1B62">
      <w:pPr>
        <w:rPr>
          <w:b/>
          <w:lang w:val="en-US"/>
        </w:rPr>
      </w:pPr>
    </w:p>
    <w:sectPr w:rsidR="009105DE" w:rsidRPr="007B2501" w:rsidSect="006D383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51FFFA" w16cex:dateUtc="2022-06-13T16:27:00Z"/>
  <w16cex:commentExtensible w16cex:durableId="2651FFB1" w16cex:dateUtc="2022-06-13T16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37D1619" w16cid:durableId="2651FFFA"/>
  <w16cid:commentId w16cid:paraId="186F6D93" w16cid:durableId="2651FFB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B02CD0"/>
    <w:multiLevelType w:val="hybridMultilevel"/>
    <w:tmpl w:val="0B4469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5DE"/>
    <w:rsid w:val="00682D2E"/>
    <w:rsid w:val="006D383D"/>
    <w:rsid w:val="007B2501"/>
    <w:rsid w:val="007C7777"/>
    <w:rsid w:val="00824EF7"/>
    <w:rsid w:val="00833290"/>
    <w:rsid w:val="009105DE"/>
    <w:rsid w:val="009A1B62"/>
    <w:rsid w:val="00A12FF7"/>
    <w:rsid w:val="00D92036"/>
    <w:rsid w:val="00FA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A4489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aliases w:val="Tesi"/>
    <w:qFormat/>
    <w:rsid w:val="009105DE"/>
    <w:pPr>
      <w:spacing w:after="160" w:line="259" w:lineRule="auto"/>
    </w:pPr>
    <w:rPr>
      <w:rFonts w:ascii="Times New Roman" w:eastAsiaTheme="minorEastAsia" w:hAnsi="Times New Roman"/>
      <w:szCs w:val="22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05DE"/>
    <w:pPr>
      <w:ind w:left="720"/>
      <w:contextualSpacing/>
    </w:pPr>
  </w:style>
  <w:style w:type="table" w:styleId="Grigliatabella">
    <w:name w:val="Table Grid"/>
    <w:basedOn w:val="Tabellanormale"/>
    <w:uiPriority w:val="39"/>
    <w:rsid w:val="00682D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D9203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9203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92036"/>
    <w:rPr>
      <w:rFonts w:ascii="Times New Roman" w:eastAsiaTheme="minorEastAsia" w:hAnsi="Times New Roman"/>
      <w:sz w:val="20"/>
      <w:szCs w:val="2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9203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92036"/>
    <w:rPr>
      <w:rFonts w:ascii="Times New Roman" w:eastAsiaTheme="minorEastAsia" w:hAnsi="Times New Roman"/>
      <w:b/>
      <w:bCs/>
      <w:sz w:val="20"/>
      <w:szCs w:val="20"/>
      <w:lang w:val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B62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B62"/>
    <w:rPr>
      <w:rFonts w:ascii="Times New Roman" w:eastAsiaTheme="minorEastAsia" w:hAnsi="Times New Roman" w:cs="Times New Roman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16/09/relationships/commentsIds" Target="commentsIds.xml"/><Relationship Id="rId8" Type="http://schemas.microsoft.com/office/2018/08/relationships/commentsExtensible" Target="commentsExtensible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635</Words>
  <Characters>3621</Characters>
  <Application>Microsoft Macintosh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Arianna Menardi1†*, Lisa Dotti2†, Ettore Ambrosini1, Antonino Vallesi1</vt:lpstr>
      <vt:lpstr>Running Head: TMS efficacy in AD </vt:lpstr>
      <vt:lpstr>Number of Figures: 6</vt:lpstr>
      <vt:lpstr>Number of Tables: 3</vt:lpstr>
      <vt:lpstr>Abstract words count: 221</vt:lpstr>
    </vt:vector>
  </TitlesOfParts>
  <Company/>
  <LinksUpToDate>false</LinksUpToDate>
  <CharactersWithSpaces>4248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Menardi</dc:creator>
  <cp:keywords/>
  <dc:description/>
  <cp:lastModifiedBy>Arianna Menardi</cp:lastModifiedBy>
  <cp:revision>8</cp:revision>
  <dcterms:created xsi:type="dcterms:W3CDTF">2022-06-13T07:53:00Z</dcterms:created>
  <dcterms:modified xsi:type="dcterms:W3CDTF">2022-06-14T09:45:00Z</dcterms:modified>
</cp:coreProperties>
</file>