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CEA" w:rsidRDefault="00113CEA" w:rsidP="00113CEA">
      <w:pPr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Supplemental Information</w:t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</w:t>
      </w:r>
      <w:r w:rsidRPr="003B2861"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</w:rPr>
        <w:t>ig.</w:t>
      </w:r>
      <w:r w:rsidRPr="003B2861"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  <w:b/>
          <w:bCs/>
        </w:rPr>
        <w:t xml:space="preserve"> </w:t>
      </w:r>
      <w:r w:rsidRPr="00D61A02">
        <w:rPr>
          <w:rFonts w:ascii="Arial" w:hAnsi="Arial" w:cs="Arial"/>
          <w:bCs/>
        </w:rPr>
        <w:t>Sensitivity analysis</w:t>
      </w:r>
      <w:r>
        <w:rPr>
          <w:rFonts w:ascii="Arial" w:hAnsi="Arial" w:cs="Arial"/>
          <w:bCs/>
        </w:rPr>
        <w:t xml:space="preserve"> </w:t>
      </w:r>
      <w:r w:rsidRPr="00842023">
        <w:rPr>
          <w:rFonts w:ascii="Arial" w:hAnsi="Arial" w:cs="Arial"/>
        </w:rPr>
        <w:t>H</w:t>
      </w:r>
      <w:r>
        <w:rPr>
          <w:rFonts w:ascii="Arial" w:hAnsi="Arial" w:cs="Arial"/>
        </w:rPr>
        <w:t>Rs</w:t>
      </w:r>
      <w:r w:rsidRPr="00842023">
        <w:rPr>
          <w:rFonts w:ascii="Arial" w:hAnsi="Arial" w:cs="Arial"/>
        </w:rPr>
        <w:t xml:space="preserve"> for treatment change </w:t>
      </w:r>
      <w:r>
        <w:rPr>
          <w:rFonts w:ascii="Arial" w:hAnsi="Arial" w:cs="Arial"/>
        </w:rPr>
        <w:t>relative to pre-study relapse inclusion criteria</w:t>
      </w:r>
    </w:p>
    <w:p w:rsidR="00113CEA" w:rsidRPr="00084955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Pr="00084955">
        <w:rPr>
          <w:rFonts w:ascii="Arial" w:hAnsi="Arial" w:cs="Arial"/>
        </w:rPr>
        <w:t xml:space="preserve">Relapses </w:t>
      </w:r>
      <w:r>
        <w:rPr>
          <w:rFonts w:ascii="Arial" w:hAnsi="Arial" w:cs="Arial"/>
        </w:rPr>
        <w:t xml:space="preserve">counted as on-study if they started </w:t>
      </w:r>
      <w:r w:rsidRPr="00084955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 xml:space="preserve">the </w:t>
      </w:r>
      <w:r w:rsidRPr="00084955">
        <w:rPr>
          <w:rFonts w:ascii="Arial" w:hAnsi="Arial" w:cs="Arial"/>
        </w:rPr>
        <w:t xml:space="preserve">30 days before study </w:t>
      </w:r>
      <w:r>
        <w:rPr>
          <w:rFonts w:ascii="Arial" w:hAnsi="Arial" w:cs="Arial"/>
        </w:rPr>
        <w:t>start*</w:t>
      </w:r>
    </w:p>
    <w:p w:rsidR="00113CEA" w:rsidRDefault="00113CEA" w:rsidP="00113CEA">
      <w:pPr>
        <w:rPr>
          <w:rFonts w:ascii="Arial" w:hAnsi="Arial" w:cs="Arial"/>
        </w:rPr>
      </w:pP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IN"/>
        </w:rPr>
        <w:drawing>
          <wp:inline distT="0" distB="0" distL="0" distR="0" wp14:anchorId="2E3395A1" wp14:editId="0BFFFA96">
            <wp:extent cx="4137890" cy="2709080"/>
            <wp:effectExtent l="0" t="0" r="0" b="0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60696" cy="272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13CEA" w:rsidRPr="002D7A08" w:rsidRDefault="00113CEA" w:rsidP="00113CEA">
      <w:pPr>
        <w:pStyle w:val="CommentTex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lastRenderedPageBreak/>
        <w:t>b.</w:t>
      </w:r>
      <w:proofErr w:type="spellEnd"/>
      <w:r w:rsidRPr="002D7A08">
        <w:rPr>
          <w:rFonts w:ascii="Arial" w:hAnsi="Arial" w:cs="Arial"/>
          <w:sz w:val="22"/>
          <w:szCs w:val="22"/>
        </w:rPr>
        <w:t xml:space="preserve"> Relapses counted as on-study if they started within </w:t>
      </w:r>
      <w:r>
        <w:rPr>
          <w:rFonts w:ascii="Arial" w:hAnsi="Arial" w:cs="Arial"/>
          <w:sz w:val="22"/>
          <w:szCs w:val="22"/>
        </w:rPr>
        <w:t xml:space="preserve">the </w:t>
      </w:r>
      <w:r w:rsidRPr="002D7A08">
        <w:rPr>
          <w:rFonts w:ascii="Arial" w:hAnsi="Arial" w:cs="Arial"/>
          <w:sz w:val="22"/>
          <w:szCs w:val="22"/>
        </w:rPr>
        <w:t xml:space="preserve">clinician </w:t>
      </w:r>
      <w:proofErr w:type="spellStart"/>
      <w:r w:rsidRPr="002D7A08">
        <w:rPr>
          <w:rFonts w:ascii="Arial" w:hAnsi="Arial" w:cs="Arial"/>
          <w:sz w:val="22"/>
          <w:szCs w:val="22"/>
        </w:rPr>
        <w:t>judgement</w:t>
      </w:r>
      <w:proofErr w:type="spellEnd"/>
      <w:r w:rsidRPr="002D7A08">
        <w:rPr>
          <w:rFonts w:ascii="Arial" w:hAnsi="Arial" w:cs="Arial"/>
          <w:sz w:val="22"/>
          <w:szCs w:val="22"/>
        </w:rPr>
        <w:t xml:space="preserve"> window before </w:t>
      </w:r>
      <w:r>
        <w:rPr>
          <w:rFonts w:ascii="Arial" w:hAnsi="Arial" w:cs="Arial"/>
          <w:sz w:val="22"/>
          <w:szCs w:val="22"/>
        </w:rPr>
        <w:t xml:space="preserve">the </w:t>
      </w:r>
      <w:r w:rsidRPr="002D7A08">
        <w:rPr>
          <w:rFonts w:ascii="Arial" w:hAnsi="Arial" w:cs="Arial"/>
          <w:sz w:val="22"/>
          <w:szCs w:val="22"/>
        </w:rPr>
        <w:t>study start</w:t>
      </w:r>
      <w:r>
        <w:rPr>
          <w:rFonts w:ascii="Arial" w:hAnsi="Arial" w:cs="Arial"/>
          <w:sz w:val="22"/>
          <w:szCs w:val="22"/>
        </w:rPr>
        <w:t>*</w:t>
      </w:r>
    </w:p>
    <w:p w:rsidR="00113CEA" w:rsidRDefault="00113CEA" w:rsidP="00113CEA">
      <w:pPr>
        <w:rPr>
          <w:rFonts w:ascii="Arial" w:hAnsi="Arial" w:cs="Arial"/>
          <w:b/>
          <w:bCs/>
        </w:rPr>
      </w:pPr>
    </w:p>
    <w:p w:rsidR="00113CEA" w:rsidRDefault="00113CEA" w:rsidP="00113CE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IN"/>
        </w:rPr>
        <w:drawing>
          <wp:inline distT="0" distB="0" distL="0" distR="0" wp14:anchorId="763D0FB3" wp14:editId="1F90439C">
            <wp:extent cx="4132438" cy="2722729"/>
            <wp:effectExtent l="0" t="0" r="0" b="1905"/>
            <wp:docPr id="13" name="Picture 13" descr="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chematic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9285" cy="273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*Note: only variables related to on-study relapse/phenotype are subject to change based on the window of relapse definition.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a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female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b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White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c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&lt;30 years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d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</w:t>
      </w:r>
      <w:proofErr w:type="spellStart"/>
      <w:r w:rsidRPr="00422BE6">
        <w:rPr>
          <w:rFonts w:ascii="Arial" w:hAnsi="Arial" w:cs="Arial"/>
        </w:rPr>
        <w:t>seropositivity</w:t>
      </w:r>
      <w:proofErr w:type="spellEnd"/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e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&gt;5 years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f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no autoimmune disease comorbidity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g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TM, TM</w:t>
      </w:r>
      <w:r>
        <w:rPr>
          <w:rFonts w:ascii="Arial" w:hAnsi="Arial" w:cs="Arial"/>
        </w:rPr>
        <w:t xml:space="preserve"> </w:t>
      </w:r>
      <w:r w:rsidRPr="00422BE6">
        <w:rPr>
          <w:rFonts w:ascii="Arial" w:hAnsi="Arial" w:cs="Arial"/>
        </w:rPr>
        <w:t>+</w:t>
      </w:r>
      <w:r>
        <w:rPr>
          <w:rFonts w:ascii="Arial" w:hAnsi="Arial" w:cs="Arial"/>
        </w:rPr>
        <w:t xml:space="preserve"> BR. </w:t>
      </w:r>
      <w:proofErr w:type="spellStart"/>
      <w:r w:rsidRPr="00422BE6">
        <w:rPr>
          <w:rFonts w:ascii="Arial" w:hAnsi="Arial" w:cs="Arial"/>
          <w:vertAlign w:val="superscript"/>
        </w:rPr>
        <w:t>h</w:t>
      </w:r>
      <w:r w:rsidRPr="00422BE6">
        <w:rPr>
          <w:rFonts w:ascii="Arial" w:hAnsi="Arial" w:cs="Arial"/>
        </w:rPr>
        <w:t>Reference</w:t>
      </w:r>
      <w:proofErr w:type="spellEnd"/>
      <w:r w:rsidRPr="00422BE6">
        <w:rPr>
          <w:rFonts w:ascii="Arial" w:hAnsi="Arial" w:cs="Arial"/>
        </w:rPr>
        <w:t xml:space="preserve"> no prior on-study relapse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422BE6">
        <w:rPr>
          <w:rFonts w:ascii="Arial" w:hAnsi="Arial" w:cs="Arial"/>
          <w:vertAlign w:val="superscript"/>
        </w:rPr>
        <w:t>i</w:t>
      </w:r>
      <w:r w:rsidRPr="00422BE6">
        <w:rPr>
          <w:rFonts w:ascii="Arial" w:hAnsi="Arial" w:cs="Arial"/>
        </w:rPr>
        <w:t>Reference</w:t>
      </w:r>
      <w:proofErr w:type="spellEnd"/>
      <w:proofErr w:type="gramEnd"/>
      <w:r w:rsidRPr="00422B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pre-study</w:t>
      </w:r>
      <w:r w:rsidRPr="00422BE6">
        <w:rPr>
          <w:rFonts w:ascii="Arial" w:hAnsi="Arial" w:cs="Arial"/>
        </w:rPr>
        <w:t xml:space="preserve"> ARR &lt;0.25</w:t>
      </w:r>
      <w:r>
        <w:rPr>
          <w:rFonts w:ascii="Arial" w:hAnsi="Arial" w:cs="Arial"/>
        </w:rPr>
        <w:t>.</w:t>
      </w:r>
      <w:r w:rsidRPr="00D023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Anti–AQP4-IgG</w:t>
      </w:r>
      <w:r w:rsidRPr="00422BE6">
        <w:rPr>
          <w:rFonts w:ascii="Arial" w:hAnsi="Arial" w:cs="Arial"/>
        </w:rPr>
        <w:t>, aquaporin</w:t>
      </w:r>
      <w:r>
        <w:rPr>
          <w:rFonts w:ascii="Arial" w:hAnsi="Arial" w:cs="Arial"/>
        </w:rPr>
        <w:t xml:space="preserve"> </w:t>
      </w:r>
      <w:r w:rsidRPr="00422BE6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autoantibody</w:t>
      </w:r>
      <w:r w:rsidRPr="00422BE6">
        <w:rPr>
          <w:rFonts w:ascii="Arial" w:hAnsi="Arial" w:cs="Arial"/>
        </w:rPr>
        <w:t>; ARR, annualized relapse rate;</w:t>
      </w:r>
      <w:r>
        <w:rPr>
          <w:rFonts w:ascii="Arial" w:hAnsi="Arial" w:cs="Arial"/>
        </w:rPr>
        <w:t xml:space="preserve"> BR, brain involvement;</w:t>
      </w:r>
      <w:r w:rsidRPr="00422BE6">
        <w:rPr>
          <w:rFonts w:ascii="Arial" w:hAnsi="Arial" w:cs="Arial"/>
        </w:rPr>
        <w:t xml:space="preserve"> HR, hazard ratio; ON, optic neuritis; TM, transverse myelitis</w:t>
      </w:r>
    </w:p>
    <w:p w:rsidR="00113CEA" w:rsidRDefault="00113CEA" w:rsidP="00113CEA">
      <w:pPr>
        <w:rPr>
          <w:rFonts w:ascii="Arial" w:hAnsi="Arial" w:cs="Arial"/>
        </w:rPr>
      </w:pP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 xml:space="preserve">Supplementary Fig. 2 </w:t>
      </w:r>
      <w:r w:rsidRPr="00155547">
        <w:rPr>
          <w:rFonts w:ascii="Arial" w:hAnsi="Arial" w:cs="Arial"/>
          <w:bCs/>
        </w:rPr>
        <w:t>Sensitivity analysis</w:t>
      </w:r>
      <w:r>
        <w:rPr>
          <w:rFonts w:ascii="Arial" w:hAnsi="Arial" w:cs="Arial"/>
          <w:bCs/>
        </w:rPr>
        <w:t xml:space="preserve"> </w:t>
      </w:r>
      <w:r w:rsidRPr="00842023">
        <w:rPr>
          <w:rFonts w:ascii="Arial" w:hAnsi="Arial" w:cs="Arial"/>
        </w:rPr>
        <w:t>H</w:t>
      </w:r>
      <w:r>
        <w:rPr>
          <w:rFonts w:ascii="Arial" w:hAnsi="Arial" w:cs="Arial"/>
        </w:rPr>
        <w:t>Rs</w:t>
      </w:r>
      <w:r w:rsidRPr="00842023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 xml:space="preserve">rituximab discontinuation among patients </w:t>
      </w:r>
      <w:r w:rsidRPr="00B627C4">
        <w:rPr>
          <w:rFonts w:ascii="Arial" w:hAnsi="Arial" w:cs="Arial"/>
        </w:rPr>
        <w:t xml:space="preserve">taking rituximab </w:t>
      </w:r>
      <w:r>
        <w:rPr>
          <w:rFonts w:ascii="Arial" w:hAnsi="Arial" w:cs="Arial"/>
        </w:rPr>
        <w:t>(at least two doses) relative to pre-study relapse inclusion criteria</w:t>
      </w:r>
      <w:r w:rsidRPr="00B627C4" w:rsidDel="009607E7">
        <w:rPr>
          <w:rFonts w:ascii="Arial" w:hAnsi="Arial" w:cs="Arial"/>
        </w:rPr>
        <w:t xml:space="preserve"> </w:t>
      </w:r>
      <w:r w:rsidRPr="00B627C4">
        <w:rPr>
          <w:rFonts w:ascii="Arial" w:hAnsi="Arial" w:cs="Arial"/>
        </w:rPr>
        <w:t xml:space="preserve"> </w:t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Pr="002D7A08">
        <w:rPr>
          <w:rFonts w:ascii="Arial" w:hAnsi="Arial" w:cs="Arial"/>
        </w:rPr>
        <w:t xml:space="preserve">Relapses </w:t>
      </w:r>
      <w:r>
        <w:rPr>
          <w:rFonts w:ascii="Arial" w:hAnsi="Arial" w:cs="Arial"/>
        </w:rPr>
        <w:t xml:space="preserve">counted as on-study if they started </w:t>
      </w:r>
      <w:r w:rsidRPr="002D7A0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the 30</w:t>
      </w:r>
      <w:r w:rsidRPr="002D7A08">
        <w:rPr>
          <w:rFonts w:ascii="Arial" w:hAnsi="Arial" w:cs="Arial"/>
        </w:rPr>
        <w:t xml:space="preserve"> days before </w:t>
      </w:r>
      <w:r>
        <w:rPr>
          <w:rFonts w:ascii="Arial" w:hAnsi="Arial" w:cs="Arial"/>
        </w:rPr>
        <w:t xml:space="preserve">the </w:t>
      </w:r>
      <w:r w:rsidRPr="002D7A08">
        <w:rPr>
          <w:rFonts w:ascii="Arial" w:hAnsi="Arial" w:cs="Arial"/>
        </w:rPr>
        <w:t>study start</w:t>
      </w:r>
      <w:r>
        <w:rPr>
          <w:rFonts w:ascii="Arial" w:hAnsi="Arial" w:cs="Arial"/>
        </w:rPr>
        <w:t>*</w:t>
      </w:r>
    </w:p>
    <w:p w:rsidR="00113CEA" w:rsidRDefault="00113CEA" w:rsidP="00113CEA">
      <w:pPr>
        <w:rPr>
          <w:rFonts w:ascii="Arial" w:hAnsi="Arial" w:cs="Arial"/>
        </w:rPr>
      </w:pP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IN"/>
        </w:rPr>
        <w:drawing>
          <wp:inline distT="0" distB="0" distL="0" distR="0" wp14:anchorId="7C7E7BA1" wp14:editId="1B59C607">
            <wp:extent cx="4859020" cy="2661040"/>
            <wp:effectExtent l="0" t="0" r="0" b="6350"/>
            <wp:docPr id="10" name="Picture 10" descr="Chart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schematic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2422" cy="267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13CEA" w:rsidRDefault="00113CEA" w:rsidP="00113CE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b.</w:t>
      </w:r>
      <w:proofErr w:type="spellEnd"/>
      <w:r>
        <w:rPr>
          <w:rFonts w:ascii="Arial" w:hAnsi="Arial" w:cs="Arial"/>
        </w:rPr>
        <w:t xml:space="preserve"> </w:t>
      </w:r>
      <w:r w:rsidRPr="002D7A08">
        <w:rPr>
          <w:rFonts w:ascii="Arial" w:hAnsi="Arial" w:cs="Arial"/>
        </w:rPr>
        <w:t xml:space="preserve">Relapses counted as on-study if they started within </w:t>
      </w:r>
      <w:r>
        <w:rPr>
          <w:rFonts w:ascii="Arial" w:hAnsi="Arial" w:cs="Arial"/>
        </w:rPr>
        <w:t xml:space="preserve">the </w:t>
      </w:r>
      <w:r w:rsidRPr="002D7A08">
        <w:rPr>
          <w:rFonts w:ascii="Arial" w:hAnsi="Arial" w:cs="Arial"/>
        </w:rPr>
        <w:t>clinician judgement window before study start</w:t>
      </w:r>
      <w:r>
        <w:rPr>
          <w:rFonts w:ascii="Arial" w:hAnsi="Arial" w:cs="Arial"/>
        </w:rPr>
        <w:t>*</w:t>
      </w:r>
    </w:p>
    <w:p w:rsidR="00113CEA" w:rsidRDefault="00113CEA" w:rsidP="00113CEA">
      <w:pPr>
        <w:rPr>
          <w:rFonts w:ascii="Arial" w:hAnsi="Arial" w:cs="Arial"/>
        </w:rPr>
      </w:pP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IN"/>
        </w:rPr>
        <w:drawing>
          <wp:inline distT="0" distB="0" distL="0" distR="0" wp14:anchorId="5E0EBBCE" wp14:editId="7647AFB0">
            <wp:extent cx="4884439" cy="2674961"/>
            <wp:effectExtent l="0" t="0" r="0" b="0"/>
            <wp:docPr id="11" name="Picture 11" descr="Chart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schematic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9695" cy="268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EA" w:rsidRDefault="00113CEA" w:rsidP="00113C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*Note: only variables related to on-study relapse/phenotype are subject to change based on the window of relapse definition.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a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female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b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White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c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</w:t>
      </w:r>
      <w:proofErr w:type="spellStart"/>
      <w:r w:rsidRPr="001C0D91">
        <w:rPr>
          <w:rFonts w:ascii="Arial" w:hAnsi="Arial" w:cs="Arial"/>
        </w:rPr>
        <w:t>seropositivity</w:t>
      </w:r>
      <w:proofErr w:type="spellEnd"/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d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30–49 years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e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&gt;5 years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f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ARR &lt;0.25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1C0D91">
        <w:rPr>
          <w:rFonts w:ascii="Arial" w:hAnsi="Arial" w:cs="Arial"/>
          <w:vertAlign w:val="superscript"/>
        </w:rPr>
        <w:t>g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</w:rPr>
        <w:t xml:space="preserve"> ON, ON</w:t>
      </w:r>
      <w:r>
        <w:rPr>
          <w:rFonts w:ascii="Arial" w:hAnsi="Arial" w:cs="Arial"/>
        </w:rPr>
        <w:t xml:space="preserve"> </w:t>
      </w:r>
      <w:r w:rsidRPr="001C0D91">
        <w:rPr>
          <w:rFonts w:ascii="Arial" w:hAnsi="Arial" w:cs="Arial"/>
        </w:rPr>
        <w:t>+</w:t>
      </w:r>
      <w:r>
        <w:rPr>
          <w:rFonts w:ascii="Arial" w:hAnsi="Arial" w:cs="Arial"/>
        </w:rPr>
        <w:t xml:space="preserve"> BR. </w:t>
      </w:r>
      <w:proofErr w:type="spellStart"/>
      <w:r w:rsidRPr="001C0D91">
        <w:rPr>
          <w:rFonts w:ascii="Arial" w:hAnsi="Arial" w:cs="Arial"/>
          <w:vertAlign w:val="superscript"/>
        </w:rPr>
        <w:t>h</w:t>
      </w:r>
      <w:r w:rsidRPr="001C0D91">
        <w:rPr>
          <w:rFonts w:ascii="Arial" w:hAnsi="Arial" w:cs="Arial"/>
        </w:rPr>
        <w:t>Reference</w:t>
      </w:r>
      <w:proofErr w:type="spellEnd"/>
      <w:r w:rsidRPr="001C0D91">
        <w:rPr>
          <w:rFonts w:ascii="Arial" w:hAnsi="Arial" w:cs="Arial"/>
        </w:rPr>
        <w:t xml:space="preserve"> no comorbidity</w:t>
      </w:r>
      <w:r>
        <w:rPr>
          <w:rFonts w:ascii="Arial" w:hAnsi="Arial" w:cs="Arial"/>
        </w:rPr>
        <w:t xml:space="preserve">. </w:t>
      </w:r>
      <w:proofErr w:type="spellStart"/>
      <w:proofErr w:type="gramStart"/>
      <w:r w:rsidRPr="002238D0">
        <w:rPr>
          <w:rFonts w:ascii="Arial" w:hAnsi="Arial" w:cs="Arial"/>
          <w:vertAlign w:val="superscript"/>
        </w:rPr>
        <w:t>i</w:t>
      </w:r>
      <w:r>
        <w:rPr>
          <w:rFonts w:ascii="Arial" w:hAnsi="Arial" w:cs="Arial"/>
        </w:rPr>
        <w:t>Reference</w:t>
      </w:r>
      <w:proofErr w:type="spellEnd"/>
      <w:proofErr w:type="gramEnd"/>
      <w:r>
        <w:rPr>
          <w:rFonts w:ascii="Arial" w:hAnsi="Arial" w:cs="Arial"/>
        </w:rPr>
        <w:t xml:space="preserve"> no rheumatoid arthritis. </w:t>
      </w:r>
      <w:proofErr w:type="spellStart"/>
      <w:proofErr w:type="gramStart"/>
      <w:r w:rsidRPr="002238D0">
        <w:rPr>
          <w:rFonts w:ascii="Arial" w:hAnsi="Arial" w:cs="Arial"/>
          <w:vertAlign w:val="superscript"/>
        </w:rPr>
        <w:t>j</w:t>
      </w:r>
      <w:r>
        <w:rPr>
          <w:rFonts w:ascii="Arial" w:hAnsi="Arial" w:cs="Arial"/>
        </w:rPr>
        <w:t>Reference</w:t>
      </w:r>
      <w:proofErr w:type="spellEnd"/>
      <w:proofErr w:type="gramEnd"/>
      <w:r>
        <w:rPr>
          <w:rFonts w:ascii="Arial" w:hAnsi="Arial" w:cs="Arial"/>
        </w:rPr>
        <w:t xml:space="preserve"> no lupus. </w:t>
      </w:r>
      <w:proofErr w:type="spellStart"/>
      <w:proofErr w:type="gramStart"/>
      <w:r w:rsidRPr="002238D0">
        <w:rPr>
          <w:rFonts w:ascii="Arial" w:hAnsi="Arial" w:cs="Arial"/>
          <w:vertAlign w:val="superscript"/>
        </w:rPr>
        <w:t>k</w:t>
      </w:r>
      <w:r>
        <w:rPr>
          <w:rFonts w:ascii="Arial" w:hAnsi="Arial" w:cs="Arial"/>
        </w:rPr>
        <w:t>Reference</w:t>
      </w:r>
      <w:proofErr w:type="spellEnd"/>
      <w:proofErr w:type="gramEnd"/>
      <w:r>
        <w:rPr>
          <w:rFonts w:ascii="Arial" w:hAnsi="Arial" w:cs="Arial"/>
        </w:rPr>
        <w:t xml:space="preserve"> no myasthenia gravis. </w:t>
      </w:r>
      <w:proofErr w:type="spellStart"/>
      <w:proofErr w:type="gramStart"/>
      <w:r w:rsidRPr="002238D0">
        <w:rPr>
          <w:rFonts w:ascii="Arial" w:hAnsi="Arial" w:cs="Arial"/>
          <w:vertAlign w:val="superscript"/>
        </w:rPr>
        <w:t>l</w:t>
      </w:r>
      <w:r>
        <w:rPr>
          <w:rFonts w:ascii="Arial" w:hAnsi="Arial" w:cs="Arial"/>
        </w:rPr>
        <w:t>Reference</w:t>
      </w:r>
      <w:proofErr w:type="spellEnd"/>
      <w:proofErr w:type="gramEnd"/>
      <w:r>
        <w:rPr>
          <w:rFonts w:ascii="Arial" w:hAnsi="Arial" w:cs="Arial"/>
        </w:rPr>
        <w:t xml:space="preserve"> no </w:t>
      </w:r>
      <w:proofErr w:type="spellStart"/>
      <w:r>
        <w:rPr>
          <w:rFonts w:ascii="Arial" w:hAnsi="Arial" w:cs="Arial"/>
        </w:rPr>
        <w:t>Sjögren</w:t>
      </w:r>
      <w:proofErr w:type="spellEnd"/>
      <w:r>
        <w:rPr>
          <w:rFonts w:ascii="Arial" w:hAnsi="Arial" w:cs="Arial"/>
        </w:rPr>
        <w:t xml:space="preserve"> syndrome. </w:t>
      </w:r>
      <w:proofErr w:type="spellStart"/>
      <w:proofErr w:type="gramStart"/>
      <w:r>
        <w:rPr>
          <w:rFonts w:ascii="Arial" w:hAnsi="Arial" w:cs="Arial"/>
          <w:vertAlign w:val="superscript"/>
        </w:rPr>
        <w:t>m</w:t>
      </w:r>
      <w:r w:rsidRPr="001C0D91">
        <w:rPr>
          <w:rFonts w:ascii="Arial" w:hAnsi="Arial" w:cs="Arial"/>
        </w:rPr>
        <w:t>Reference</w:t>
      </w:r>
      <w:proofErr w:type="spellEnd"/>
      <w:proofErr w:type="gramEnd"/>
      <w:r w:rsidRPr="001C0D91">
        <w:rPr>
          <w:rFonts w:ascii="Arial" w:hAnsi="Arial" w:cs="Arial"/>
          <w:vertAlign w:val="superscript"/>
        </w:rPr>
        <w:t xml:space="preserve"> </w:t>
      </w:r>
      <w:r w:rsidRPr="001C0D91">
        <w:rPr>
          <w:rFonts w:ascii="Arial" w:hAnsi="Arial" w:cs="Arial"/>
        </w:rPr>
        <w:t>no on-study relapse</w:t>
      </w:r>
      <w:r>
        <w:rPr>
          <w:rFonts w:ascii="Arial" w:hAnsi="Arial" w:cs="Arial"/>
        </w:rPr>
        <w:t>. Anti–</w:t>
      </w:r>
      <w:r w:rsidRPr="001C0D91">
        <w:rPr>
          <w:rFonts w:ascii="Arial" w:hAnsi="Arial" w:cs="Arial"/>
        </w:rPr>
        <w:t>AQP4</w:t>
      </w:r>
      <w:r>
        <w:rPr>
          <w:rFonts w:ascii="Arial" w:hAnsi="Arial" w:cs="Arial"/>
        </w:rPr>
        <w:t>-IgG</w:t>
      </w:r>
      <w:r w:rsidRPr="001C0D91">
        <w:rPr>
          <w:rFonts w:ascii="Arial" w:hAnsi="Arial" w:cs="Arial"/>
        </w:rPr>
        <w:t>, aquaporin</w:t>
      </w:r>
      <w:r>
        <w:rPr>
          <w:rFonts w:ascii="Arial" w:hAnsi="Arial" w:cs="Arial"/>
        </w:rPr>
        <w:t xml:space="preserve"> </w:t>
      </w:r>
      <w:r w:rsidRPr="001C0D9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autoantibody</w:t>
      </w:r>
      <w:r w:rsidRPr="001C0D91">
        <w:rPr>
          <w:rFonts w:ascii="Arial" w:hAnsi="Arial" w:cs="Arial"/>
        </w:rPr>
        <w:t xml:space="preserve">; ARR, annualized relapse rate; </w:t>
      </w:r>
      <w:r>
        <w:rPr>
          <w:rFonts w:ascii="Arial" w:hAnsi="Arial" w:cs="Arial"/>
        </w:rPr>
        <w:t xml:space="preserve">BR, brain involvement; </w:t>
      </w:r>
      <w:r w:rsidRPr="001C0D91">
        <w:rPr>
          <w:rFonts w:ascii="Arial" w:hAnsi="Arial" w:cs="Arial"/>
        </w:rPr>
        <w:t>HR, hazard ratio; ON, optic neuritis; TM, transverse myelitis</w:t>
      </w:r>
    </w:p>
    <w:p w:rsidR="00113CEA" w:rsidRDefault="00113CEA" w:rsidP="00113CEA">
      <w:pPr>
        <w:rPr>
          <w:rFonts w:ascii="Arial" w:hAnsi="Arial" w:cs="Arial"/>
        </w:rPr>
      </w:pPr>
    </w:p>
    <w:p w:rsidR="00671A84" w:rsidRDefault="00671A84"/>
    <w:sectPr w:rsidR="00671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62"/>
    <w:rsid w:val="0000645C"/>
    <w:rsid w:val="0001492D"/>
    <w:rsid w:val="00093764"/>
    <w:rsid w:val="000B39CD"/>
    <w:rsid w:val="000B6FB6"/>
    <w:rsid w:val="000E79BF"/>
    <w:rsid w:val="00113CEA"/>
    <w:rsid w:val="00226430"/>
    <w:rsid w:val="002B2D62"/>
    <w:rsid w:val="002F4404"/>
    <w:rsid w:val="00333398"/>
    <w:rsid w:val="003629BF"/>
    <w:rsid w:val="0036502E"/>
    <w:rsid w:val="003D6F4C"/>
    <w:rsid w:val="00430DBE"/>
    <w:rsid w:val="004312B2"/>
    <w:rsid w:val="00583DB2"/>
    <w:rsid w:val="00652C24"/>
    <w:rsid w:val="00671A84"/>
    <w:rsid w:val="006A7C79"/>
    <w:rsid w:val="00703ECF"/>
    <w:rsid w:val="007A025D"/>
    <w:rsid w:val="007B6DE0"/>
    <w:rsid w:val="007D74D4"/>
    <w:rsid w:val="00855A88"/>
    <w:rsid w:val="00897702"/>
    <w:rsid w:val="008A6678"/>
    <w:rsid w:val="008E6325"/>
    <w:rsid w:val="0092436A"/>
    <w:rsid w:val="009B10E5"/>
    <w:rsid w:val="009F078A"/>
    <w:rsid w:val="00A24A85"/>
    <w:rsid w:val="00AF3E28"/>
    <w:rsid w:val="00B64E5C"/>
    <w:rsid w:val="00B9069B"/>
    <w:rsid w:val="00BF00C1"/>
    <w:rsid w:val="00C05FF8"/>
    <w:rsid w:val="00C87914"/>
    <w:rsid w:val="00CA155B"/>
    <w:rsid w:val="00D07F4B"/>
    <w:rsid w:val="00D14CCC"/>
    <w:rsid w:val="00D70BB6"/>
    <w:rsid w:val="00DD64FD"/>
    <w:rsid w:val="00DF20A1"/>
    <w:rsid w:val="00DF6C53"/>
    <w:rsid w:val="00E517B1"/>
    <w:rsid w:val="00E5279A"/>
    <w:rsid w:val="00E87F81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2BE84-9117-46DF-9E24-5AD03E4B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113CEA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CEA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B.</dc:creator>
  <cp:keywords/>
  <dc:description/>
  <cp:lastModifiedBy>kavitha B.</cp:lastModifiedBy>
  <cp:revision>2</cp:revision>
  <dcterms:created xsi:type="dcterms:W3CDTF">2022-12-15T01:15:00Z</dcterms:created>
  <dcterms:modified xsi:type="dcterms:W3CDTF">2022-12-15T01:15:00Z</dcterms:modified>
</cp:coreProperties>
</file>