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643" w:rsidRPr="00331BF1" w:rsidRDefault="007E2643" w:rsidP="007E2643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1BF1">
        <w:rPr>
          <w:rFonts w:ascii="Times New Roman" w:hAnsi="Times New Roman" w:cs="Times New Roman"/>
          <w:sz w:val="24"/>
          <w:szCs w:val="24"/>
          <w:lang w:val="en-GB"/>
        </w:rPr>
        <w:t xml:space="preserve">Supplemental data to: Roos et al. Pontine Autosomal Dominant Microangiopathy with Leukoencephalopathy: </w:t>
      </w:r>
      <w:r w:rsidRPr="00331BF1">
        <w:rPr>
          <w:rFonts w:ascii="Times New Roman" w:hAnsi="Times New Roman" w:cs="Times New Roman"/>
          <w:i/>
          <w:sz w:val="24"/>
          <w:szCs w:val="24"/>
          <w:lang w:val="en-GB"/>
        </w:rPr>
        <w:t>Col4A1</w:t>
      </w:r>
      <w:r w:rsidRPr="00331BF1">
        <w:rPr>
          <w:rFonts w:ascii="Times New Roman" w:hAnsi="Times New Roman" w:cs="Times New Roman"/>
          <w:sz w:val="24"/>
          <w:szCs w:val="24"/>
          <w:lang w:val="en-GB"/>
        </w:rPr>
        <w:t xml:space="preserve"> gene variants in the original family and sporadic stroke</w:t>
      </w:r>
    </w:p>
    <w:p w:rsidR="00C962E8" w:rsidRPr="00331BF1" w:rsidRDefault="00C962E8" w:rsidP="00EC20D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C20DC" w:rsidRPr="00331BF1" w:rsidRDefault="00EC20DC" w:rsidP="00EC20D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1BF1">
        <w:rPr>
          <w:rFonts w:ascii="Times New Roman" w:hAnsi="Times New Roman" w:cs="Times New Roman"/>
          <w:sz w:val="24"/>
          <w:szCs w:val="24"/>
          <w:lang w:val="en-GB"/>
        </w:rPr>
        <w:t>Supplemental figure 1: Power analysis of the COL4A1 miRNA binding site sequencing in two stroke samples</w:t>
      </w:r>
    </w:p>
    <w:p w:rsidR="00C962E8" w:rsidRPr="00331BF1" w:rsidRDefault="00C962E8" w:rsidP="00EC20DC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1BF1"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3327822" cy="3087015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_Fig01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2" t="14730" r="21143" b="13811"/>
                    <a:stretch/>
                  </pic:blipFill>
                  <pic:spPr bwMode="auto">
                    <a:xfrm>
                      <a:off x="0" y="0"/>
                      <a:ext cx="3328257" cy="3087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3DD2" w:rsidRPr="00331BF1" w:rsidRDefault="00EC20DC" w:rsidP="003A3DD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1BF1">
        <w:rPr>
          <w:rFonts w:ascii="Times New Roman" w:hAnsi="Times New Roman" w:cs="Times New Roman"/>
          <w:sz w:val="24"/>
          <w:szCs w:val="24"/>
          <w:lang w:val="en-GB"/>
        </w:rPr>
        <w:t>Supplemental figure 1: Statistical power (for p = 0.05) was calculated using the “</w:t>
      </w:r>
      <w:proofErr w:type="spellStart"/>
      <w:r w:rsidRPr="00331BF1">
        <w:rPr>
          <w:rFonts w:ascii="Times New Roman" w:hAnsi="Times New Roman" w:cs="Times New Roman"/>
          <w:sz w:val="24"/>
          <w:szCs w:val="24"/>
          <w:lang w:val="en-GB"/>
        </w:rPr>
        <w:t>pwr</w:t>
      </w:r>
      <w:proofErr w:type="spellEnd"/>
      <w:r w:rsidRPr="00331BF1">
        <w:rPr>
          <w:rFonts w:ascii="Times New Roman" w:hAnsi="Times New Roman" w:cs="Times New Roman"/>
          <w:sz w:val="24"/>
          <w:szCs w:val="24"/>
          <w:lang w:val="en-GB"/>
        </w:rPr>
        <w:t>” package in R as detailed in the “Patients and Methods” section. Power is displayed as a function of the mutation frequency in percent.</w:t>
      </w:r>
      <w:r w:rsidR="00D12924" w:rsidRPr="00331BF1">
        <w:rPr>
          <w:rFonts w:ascii="Times New Roman" w:hAnsi="Times New Roman" w:cs="Times New Roman"/>
          <w:sz w:val="24"/>
          <w:szCs w:val="24"/>
          <w:lang w:val="en-GB"/>
        </w:rPr>
        <w:t xml:space="preserve"> The crossing point of the dotted lines indicates 80% power for a mutation frequency of 0.18%.</w:t>
      </w:r>
      <w:r w:rsidR="003A3DD2" w:rsidRPr="00331BF1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10220E" w:rsidRPr="00331BF1" w:rsidRDefault="003A3DD2" w:rsidP="003A3DD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1BF1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Supplemental figure 2: Conservation of the </w:t>
      </w:r>
      <w:r w:rsidRPr="00331BF1">
        <w:rPr>
          <w:rFonts w:ascii="Times New Roman" w:hAnsi="Times New Roman" w:cs="Times New Roman"/>
          <w:i/>
          <w:sz w:val="24"/>
          <w:szCs w:val="24"/>
          <w:lang w:val="en-GB"/>
        </w:rPr>
        <w:t>COL4A1</w:t>
      </w:r>
      <w:r w:rsidRPr="00331BF1">
        <w:rPr>
          <w:rFonts w:ascii="Times New Roman" w:hAnsi="Times New Roman" w:cs="Times New Roman"/>
          <w:sz w:val="24"/>
          <w:szCs w:val="24"/>
          <w:lang w:val="en-GB"/>
        </w:rPr>
        <w:t xml:space="preserve"> miRNA binding site</w:t>
      </w:r>
      <w:r w:rsidR="00EC20DC" w:rsidRPr="00331BF1">
        <w:rPr>
          <w:rFonts w:ascii="Times New Roman" w:hAnsi="Times New Roman" w:cs="Times New Roman"/>
          <w:sz w:val="24"/>
          <w:szCs w:val="24"/>
          <w:lang w:val="en-GB"/>
        </w:rPr>
        <w:t xml:space="preserve"> (genomic)</w:t>
      </w:r>
    </w:p>
    <w:p w:rsidR="00C962E8" w:rsidRPr="00331BF1" w:rsidRDefault="00C962E8" w:rsidP="003A3DD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1BF1"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5760720" cy="404256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_Fig02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/>
                    <a:stretch/>
                  </pic:blipFill>
                  <pic:spPr bwMode="auto">
                    <a:xfrm>
                      <a:off x="0" y="0"/>
                      <a:ext cx="5760720" cy="4042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DD2" w:rsidRPr="00331BF1" w:rsidRDefault="003A3DD2" w:rsidP="003A3DD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1BF1">
        <w:rPr>
          <w:rFonts w:ascii="Times New Roman" w:hAnsi="Times New Roman" w:cs="Times New Roman"/>
          <w:sz w:val="24"/>
          <w:szCs w:val="24"/>
          <w:lang w:val="en-GB"/>
        </w:rPr>
        <w:t>Supplemental figure 2:</w:t>
      </w:r>
      <w:r w:rsidR="00EC20DC" w:rsidRPr="00331BF1">
        <w:rPr>
          <w:rFonts w:ascii="Times New Roman" w:hAnsi="Times New Roman" w:cs="Times New Roman"/>
          <w:sz w:val="24"/>
          <w:szCs w:val="24"/>
          <w:lang w:val="en-GB"/>
        </w:rPr>
        <w:t xml:space="preserve"> The conservation data are derived from the UCSC human genome browser (</w:t>
      </w:r>
      <w:hyperlink r:id="rId6" w:history="1">
        <w:r w:rsidR="00EC20DC" w:rsidRPr="00331BF1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https://genome.ucsc.edu/</w:t>
        </w:r>
      </w:hyperlink>
      <w:r w:rsidR="00EC20DC" w:rsidRPr="00331BF1">
        <w:rPr>
          <w:rFonts w:ascii="Times New Roman" w:hAnsi="Times New Roman" w:cs="Times New Roman"/>
          <w:sz w:val="24"/>
          <w:szCs w:val="24"/>
          <w:lang w:val="en-GB"/>
        </w:rPr>
        <w:t xml:space="preserve">). The sequence is displayed on the genomic forward strand while </w:t>
      </w:r>
      <w:r w:rsidR="00EC20DC" w:rsidRPr="00331BF1">
        <w:rPr>
          <w:rFonts w:ascii="Times New Roman" w:hAnsi="Times New Roman" w:cs="Times New Roman"/>
          <w:i/>
          <w:sz w:val="24"/>
          <w:szCs w:val="24"/>
          <w:lang w:val="en-GB"/>
        </w:rPr>
        <w:t>COL4A1</w:t>
      </w:r>
      <w:r w:rsidR="00EC20DC" w:rsidRPr="00331BF1">
        <w:rPr>
          <w:rFonts w:ascii="Times New Roman" w:hAnsi="Times New Roman" w:cs="Times New Roman"/>
          <w:sz w:val="24"/>
          <w:szCs w:val="24"/>
          <w:lang w:val="en-GB"/>
        </w:rPr>
        <w:t xml:space="preserve"> is encoded on the reverse strand.</w:t>
      </w:r>
    </w:p>
    <w:p w:rsidR="003A3DD2" w:rsidRPr="00331BF1" w:rsidRDefault="003A3DD2" w:rsidP="003A3DD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10220E" w:rsidRPr="00331BF1" w:rsidRDefault="0010220E" w:rsidP="003A3DD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10220E" w:rsidRPr="00331B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1MzcwNjE1tjQ2sDBW0lEKTi0uzszPAykwqQUA9EAcyCwAAAA="/>
  </w:docVars>
  <w:rsids>
    <w:rsidRoot w:val="007A1832"/>
    <w:rsid w:val="0010220E"/>
    <w:rsid w:val="00331BF1"/>
    <w:rsid w:val="003A3DD2"/>
    <w:rsid w:val="007A1832"/>
    <w:rsid w:val="007C5651"/>
    <w:rsid w:val="007E2643"/>
    <w:rsid w:val="00807DD2"/>
    <w:rsid w:val="00955C7B"/>
    <w:rsid w:val="009B4801"/>
    <w:rsid w:val="00B267DE"/>
    <w:rsid w:val="00C44267"/>
    <w:rsid w:val="00C962E8"/>
    <w:rsid w:val="00D12924"/>
    <w:rsid w:val="00E85063"/>
    <w:rsid w:val="00EC20DC"/>
    <w:rsid w:val="00F447EC"/>
    <w:rsid w:val="00F6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4C951-52C8-469E-BD9C-C6F874F1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C20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nome.ucsc.ed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Kuhlenbaeumer</dc:creator>
  <cp:keywords/>
  <dc:description/>
  <cp:lastModifiedBy>Gregor Kuhlenbaeumer</cp:lastModifiedBy>
  <cp:revision>12</cp:revision>
  <dcterms:created xsi:type="dcterms:W3CDTF">2022-12-15T08:37:00Z</dcterms:created>
  <dcterms:modified xsi:type="dcterms:W3CDTF">2023-01-25T09:18:00Z</dcterms:modified>
</cp:coreProperties>
</file>