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97E39" w14:textId="77777777" w:rsidR="007A1F43" w:rsidRPr="007A1F43" w:rsidRDefault="007A1F43" w:rsidP="007A1F43">
      <w:pPr>
        <w:spacing w:before="60" w:after="60" w:line="360" w:lineRule="auto"/>
        <w:rPr>
          <w:rFonts w:ascii="Arial" w:hAnsi="Arial" w:cs="Arial"/>
          <w:b/>
          <w:bCs/>
          <w:i/>
          <w:iCs/>
          <w:sz w:val="28"/>
          <w:szCs w:val="28"/>
          <w:lang w:val="en-US"/>
        </w:rPr>
      </w:pPr>
      <w:r w:rsidRPr="007A1F43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Supplementary material</w:t>
      </w:r>
    </w:p>
    <w:p w14:paraId="2CDC1259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b/>
          <w:bCs/>
          <w:szCs w:val="22"/>
          <w:lang w:val="en-US"/>
        </w:rPr>
      </w:pPr>
    </w:p>
    <w:p w14:paraId="11B8984E" w14:textId="77777777" w:rsidR="007A1F43" w:rsidRPr="004F209F" w:rsidRDefault="007A1F43" w:rsidP="007A1F43">
      <w:pPr>
        <w:pStyle w:val="Heading1"/>
        <w:rPr>
          <w:rFonts w:ascii="Arial" w:hAnsi="Arial" w:cs="Arial"/>
        </w:rPr>
      </w:pPr>
      <w:proofErr w:type="spellStart"/>
      <w:r w:rsidRPr="004F209F">
        <w:rPr>
          <w:rFonts w:ascii="Arial" w:hAnsi="Arial" w:cs="Arial"/>
        </w:rPr>
        <w:t>Ravulizumab</w:t>
      </w:r>
      <w:proofErr w:type="spellEnd"/>
      <w:r w:rsidRPr="004F209F">
        <w:rPr>
          <w:rFonts w:ascii="Arial" w:hAnsi="Arial" w:cs="Arial"/>
        </w:rPr>
        <w:t xml:space="preserve"> pharmacokinetics and pharmacodynamics in patients with generalized myasthenia gravis</w:t>
      </w:r>
    </w:p>
    <w:p w14:paraId="71B7B61C" w14:textId="77777777" w:rsidR="007A1F43" w:rsidRPr="004F209F" w:rsidRDefault="007A1F43" w:rsidP="007A1F43">
      <w:pPr>
        <w:spacing w:after="120" w:line="360" w:lineRule="auto"/>
        <w:rPr>
          <w:rFonts w:ascii="Arial" w:hAnsi="Arial" w:cs="Arial"/>
          <w:color w:val="000000" w:themeColor="text1"/>
          <w:szCs w:val="22"/>
          <w:lang w:val="en-US"/>
        </w:rPr>
      </w:pPr>
      <w:r w:rsidRPr="004F209F">
        <w:rPr>
          <w:rFonts w:ascii="Arial" w:hAnsi="Arial" w:cs="Arial"/>
          <w:color w:val="000000" w:themeColor="text1"/>
          <w:szCs w:val="22"/>
          <w:lang w:val="en-US"/>
        </w:rPr>
        <w:t>Tuan Vu,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1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Stephan Ortiz,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2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Masahisa Katsuno,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3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Djillali Annane,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4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Renato Mantegazza,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5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Kathleen N Beasley,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2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Rasha Aguzzi,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2</w:t>
      </w:r>
      <w:r w:rsidRPr="004F209F">
        <w:rPr>
          <w:rFonts w:ascii="Arial" w:hAnsi="Arial" w:cs="Arial"/>
          <w:color w:val="000000" w:themeColor="text1"/>
          <w:szCs w:val="22"/>
          <w:lang w:val="en-US"/>
        </w:rPr>
        <w:t xml:space="preserve"> James F Howard, Jr</w:t>
      </w:r>
      <w:r w:rsidRPr="004F209F">
        <w:rPr>
          <w:rFonts w:ascii="Arial" w:hAnsi="Arial" w:cs="Arial"/>
          <w:color w:val="000000" w:themeColor="text1"/>
          <w:szCs w:val="22"/>
          <w:vertAlign w:val="superscript"/>
          <w:lang w:val="en-US"/>
        </w:rPr>
        <w:t>6</w:t>
      </w:r>
    </w:p>
    <w:p w14:paraId="2FD23ED8" w14:textId="77777777" w:rsidR="007A1F43" w:rsidRPr="004F209F" w:rsidRDefault="007A1F43" w:rsidP="007A1F43">
      <w:pPr>
        <w:spacing w:after="120" w:line="360" w:lineRule="auto"/>
        <w:rPr>
          <w:rStyle w:val="eop"/>
          <w:rFonts w:ascii="Arial" w:hAnsi="Arial" w:cs="Arial"/>
          <w:color w:val="000000" w:themeColor="text1"/>
          <w:szCs w:val="22"/>
          <w:shd w:val="clear" w:color="auto" w:fill="FFFFFF"/>
          <w:lang w:val="en-US"/>
        </w:rPr>
      </w:pPr>
      <w:r w:rsidRPr="004F209F">
        <w:rPr>
          <w:rFonts w:ascii="Arial" w:hAnsi="Arial" w:cs="Arial"/>
          <w:bCs/>
          <w:color w:val="000000" w:themeColor="text1"/>
          <w:szCs w:val="22"/>
          <w:vertAlign w:val="superscript"/>
          <w:lang w:val="en-US"/>
        </w:rPr>
        <w:t>1</w:t>
      </w:r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University of South Florida Morsani College of Medicine, Tampa, FL, USA; </w:t>
      </w:r>
      <w:r w:rsidRPr="004F209F">
        <w:rPr>
          <w:rFonts w:ascii="Arial" w:hAnsi="Arial" w:cs="Arial"/>
          <w:bCs/>
          <w:color w:val="000000" w:themeColor="text1"/>
          <w:szCs w:val="22"/>
          <w:vertAlign w:val="superscript"/>
          <w:lang w:val="en-US"/>
        </w:rPr>
        <w:t>2</w:t>
      </w:r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Alexion, AstraZeneca Rare Disease, Boston, MA, USA; </w:t>
      </w:r>
      <w:r w:rsidRPr="004F209F">
        <w:rPr>
          <w:rFonts w:ascii="Arial" w:hAnsi="Arial" w:cs="Arial"/>
          <w:bCs/>
          <w:color w:val="000000" w:themeColor="text1"/>
          <w:szCs w:val="22"/>
          <w:vertAlign w:val="superscript"/>
          <w:lang w:val="en-US"/>
        </w:rPr>
        <w:t>3</w:t>
      </w:r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Nagoya University Graduate School of Medicine, Nagoya, Japan; </w:t>
      </w:r>
      <w:r w:rsidRPr="004F209F">
        <w:rPr>
          <w:rFonts w:ascii="Arial" w:hAnsi="Arial" w:cs="Arial"/>
          <w:bCs/>
          <w:color w:val="000000" w:themeColor="text1"/>
          <w:szCs w:val="22"/>
          <w:vertAlign w:val="superscript"/>
          <w:lang w:val="en-US"/>
        </w:rPr>
        <w:t>4</w:t>
      </w:r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Hôpital Raymond </w:t>
      </w:r>
      <w:proofErr w:type="spellStart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>Poincaré</w:t>
      </w:r>
      <w:proofErr w:type="spellEnd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, University of Versailles, </w:t>
      </w:r>
      <w:proofErr w:type="spellStart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>Garches</w:t>
      </w:r>
      <w:proofErr w:type="spellEnd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, France; </w:t>
      </w:r>
      <w:r w:rsidRPr="004F209F">
        <w:rPr>
          <w:rFonts w:ascii="Arial" w:hAnsi="Arial" w:cs="Arial"/>
          <w:bCs/>
          <w:color w:val="000000" w:themeColor="text1"/>
          <w:szCs w:val="22"/>
          <w:vertAlign w:val="superscript"/>
          <w:lang w:val="en-US"/>
        </w:rPr>
        <w:t>5</w:t>
      </w:r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Fondazione IRCCS </w:t>
      </w:r>
      <w:proofErr w:type="spellStart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>Istituto</w:t>
      </w:r>
      <w:proofErr w:type="spellEnd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 </w:t>
      </w:r>
      <w:proofErr w:type="spellStart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>Neurologico</w:t>
      </w:r>
      <w:proofErr w:type="spellEnd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 Carlo </w:t>
      </w:r>
      <w:proofErr w:type="spellStart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>Besta</w:t>
      </w:r>
      <w:proofErr w:type="spellEnd"/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, Milan, Italy; </w:t>
      </w:r>
      <w:r w:rsidRPr="004F209F">
        <w:rPr>
          <w:rFonts w:ascii="Arial" w:hAnsi="Arial" w:cs="Arial"/>
          <w:bCs/>
          <w:color w:val="000000" w:themeColor="text1"/>
          <w:szCs w:val="22"/>
          <w:vertAlign w:val="superscript"/>
          <w:lang w:val="en-US"/>
        </w:rPr>
        <w:t>6</w:t>
      </w:r>
      <w:r w:rsidRPr="004F209F">
        <w:rPr>
          <w:rFonts w:ascii="Arial" w:hAnsi="Arial" w:cs="Arial"/>
          <w:bCs/>
          <w:i/>
          <w:iCs/>
          <w:color w:val="000000" w:themeColor="text1"/>
          <w:szCs w:val="22"/>
          <w:lang w:val="en-US"/>
        </w:rPr>
        <w:t xml:space="preserve">The University of North Carolina, Chapel Hill, NC, USA </w:t>
      </w:r>
    </w:p>
    <w:p w14:paraId="2FC1A2E3" w14:textId="77777777" w:rsidR="007A1F43" w:rsidRPr="004F209F" w:rsidRDefault="007A1F43" w:rsidP="007A1F43">
      <w:pPr>
        <w:adjustRightInd w:val="0"/>
        <w:snapToGrid w:val="0"/>
        <w:spacing w:after="120" w:line="480" w:lineRule="auto"/>
        <w:rPr>
          <w:rFonts w:ascii="Arial" w:hAnsi="Arial" w:cs="Arial"/>
          <w:lang w:val="en-US"/>
        </w:rPr>
      </w:pPr>
    </w:p>
    <w:p w14:paraId="32929DB5" w14:textId="77777777" w:rsidR="007A1F43" w:rsidRPr="004F209F" w:rsidRDefault="007A1F43" w:rsidP="007A1F43">
      <w:pPr>
        <w:adjustRightInd w:val="0"/>
        <w:snapToGrid w:val="0"/>
        <w:spacing w:after="120" w:line="480" w:lineRule="auto"/>
        <w:rPr>
          <w:rFonts w:ascii="Arial" w:hAnsi="Arial" w:cs="Arial"/>
          <w:bCs/>
          <w:sz w:val="22"/>
          <w:szCs w:val="22"/>
          <w:lang w:val="en-US"/>
        </w:rPr>
      </w:pPr>
      <w:r w:rsidRPr="004F209F">
        <w:rPr>
          <w:rFonts w:ascii="Arial" w:hAnsi="Arial" w:cs="Arial"/>
          <w:b/>
          <w:sz w:val="22"/>
          <w:szCs w:val="22"/>
          <w:lang w:val="en-US"/>
        </w:rPr>
        <w:t>Corresponding author</w:t>
      </w:r>
      <w:r w:rsidRPr="004F209F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4F209F">
        <w:rPr>
          <w:rFonts w:ascii="Arial" w:hAnsi="Arial" w:cs="Arial"/>
          <w:bCs/>
          <w:sz w:val="22"/>
          <w:szCs w:val="22"/>
          <w:lang w:val="en-US"/>
        </w:rPr>
        <w:br/>
        <w:t xml:space="preserve">Stephan Ortiz; Email: </w:t>
      </w:r>
      <w:hyperlink r:id="rId9" w:history="1">
        <w:r w:rsidRPr="004F209F">
          <w:rPr>
            <w:rStyle w:val="Hyperlink"/>
            <w:rFonts w:ascii="Arial" w:hAnsi="Arial" w:cs="Arial"/>
            <w:sz w:val="22"/>
            <w:szCs w:val="22"/>
            <w:lang w:val="en-US"/>
          </w:rPr>
          <w:t>Stephan.Ortiz@alexion.com</w:t>
        </w:r>
      </w:hyperlink>
    </w:p>
    <w:p w14:paraId="3DB8E7EB" w14:textId="77777777" w:rsidR="007A1F43" w:rsidRDefault="007A1F43" w:rsidP="007A1F43">
      <w:pPr>
        <w:rPr>
          <w:rFonts w:ascii="Arial" w:hAnsi="Arial" w:cs="Arial"/>
          <w:b/>
          <w:bCs/>
          <w:sz w:val="22"/>
          <w:szCs w:val="20"/>
          <w:lang w:val="en-US"/>
        </w:rPr>
      </w:pPr>
      <w:r>
        <w:rPr>
          <w:rFonts w:ascii="Arial" w:hAnsi="Arial" w:cs="Arial"/>
          <w:b/>
          <w:bCs/>
          <w:sz w:val="22"/>
          <w:szCs w:val="20"/>
          <w:lang w:val="en-US"/>
        </w:rPr>
        <w:br w:type="page"/>
      </w:r>
    </w:p>
    <w:p w14:paraId="79A600ED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sz w:val="22"/>
          <w:szCs w:val="20"/>
          <w:lang w:val="en-US"/>
        </w:rPr>
      </w:pPr>
      <w:r w:rsidRPr="004F209F">
        <w:rPr>
          <w:rFonts w:ascii="Arial" w:hAnsi="Arial" w:cs="Arial"/>
          <w:b/>
          <w:bCs/>
          <w:sz w:val="22"/>
          <w:szCs w:val="20"/>
          <w:lang w:val="en-US"/>
        </w:rPr>
        <w:lastRenderedPageBreak/>
        <w:t xml:space="preserve">Supplementary Fig. S1 </w:t>
      </w:r>
      <w:r w:rsidRPr="004F209F">
        <w:rPr>
          <w:rFonts w:ascii="Arial" w:hAnsi="Arial" w:cs="Arial"/>
          <w:sz w:val="22"/>
          <w:szCs w:val="20"/>
          <w:lang w:val="en-US"/>
        </w:rPr>
        <w:t xml:space="preserve">Example of impact of PLEX/PP intervention and supplemental </w:t>
      </w:r>
      <w:proofErr w:type="spellStart"/>
      <w:r w:rsidRPr="004F209F">
        <w:rPr>
          <w:rFonts w:ascii="Arial" w:hAnsi="Arial" w:cs="Arial"/>
          <w:sz w:val="22"/>
          <w:szCs w:val="20"/>
          <w:lang w:val="en-US"/>
        </w:rPr>
        <w:t>ravulizumab</w:t>
      </w:r>
      <w:proofErr w:type="spellEnd"/>
      <w:r w:rsidRPr="004F209F">
        <w:rPr>
          <w:rFonts w:ascii="Arial" w:hAnsi="Arial" w:cs="Arial"/>
          <w:sz w:val="22"/>
          <w:szCs w:val="20"/>
          <w:lang w:val="en-US"/>
        </w:rPr>
        <w:t xml:space="preserve"> doses on the concentration–time profile of </w:t>
      </w:r>
      <w:proofErr w:type="spellStart"/>
      <w:r w:rsidRPr="004F209F">
        <w:rPr>
          <w:rFonts w:ascii="Arial" w:hAnsi="Arial" w:cs="Arial"/>
          <w:sz w:val="22"/>
          <w:szCs w:val="20"/>
          <w:lang w:val="en-US"/>
        </w:rPr>
        <w:t>ravulizumab</w:t>
      </w:r>
      <w:proofErr w:type="spellEnd"/>
    </w:p>
    <w:p w14:paraId="707E8D24" w14:textId="77777777" w:rsidR="007A1F43" w:rsidRPr="004F209F" w:rsidRDefault="007A1F43" w:rsidP="007A1F43">
      <w:pPr>
        <w:spacing w:before="120" w:after="120" w:line="360" w:lineRule="auto"/>
        <w:rPr>
          <w:rFonts w:ascii="Arial" w:hAnsi="Arial" w:cs="Arial"/>
          <w:sz w:val="22"/>
          <w:szCs w:val="22"/>
          <w:lang w:val="en-US"/>
        </w:rPr>
      </w:pPr>
    </w:p>
    <w:p w14:paraId="41F98076" w14:textId="77777777" w:rsidR="007A1F43" w:rsidRPr="004F209F" w:rsidRDefault="007A1F43" w:rsidP="007A1F43">
      <w:pPr>
        <w:spacing w:before="120" w:after="120"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val="en-US"/>
        </w:rPr>
        <w:drawing>
          <wp:inline distT="0" distB="0" distL="0" distR="0" wp14:anchorId="72CA4EF5" wp14:editId="5644136D">
            <wp:extent cx="5727700" cy="2967355"/>
            <wp:effectExtent l="0" t="0" r="6350" b="4445"/>
            <wp:docPr id="23" name="Picture 2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1F561" w14:textId="77777777" w:rsidR="007A1F43" w:rsidRPr="004F209F" w:rsidRDefault="007A1F43" w:rsidP="007A1F43">
      <w:pPr>
        <w:spacing w:before="120" w:after="120" w:line="360" w:lineRule="auto"/>
        <w:rPr>
          <w:rFonts w:ascii="Arial" w:hAnsi="Arial" w:cs="Arial"/>
          <w:sz w:val="18"/>
          <w:szCs w:val="18"/>
          <w:lang w:val="en-US"/>
        </w:rPr>
      </w:pPr>
      <w:r w:rsidRPr="004F209F">
        <w:rPr>
          <w:rFonts w:ascii="Arial" w:hAnsi="Arial" w:cs="Arial"/>
          <w:sz w:val="18"/>
          <w:szCs w:val="18"/>
          <w:lang w:val="en-US"/>
        </w:rPr>
        <w:t>The dashed line represents the pharmacokinetic therapeutic target threshold.</w:t>
      </w:r>
    </w:p>
    <w:p w14:paraId="7AEF3ACA" w14:textId="77777777" w:rsidR="007A1F43" w:rsidRPr="004F209F" w:rsidRDefault="007A1F43" w:rsidP="007A1F43">
      <w:pPr>
        <w:spacing w:before="120" w:after="120" w:line="360" w:lineRule="auto"/>
        <w:rPr>
          <w:rFonts w:ascii="Arial" w:hAnsi="Arial" w:cs="Arial"/>
          <w:sz w:val="18"/>
          <w:szCs w:val="18"/>
          <w:lang w:val="en-US"/>
        </w:rPr>
      </w:pPr>
      <w:r w:rsidRPr="004F209F">
        <w:rPr>
          <w:rFonts w:ascii="Arial" w:hAnsi="Arial" w:cs="Arial"/>
          <w:sz w:val="18"/>
          <w:szCs w:val="18"/>
          <w:lang w:val="en-US"/>
        </w:rPr>
        <w:t>PLEX/PP = plasma exchange/plasmapheresis</w:t>
      </w:r>
    </w:p>
    <w:p w14:paraId="46AF4C32" w14:textId="77777777" w:rsidR="007A1F43" w:rsidRPr="004F209F" w:rsidRDefault="007A1F43" w:rsidP="007A1F43">
      <w:pPr>
        <w:pageBreakBefore/>
        <w:spacing w:before="60" w:after="60" w:line="360" w:lineRule="auto"/>
        <w:rPr>
          <w:rFonts w:ascii="Arial" w:hAnsi="Arial" w:cs="Arial"/>
          <w:sz w:val="22"/>
          <w:szCs w:val="20"/>
          <w:lang w:val="en-US"/>
        </w:rPr>
      </w:pPr>
      <w:r w:rsidRPr="004F209F">
        <w:rPr>
          <w:rFonts w:ascii="Arial" w:hAnsi="Arial" w:cs="Arial"/>
          <w:b/>
          <w:bCs/>
          <w:sz w:val="22"/>
          <w:szCs w:val="20"/>
          <w:lang w:val="en-US"/>
        </w:rPr>
        <w:t xml:space="preserve">Supplementary Fig. S2 </w:t>
      </w:r>
      <w:r w:rsidRPr="004F209F">
        <w:rPr>
          <w:rFonts w:ascii="Arial" w:hAnsi="Arial" w:cs="Arial"/>
          <w:sz w:val="22"/>
          <w:szCs w:val="20"/>
          <w:lang w:val="en-US"/>
        </w:rPr>
        <w:t xml:space="preserve">Example of impact of IVIg intervention and supplemental </w:t>
      </w:r>
      <w:proofErr w:type="spellStart"/>
      <w:r w:rsidRPr="004F209F">
        <w:rPr>
          <w:rFonts w:ascii="Arial" w:hAnsi="Arial" w:cs="Arial"/>
          <w:sz w:val="22"/>
          <w:szCs w:val="20"/>
          <w:lang w:val="en-US"/>
        </w:rPr>
        <w:t>ravulizumab</w:t>
      </w:r>
      <w:proofErr w:type="spellEnd"/>
      <w:r w:rsidRPr="004F209F">
        <w:rPr>
          <w:rFonts w:ascii="Arial" w:hAnsi="Arial" w:cs="Arial"/>
          <w:sz w:val="22"/>
          <w:szCs w:val="20"/>
          <w:lang w:val="en-US"/>
        </w:rPr>
        <w:t xml:space="preserve"> doses on the concentration–time profile of </w:t>
      </w:r>
      <w:proofErr w:type="spellStart"/>
      <w:r w:rsidRPr="004F209F">
        <w:rPr>
          <w:rFonts w:ascii="Arial" w:hAnsi="Arial" w:cs="Arial"/>
          <w:sz w:val="22"/>
          <w:szCs w:val="20"/>
          <w:lang w:val="en-US"/>
        </w:rPr>
        <w:t>ravulizumab</w:t>
      </w:r>
      <w:proofErr w:type="spellEnd"/>
    </w:p>
    <w:p w14:paraId="4E0AFAE5" w14:textId="77777777" w:rsidR="007A1F43" w:rsidRPr="004F209F" w:rsidRDefault="007A1F43" w:rsidP="007A1F43">
      <w:pPr>
        <w:keepNext/>
        <w:spacing w:before="60" w:after="60" w:line="360" w:lineRule="auto"/>
        <w:jc w:val="center"/>
        <w:rPr>
          <w:rFonts w:ascii="Arial" w:hAnsi="Arial" w:cs="Arial"/>
          <w:sz w:val="22"/>
          <w:szCs w:val="22"/>
          <w:lang w:val="en-US"/>
        </w:rPr>
      </w:pPr>
    </w:p>
    <w:p w14:paraId="16481024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sz w:val="20"/>
          <w:szCs w:val="20"/>
          <w:lang w:val="en-US"/>
        </w:rPr>
      </w:pPr>
      <w:r w:rsidRPr="004F209F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CAA1158" wp14:editId="73682127">
            <wp:extent cx="5727700" cy="2959100"/>
            <wp:effectExtent l="0" t="0" r="6350" b="0"/>
            <wp:docPr id="19" name="Picture 1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FEC99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sz w:val="18"/>
          <w:szCs w:val="18"/>
          <w:lang w:val="en-US"/>
        </w:rPr>
      </w:pPr>
      <w:r w:rsidRPr="004F209F">
        <w:rPr>
          <w:rFonts w:ascii="Arial" w:hAnsi="Arial" w:cs="Arial"/>
          <w:sz w:val="18"/>
          <w:szCs w:val="18"/>
          <w:lang w:val="en-US"/>
        </w:rPr>
        <w:t>The dashed line represents the pharmacokinetic therapeutic target threshold.</w:t>
      </w:r>
    </w:p>
    <w:p w14:paraId="43449A46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sz w:val="18"/>
          <w:szCs w:val="18"/>
          <w:lang w:val="en-US"/>
        </w:rPr>
      </w:pPr>
      <w:r w:rsidRPr="004F209F">
        <w:rPr>
          <w:rFonts w:ascii="Arial" w:hAnsi="Arial" w:cs="Arial"/>
          <w:sz w:val="18"/>
          <w:szCs w:val="18"/>
          <w:lang w:val="en-US"/>
        </w:rPr>
        <w:t>IVIg = intravenous immunoglobulin</w:t>
      </w:r>
    </w:p>
    <w:p w14:paraId="39DF5076" w14:textId="77777777" w:rsidR="007A1F43" w:rsidRPr="004F209F" w:rsidRDefault="007A1F43" w:rsidP="007A1F43">
      <w:pPr>
        <w:rPr>
          <w:rFonts w:ascii="Arial" w:hAnsi="Arial" w:cs="Arial"/>
          <w:sz w:val="18"/>
          <w:szCs w:val="18"/>
          <w:lang w:val="en-US"/>
        </w:rPr>
      </w:pPr>
      <w:r w:rsidRPr="004F209F">
        <w:rPr>
          <w:rFonts w:ascii="Arial" w:hAnsi="Arial" w:cs="Arial"/>
          <w:sz w:val="18"/>
          <w:szCs w:val="18"/>
          <w:lang w:val="en-US"/>
        </w:rPr>
        <w:br w:type="page"/>
      </w:r>
    </w:p>
    <w:p w14:paraId="471EA153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sz w:val="22"/>
          <w:szCs w:val="22"/>
          <w:lang w:val="en-US"/>
        </w:rPr>
      </w:pPr>
      <w:r w:rsidRPr="004F209F">
        <w:rPr>
          <w:rFonts w:ascii="Arial" w:hAnsi="Arial" w:cs="Arial"/>
          <w:b/>
          <w:bCs/>
          <w:sz w:val="22"/>
          <w:szCs w:val="22"/>
          <w:lang w:val="en-US"/>
        </w:rPr>
        <w:t>Supplementary Fig. S3</w:t>
      </w:r>
      <w:r w:rsidRPr="004F209F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Mean (SD) s</w:t>
      </w:r>
      <w:r w:rsidRPr="004F209F">
        <w:rPr>
          <w:rFonts w:ascii="Arial" w:hAnsi="Arial" w:cs="Arial"/>
          <w:sz w:val="22"/>
          <w:szCs w:val="22"/>
          <w:lang w:val="en-US"/>
        </w:rPr>
        <w:t xml:space="preserve">erum free C5 concentrations and mean </w:t>
      </w:r>
      <w:r>
        <w:rPr>
          <w:rFonts w:ascii="Arial" w:hAnsi="Arial" w:cs="Arial"/>
          <w:sz w:val="22"/>
          <w:szCs w:val="22"/>
          <w:lang w:val="en-US"/>
        </w:rPr>
        <w:t xml:space="preserve">(SD) </w:t>
      </w:r>
      <w:r w:rsidRPr="004F209F">
        <w:rPr>
          <w:rFonts w:ascii="Arial" w:hAnsi="Arial" w:cs="Arial"/>
          <w:sz w:val="22"/>
          <w:szCs w:val="22"/>
          <w:lang w:val="en-US"/>
        </w:rPr>
        <w:t xml:space="preserve">MG-ADL </w:t>
      </w:r>
      <w:r>
        <w:rPr>
          <w:rFonts w:ascii="Arial" w:hAnsi="Arial" w:cs="Arial"/>
          <w:sz w:val="22"/>
          <w:szCs w:val="22"/>
          <w:lang w:val="en-US"/>
        </w:rPr>
        <w:t xml:space="preserve">total </w:t>
      </w:r>
      <w:r w:rsidRPr="004F209F">
        <w:rPr>
          <w:rFonts w:ascii="Arial" w:hAnsi="Arial" w:cs="Arial"/>
          <w:sz w:val="22"/>
          <w:szCs w:val="22"/>
          <w:lang w:val="en-US"/>
        </w:rPr>
        <w:t xml:space="preserve">scores across 26 weeks of treatment with </w:t>
      </w:r>
      <w:proofErr w:type="spellStart"/>
      <w:r w:rsidRPr="004F209F">
        <w:rPr>
          <w:rFonts w:ascii="Arial" w:hAnsi="Arial" w:cs="Arial"/>
          <w:sz w:val="22"/>
          <w:szCs w:val="22"/>
          <w:lang w:val="en-US"/>
        </w:rPr>
        <w:t>ravulizumab</w:t>
      </w:r>
      <w:proofErr w:type="spellEnd"/>
    </w:p>
    <w:p w14:paraId="7D1FBA8D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b/>
          <w:bCs/>
          <w:szCs w:val="22"/>
          <w:lang w:val="en-US"/>
        </w:rPr>
      </w:pPr>
      <w:r>
        <w:rPr>
          <w:rFonts w:ascii="Arial" w:hAnsi="Arial" w:cs="Arial"/>
          <w:b/>
          <w:bCs/>
          <w:noProof/>
          <w:szCs w:val="22"/>
          <w:lang w:val="en-US"/>
        </w:rPr>
        <w:drawing>
          <wp:inline distT="0" distB="0" distL="0" distR="0" wp14:anchorId="7CCCBA3E" wp14:editId="5511DE13">
            <wp:extent cx="5727700" cy="3070860"/>
            <wp:effectExtent l="0" t="0" r="6350" b="0"/>
            <wp:docPr id="24" name="Picture 2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4A56A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b/>
          <w:bCs/>
          <w:szCs w:val="22"/>
          <w:lang w:val="en-US"/>
        </w:rPr>
      </w:pPr>
    </w:p>
    <w:p w14:paraId="758AA673" w14:textId="77777777" w:rsidR="007A1F43" w:rsidRPr="004F209F" w:rsidRDefault="007A1F43" w:rsidP="007A1F43">
      <w:pPr>
        <w:spacing w:before="60" w:after="60" w:line="360" w:lineRule="auto"/>
        <w:rPr>
          <w:rFonts w:ascii="Arial" w:hAnsi="Arial" w:cs="Arial"/>
          <w:b/>
          <w:bCs/>
          <w:szCs w:val="22"/>
          <w:lang w:val="en-US"/>
        </w:rPr>
      </w:pPr>
    </w:p>
    <w:p w14:paraId="63208CE6" w14:textId="77777777" w:rsidR="007A1F43" w:rsidRPr="000332BB" w:rsidRDefault="007A1F43" w:rsidP="007A1F43">
      <w:pPr>
        <w:spacing w:before="60" w:after="60" w:line="360" w:lineRule="auto"/>
        <w:rPr>
          <w:rFonts w:ascii="Arial" w:hAnsi="Arial" w:cs="Arial"/>
          <w:b/>
          <w:bCs/>
          <w:sz w:val="20"/>
          <w:szCs w:val="18"/>
          <w:lang w:val="en-US"/>
        </w:rPr>
      </w:pPr>
    </w:p>
    <w:p w14:paraId="654AFD3A" w14:textId="77777777" w:rsidR="00155D57" w:rsidRDefault="00155D57"/>
    <w:sectPr w:rsidR="00155D57" w:rsidSect="00A63986">
      <w:foot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5457" w14:textId="77777777" w:rsidR="00000000" w:rsidRDefault="0064309C">
      <w:r>
        <w:separator/>
      </w:r>
    </w:p>
  </w:endnote>
  <w:endnote w:type="continuationSeparator" w:id="0">
    <w:p w14:paraId="24B86992" w14:textId="77777777" w:rsidR="00000000" w:rsidRDefault="0064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39576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9815AFE" w14:textId="77777777" w:rsidR="00A63986" w:rsidRPr="00A63986" w:rsidRDefault="007A1F43">
        <w:pPr>
          <w:pStyle w:val="Footer"/>
          <w:jc w:val="right"/>
          <w:rPr>
            <w:rFonts w:ascii="Arial" w:hAnsi="Arial" w:cs="Arial"/>
          </w:rPr>
        </w:pPr>
        <w:r w:rsidRPr="00A63986">
          <w:rPr>
            <w:rFonts w:ascii="Arial" w:hAnsi="Arial" w:cs="Arial"/>
          </w:rPr>
          <w:fldChar w:fldCharType="begin"/>
        </w:r>
        <w:r w:rsidRPr="00A63986">
          <w:rPr>
            <w:rFonts w:ascii="Arial" w:hAnsi="Arial" w:cs="Arial"/>
          </w:rPr>
          <w:instrText xml:space="preserve"> PAGE   \* MERGEFORMAT </w:instrText>
        </w:r>
        <w:r w:rsidRPr="00A63986">
          <w:rPr>
            <w:rFonts w:ascii="Arial" w:hAnsi="Arial" w:cs="Arial"/>
          </w:rPr>
          <w:fldChar w:fldCharType="separate"/>
        </w:r>
        <w:r w:rsidRPr="00A63986">
          <w:rPr>
            <w:rFonts w:ascii="Arial" w:hAnsi="Arial" w:cs="Arial"/>
            <w:noProof/>
          </w:rPr>
          <w:t>2</w:t>
        </w:r>
        <w:r w:rsidRPr="00A63986">
          <w:rPr>
            <w:rFonts w:ascii="Arial" w:hAnsi="Arial" w:cs="Arial"/>
            <w:noProof/>
          </w:rPr>
          <w:fldChar w:fldCharType="end"/>
        </w:r>
      </w:p>
    </w:sdtContent>
  </w:sdt>
  <w:p w14:paraId="628C7ED0" w14:textId="77777777" w:rsidR="00A63986" w:rsidRPr="00A63986" w:rsidRDefault="0064309C" w:rsidP="00A63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15B5A" w14:textId="77777777" w:rsidR="00000000" w:rsidRDefault="0064309C">
      <w:r>
        <w:separator/>
      </w:r>
    </w:p>
  </w:footnote>
  <w:footnote w:type="continuationSeparator" w:id="0">
    <w:p w14:paraId="08F1E22D" w14:textId="77777777" w:rsidR="00000000" w:rsidRDefault="00643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F43"/>
    <w:rsid w:val="00155D57"/>
    <w:rsid w:val="0064309C"/>
    <w:rsid w:val="007A1F43"/>
    <w:rsid w:val="00A34C9C"/>
    <w:rsid w:val="00AE00A7"/>
    <w:rsid w:val="00E5518B"/>
    <w:rsid w:val="00E93DB6"/>
    <w:rsid w:val="00F64A68"/>
    <w:rsid w:val="00F9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82C4C"/>
  <w15:chartTrackingRefBased/>
  <w15:docId w15:val="{59D5B294-43E1-448C-A220-93AF1BBF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A1F43"/>
    <w:pPr>
      <w:keepNext/>
      <w:spacing w:before="240" w:after="60" w:line="360" w:lineRule="auto"/>
      <w:outlineLvl w:val="0"/>
    </w:pPr>
    <w:rPr>
      <w:b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1F43"/>
    <w:rPr>
      <w:rFonts w:ascii="Times New Roman" w:eastAsia="Times New Roman" w:hAnsi="Times New Roman" w:cs="Times New Roman"/>
      <w:b/>
      <w:sz w:val="26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7A1F43"/>
    <w:pPr>
      <w:spacing w:line="250" w:lineRule="exac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A1F43"/>
    <w:rPr>
      <w:rFonts w:ascii="Times New Roman" w:eastAsia="Times New Roman" w:hAnsi="Times New Roman" w:cs="Times New Roman"/>
      <w:sz w:val="18"/>
      <w:szCs w:val="24"/>
      <w:lang w:eastAsia="en-GB"/>
    </w:rPr>
  </w:style>
  <w:style w:type="character" w:styleId="Hyperlink">
    <w:name w:val="Hyperlink"/>
    <w:rsid w:val="007A1F43"/>
    <w:rPr>
      <w:color w:val="0000FF"/>
      <w:u w:val="single"/>
    </w:rPr>
  </w:style>
  <w:style w:type="character" w:customStyle="1" w:styleId="eop">
    <w:name w:val="eop"/>
    <w:basedOn w:val="DefaultParagraphFont"/>
    <w:rsid w:val="007A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Stephan.Ortiz@alexion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6905c6-e305-427f-9567-e89b7f22410e"/>
    <lcf76f155ced4ddcb4097134ff3c332f xmlns="78eb445d-b485-4f54-9b7b-4fa0f417c7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5B09A4FADBB40950032DB90C9BD02" ma:contentTypeVersion="15" ma:contentTypeDescription="Create a new document." ma:contentTypeScope="" ma:versionID="772dd1266525ddeef21d0395ff11f4c8">
  <xsd:schema xmlns:xsd="http://www.w3.org/2001/XMLSchema" xmlns:xs="http://www.w3.org/2001/XMLSchema" xmlns:p="http://schemas.microsoft.com/office/2006/metadata/properties" xmlns:ns2="78eb445d-b485-4f54-9b7b-4fa0f417c7a6" xmlns:ns3="4692d980-38cf-4173-bdb9-705370328e8b" xmlns:ns4="9e6905c6-e305-427f-9567-e89b7f22410e" targetNamespace="http://schemas.microsoft.com/office/2006/metadata/properties" ma:root="true" ma:fieldsID="950647edc97ddc9aa601d2adfd778016" ns2:_="" ns3:_="" ns4:_="">
    <xsd:import namespace="78eb445d-b485-4f54-9b7b-4fa0f417c7a6"/>
    <xsd:import namespace="4692d980-38cf-4173-bdb9-705370328e8b"/>
    <xsd:import namespace="9e6905c6-e305-427f-9567-e89b7f224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b445d-b485-4f54-9b7b-4fa0f417c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3f9e4a-36b6-48c5-b803-268b4c762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2d980-38cf-4173-bdb9-705370328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905c6-e305-427f-9567-e89b7f22410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b55462c-fa27-485d-88c9-8cc67a468820}" ma:internalName="TaxCatchAll" ma:showField="CatchAllData" ma:web="9e6905c6-e305-427f-9567-e89b7f224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52489-EBEF-48DB-B101-82182E456FB3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4692d980-38cf-4173-bdb9-705370328e8b"/>
    <ds:schemaRef ds:uri="http://schemas.openxmlformats.org/package/2006/metadata/core-properties"/>
    <ds:schemaRef ds:uri="9e6905c6-e305-427f-9567-e89b7f22410e"/>
    <ds:schemaRef ds:uri="78eb445d-b485-4f54-9b7b-4fa0f417c7a6"/>
  </ds:schemaRefs>
</ds:datastoreItem>
</file>

<file path=customXml/itemProps2.xml><?xml version="1.0" encoding="utf-8"?>
<ds:datastoreItem xmlns:ds="http://schemas.openxmlformats.org/officeDocument/2006/customXml" ds:itemID="{583E7E7F-557C-477D-AED1-FC115591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F6B03-C80D-4737-B9AD-BD4A6D83D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b445d-b485-4f54-9b7b-4fa0f417c7a6"/>
    <ds:schemaRef ds:uri="4692d980-38cf-4173-bdb9-705370328e8b"/>
    <ds:schemaRef ds:uri="9e6905c6-e305-427f-9567-e89b7f224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Medical writer</cp:lastModifiedBy>
  <cp:revision>2</cp:revision>
  <dcterms:created xsi:type="dcterms:W3CDTF">2023-02-06T18:11:00Z</dcterms:created>
  <dcterms:modified xsi:type="dcterms:W3CDTF">2023-02-06T18:11:00Z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0x0101007525B09A4FADBB40950032DB90C9BD02</vt:lpwstr>
  </property>
</Properties>
</file>