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4432C" w14:textId="77777777" w:rsidR="00B04F36" w:rsidRDefault="00B04F36" w:rsidP="00B04F36">
      <w:pPr>
        <w:spacing w:line="480" w:lineRule="auto"/>
        <w:jc w:val="both"/>
        <w:rPr>
          <w:b/>
          <w:lang w:val="en-GB"/>
        </w:rPr>
      </w:pPr>
      <w:r>
        <w:rPr>
          <w:b/>
          <w:lang w:val="en-GB"/>
        </w:rPr>
        <w:t>Modelling the data to identify rules for diagnosis</w:t>
      </w:r>
    </w:p>
    <w:p w14:paraId="41C1F209" w14:textId="77777777" w:rsidR="00B04F36" w:rsidRDefault="00B04F36" w:rsidP="00B04F36">
      <w:pPr>
        <w:spacing w:line="480" w:lineRule="auto"/>
        <w:jc w:val="both"/>
        <w:rPr>
          <w:bCs/>
          <w:lang w:val="en-GB"/>
        </w:rPr>
      </w:pPr>
      <w:r>
        <w:rPr>
          <w:bCs/>
          <w:lang w:val="en-GB"/>
        </w:rPr>
        <w:t xml:space="preserve">The data on the fatty replacement of different muscles allowed us to identify potential rules for the diagnosis of patients with VCP. We studied the accuracy of these rules in the VCP cohort studied here, but also applied these rules to 1089 muscle MRI of patients with 10 different neuromuscular diseases that were used to build Myo-Guide </w:t>
      </w:r>
      <w:r>
        <w:rPr>
          <w:bCs/>
          <w:lang w:val="en-GB"/>
        </w:rPr>
        <w:fldChar w:fldCharType="begin">
          <w:fldData xml:space="preserve">PEVuZE5vdGU+PENpdGU+PEF1dGhvcj5WZXJkdS1EaWF6PC9BdXRob3I+PFllYXI+MjAyMDwvWWVh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</w:fldData>
        </w:fldChar>
      </w:r>
      <w:r>
        <w:rPr>
          <w:bCs/>
          <w:lang w:val="en-GB"/>
        </w:rPr>
        <w:instrText xml:space="preserve"> ADDIN EN.CITE </w:instrText>
      </w:r>
      <w:r>
        <w:rPr>
          <w:bCs/>
          <w:lang w:val="en-GB"/>
        </w:rPr>
        <w:fldChar w:fldCharType="begin">
          <w:fldData xml:space="preserve">PEVuZE5vdGU+PENpdGU+PEF1dGhvcj5WZXJkdS1EaWF6PC9BdXRob3I+PFllYXI+MjAyMDwvWWVh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</w:fldData>
        </w:fldChar>
      </w:r>
      <w:r>
        <w:rPr>
          <w:bCs/>
          <w:lang w:val="en-GB"/>
        </w:rPr>
        <w:instrText xml:space="preserve"> ADDIN EN.CITE.DATA </w:instrText>
      </w:r>
      <w:r>
        <w:rPr>
          <w:bCs/>
          <w:lang w:val="en-GB"/>
        </w:rPr>
      </w:r>
      <w:r>
        <w:rPr>
          <w:bCs/>
          <w:lang w:val="en-GB"/>
        </w:rPr>
        <w:fldChar w:fldCharType="end"/>
      </w:r>
      <w:r>
        <w:rPr>
          <w:bCs/>
          <w:lang w:val="en-GB"/>
        </w:rPr>
      </w:r>
      <w:r>
        <w:rPr>
          <w:bCs/>
          <w:lang w:val="en-GB"/>
        </w:rPr>
        <w:fldChar w:fldCharType="separate"/>
      </w:r>
      <w:r>
        <w:rPr>
          <w:bCs/>
          <w:noProof/>
          <w:lang w:val="en-GB"/>
        </w:rPr>
        <w:t>(28)</w:t>
      </w:r>
      <w:r>
        <w:rPr>
          <w:bCs/>
          <w:lang w:val="en-GB"/>
        </w:rPr>
        <w:fldChar w:fldCharType="end"/>
      </w:r>
      <w:r>
        <w:rPr>
          <w:bCs/>
          <w:lang w:val="en-GB"/>
        </w:rPr>
        <w:t xml:space="preserve">, including Duchenne/Becker muscular dystrophy, limb girdle muscular dystrophy (LGMD) R1 produced by mutations in the </w:t>
      </w:r>
      <w:r w:rsidRPr="00712742">
        <w:rPr>
          <w:bCs/>
          <w:i/>
          <w:iCs/>
          <w:lang w:val="en-GB"/>
        </w:rPr>
        <w:t>CAPN3</w:t>
      </w:r>
      <w:r>
        <w:rPr>
          <w:bCs/>
          <w:lang w:val="en-GB"/>
        </w:rPr>
        <w:t xml:space="preserve"> gene, LGMD-R2 produced by mutations in the </w:t>
      </w:r>
      <w:r w:rsidRPr="00712742">
        <w:rPr>
          <w:bCs/>
          <w:i/>
          <w:iCs/>
          <w:lang w:val="en-GB"/>
        </w:rPr>
        <w:t>DYSF</w:t>
      </w:r>
      <w:r>
        <w:rPr>
          <w:bCs/>
          <w:lang w:val="en-GB"/>
        </w:rPr>
        <w:t xml:space="preserve"> gene, LGMD-R3 to 6 produced by mutations in the sarcoglycan genes, LGMD-R9 produced by mutations in the FKRP gene,  LGMD-R12 produced by mutation in the ANO5 gene, facio-scapulo-humeral muscular dystrophy (FSHD), Pompe disease, oculopharyngeal muscular dystrophy (OPMD) and, patients with muscle disease associated to mutations in the</w:t>
      </w:r>
      <w:r w:rsidRPr="00712742">
        <w:rPr>
          <w:bCs/>
          <w:i/>
          <w:iCs/>
          <w:lang w:val="en-GB"/>
        </w:rPr>
        <w:t xml:space="preserve"> LMNA</w:t>
      </w:r>
      <w:r>
        <w:rPr>
          <w:bCs/>
          <w:lang w:val="en-GB"/>
        </w:rPr>
        <w:t xml:space="preserve"> gene. However, we observed that there was a considerable class imbalance in the cohort used for Myo-Guide, with an overrepresentation of some of the diseases, such as FSHD or OPMD, therefore we decided to apply the </w:t>
      </w:r>
      <w:r w:rsidRPr="00712742">
        <w:rPr>
          <w:bCs/>
          <w:lang w:val="en-GB"/>
        </w:rPr>
        <w:t>Matthews Correlation Coefficient (MCC)</w:t>
      </w:r>
      <w:r>
        <w:rPr>
          <w:bCs/>
          <w:lang w:val="en-GB"/>
        </w:rPr>
        <w:t xml:space="preserve"> calculated using the following equation, where TP are tru positive, TN: true negative, FP: false positive and FN: false negative.  </w:t>
      </w:r>
    </w:p>
    <w:p w14:paraId="486F1145" w14:textId="77777777" w:rsidR="00B04F36" w:rsidRPr="00D9326F" w:rsidRDefault="00B04F36" w:rsidP="00B04F36">
      <w:pPr>
        <w:spacing w:line="480" w:lineRule="auto"/>
        <w:jc w:val="both"/>
      </w:pPr>
      <m:oMathPara>
        <m:oMath>
          <m:r>
            <w:rPr>
              <w:rFonts w:ascii="Cambria Math" w:hAnsi="Cambria Math"/>
            </w:rPr>
            <m:t>MCC</m:t>
          </m:r>
          <m:r>
            <w:rPr>
              <w:rFonts w:ascii="Cambria Math" w:hAnsi="Cambria Math"/>
              <w:lang w:val="en-GB"/>
            </w:rPr>
            <m:t> = </m:t>
          </m:r>
          <m:f>
            <m:fPr>
              <m:ctrlPr>
                <w:rPr>
                  <w:rFonts w:ascii="Cambria Math" w:hAnsi="Cambria Math"/>
                </w:rPr>
              </m:ctrlPr>
            </m:fPr>
            <m:num>
              <m:r>
                <w:rPr>
                  <w:rFonts w:ascii="Cambria Math" w:hAnsi="Cambria Math"/>
                </w:rPr>
                <m:t>TP</m:t>
              </m:r>
              <m:r>
                <w:rPr>
                  <w:rFonts w:ascii="Cambria Math" w:hAnsi="Cambria Math"/>
                  <w:lang w:val="en-GB"/>
                </w:rPr>
                <m:t> ∙ </m:t>
              </m:r>
              <m:r>
                <w:rPr>
                  <w:rFonts w:ascii="Cambria Math" w:hAnsi="Cambria Math"/>
                </w:rPr>
                <m:t>TN</m:t>
              </m:r>
              <m:r>
                <w:rPr>
                  <w:rFonts w:ascii="Cambria Math" w:hAnsi="Cambria Math"/>
                  <w:lang w:val="en-GB"/>
                </w:rPr>
                <m:t> - </m:t>
              </m:r>
              <m:r>
                <w:rPr>
                  <w:rFonts w:ascii="Cambria Math" w:hAnsi="Cambria Math"/>
                </w:rPr>
                <m:t>FP</m:t>
              </m:r>
              <m:r>
                <w:rPr>
                  <w:rFonts w:ascii="Cambria Math" w:hAnsi="Cambria Math"/>
                  <w:lang w:val="en-GB"/>
                </w:rPr>
                <m:t> ∙ </m:t>
              </m:r>
              <m:r>
                <w:rPr>
                  <w:rFonts w:ascii="Cambria Math" w:hAnsi="Cambria Math"/>
                </w:rPr>
                <m:t>FN</m:t>
              </m:r>
            </m:num>
            <m:den>
              <m:rad>
                <m:radPr>
                  <m:degHide m:val="1"/>
                  <m:ctrlPr>
                    <w:rPr>
                      <w:rFonts w:ascii="Cambria Math" w:hAnsi="Cambria Math"/>
                    </w:rPr>
                  </m:ctrlPr>
                </m:radPr>
                <m:deg/>
                <m:e>
                  <m:d>
                    <m:dPr>
                      <m:ctrlPr>
                        <w:rPr>
                          <w:rFonts w:ascii="Cambria Math" w:hAnsi="Cambria Math"/>
                        </w:rPr>
                      </m:ctrlPr>
                    </m:dPr>
                    <m:e>
                      <m:r>
                        <w:rPr>
                          <w:rFonts w:ascii="Cambria Math" w:hAnsi="Cambria Math"/>
                        </w:rPr>
                        <m:t>TP</m:t>
                      </m:r>
                      <m:r>
                        <w:rPr>
                          <w:rFonts w:ascii="Cambria Math" w:hAnsi="Cambria Math"/>
                          <w:lang w:val="en-GB"/>
                        </w:rPr>
                        <m:t> + </m:t>
                      </m:r>
                      <m:r>
                        <w:rPr>
                          <w:rFonts w:ascii="Cambria Math" w:hAnsi="Cambria Math"/>
                        </w:rPr>
                        <m:t>FP</m:t>
                      </m:r>
                    </m:e>
                  </m:d>
                  <m:r>
                    <w:rPr>
                      <w:rFonts w:ascii="Cambria Math" w:hAnsi="Cambria Math"/>
                      <w:lang w:val="en-GB"/>
                    </w:rPr>
                    <m:t> ∙ </m:t>
                  </m:r>
                  <m:d>
                    <m:dPr>
                      <m:ctrlPr>
                        <w:rPr>
                          <w:rFonts w:ascii="Cambria Math" w:hAnsi="Cambria Math"/>
                        </w:rPr>
                      </m:ctrlPr>
                    </m:dPr>
                    <m:e>
                      <m:r>
                        <w:rPr>
                          <w:rFonts w:ascii="Cambria Math" w:hAnsi="Cambria Math"/>
                        </w:rPr>
                        <m:t>TP</m:t>
                      </m:r>
                      <m:r>
                        <w:rPr>
                          <w:rFonts w:ascii="Cambria Math" w:hAnsi="Cambria Math"/>
                          <w:lang w:val="en-GB"/>
                        </w:rPr>
                        <m:t> + </m:t>
                      </m:r>
                      <m:r>
                        <w:rPr>
                          <w:rFonts w:ascii="Cambria Math" w:hAnsi="Cambria Math"/>
                        </w:rPr>
                        <m:t>FN</m:t>
                      </m:r>
                    </m:e>
                  </m:d>
                  <m:r>
                    <w:rPr>
                      <w:rFonts w:ascii="Cambria Math" w:hAnsi="Cambria Math"/>
                      <w:lang w:val="en-GB"/>
                    </w:rPr>
                    <m:t> ∙ </m:t>
                  </m:r>
                  <m:d>
                    <m:dPr>
                      <m:ctrlPr>
                        <w:rPr>
                          <w:rFonts w:ascii="Cambria Math" w:hAnsi="Cambria Math"/>
                        </w:rPr>
                      </m:ctrlPr>
                    </m:dPr>
                    <m:e>
                      <m:r>
                        <w:rPr>
                          <w:rFonts w:ascii="Cambria Math" w:hAnsi="Cambria Math"/>
                        </w:rPr>
                        <m:t>TN</m:t>
                      </m:r>
                      <m:r>
                        <w:rPr>
                          <w:rFonts w:ascii="Cambria Math" w:hAnsi="Cambria Math"/>
                          <w:lang w:val="en-GB"/>
                        </w:rPr>
                        <m:t> + </m:t>
                      </m:r>
                      <m:r>
                        <w:rPr>
                          <w:rFonts w:ascii="Cambria Math" w:hAnsi="Cambria Math"/>
                        </w:rPr>
                        <m:t>FP</m:t>
                      </m:r>
                    </m:e>
                  </m:d>
                  <m:r>
                    <w:rPr>
                      <w:rFonts w:ascii="Cambria Math" w:hAnsi="Cambria Math"/>
                      <w:lang w:val="en-GB"/>
                    </w:rPr>
                    <m:t> ∙ </m:t>
                  </m:r>
                  <m:d>
                    <m:dPr>
                      <m:ctrlPr>
                        <w:rPr>
                          <w:rFonts w:ascii="Cambria Math" w:hAnsi="Cambria Math"/>
                        </w:rPr>
                      </m:ctrlPr>
                    </m:dPr>
                    <m:e>
                      <m:r>
                        <w:rPr>
                          <w:rFonts w:ascii="Cambria Math" w:hAnsi="Cambria Math"/>
                        </w:rPr>
                        <m:t>TN</m:t>
                      </m:r>
                      <m:r>
                        <w:rPr>
                          <w:rFonts w:ascii="Cambria Math" w:hAnsi="Cambria Math"/>
                          <w:lang w:val="en-GB"/>
                        </w:rPr>
                        <m:t> + </m:t>
                      </m:r>
                      <m:r>
                        <w:rPr>
                          <w:rFonts w:ascii="Cambria Math" w:hAnsi="Cambria Math"/>
                        </w:rPr>
                        <m:t>FN</m:t>
                      </m:r>
                    </m:e>
                  </m:d>
                </m:e>
              </m:rad>
            </m:den>
          </m:f>
        </m:oMath>
      </m:oMathPara>
    </w:p>
    <w:p w14:paraId="67F66146" w14:textId="77777777" w:rsidR="00B04F36" w:rsidRDefault="00B04F36" w:rsidP="00B04F36">
      <w:pPr>
        <w:spacing w:line="480" w:lineRule="auto"/>
        <w:jc w:val="both"/>
        <w:rPr>
          <w:bCs/>
        </w:rPr>
      </w:pPr>
    </w:p>
    <w:p w14:paraId="71FEB921" w14:textId="77777777" w:rsidR="00B04F36" w:rsidRDefault="00B04F36" w:rsidP="00B04F36">
      <w:pPr>
        <w:spacing w:line="480" w:lineRule="auto"/>
        <w:jc w:val="both"/>
        <w:rPr>
          <w:bCs/>
          <w:lang w:val="en-GB"/>
        </w:rPr>
      </w:pPr>
      <w:r w:rsidRPr="00D9326F">
        <w:rPr>
          <w:bCs/>
          <w:lang w:val="en-GB"/>
        </w:rPr>
        <w:t>M</w:t>
      </w:r>
      <w:r>
        <w:rPr>
          <w:bCs/>
          <w:lang w:val="en-GB"/>
        </w:rPr>
        <w:t xml:space="preserve">CC is </w:t>
      </w:r>
      <w:r w:rsidRPr="00712742">
        <w:rPr>
          <w:bCs/>
          <w:lang w:val="en-GB"/>
        </w:rPr>
        <w:t>a metric that considers class unbalance and returns a more realistic result ranging between –1 and 1</w:t>
      </w:r>
      <w:r>
        <w:rPr>
          <w:bCs/>
          <w:lang w:val="en-GB"/>
        </w:rPr>
        <w:fldChar w:fldCharType="begin"/>
      </w:r>
      <w:r>
        <w:rPr>
          <w:bCs/>
          <w:lang w:val="en-GB"/>
        </w:rPr>
        <w:instrText xml:space="preserve"> ADDIN EN.CITE &lt;EndNote&gt;&lt;Cite&gt;&lt;Author&gt;Chicco&lt;/Author&gt;&lt;Year&gt;2021&lt;/Year&gt;&lt;RecNum&gt;141&lt;/RecNum&gt;&lt;DisplayText&gt;(29)&lt;/DisplayText&gt;&lt;record&gt;&lt;rec-number&gt;141&lt;/rec-number&gt;&lt;foreign-keys&gt;&lt;key app="EN" db-id="pwf0f2tveedex5evaxm5ads0fva5pv2f5zpv" timestamp="1673949115"&gt;141&lt;/key&gt;&lt;/foreign-keys&gt;&lt;ref-type name="Journal Article"&gt;17&lt;/ref-type&gt;&lt;contributors&gt;&lt;authors&gt;&lt;author&gt;Chicco, D.&lt;/author&gt;&lt;author&gt;Totsch, N.&lt;/author&gt;&lt;author&gt;Jurman, G.&lt;/author&gt;&lt;/authors&gt;&lt;/contributors&gt;&lt;auth-address&gt;Krembil Research Institute, Toronto, Ontario, Canada. davidechicco@davidechicco.it.&amp;#xD;Universitat Duisburg-Essen, Essen, Germany.&amp;#xD;Fondazione Bruno Kessler, Trento, Italy.&lt;/auth-address&gt;&lt;titles&gt;&lt;title&gt;The Matthews correlation coefficient (MCC) is more reliable than balanced accuracy, bookmaker informedness, and markedness in two-class confusion matrix evaluation&lt;/title&gt;&lt;secondary-title&gt;BioData Min&lt;/secondary-title&gt;&lt;/titles&gt;&lt;periodical&gt;&lt;full-title&gt;BioData Min&lt;/full-title&gt;&lt;/periodical&gt;&lt;pages&gt;13&lt;/pages&gt;&lt;volume&gt;14&lt;/volume&gt;&lt;number&gt;1&lt;/number&gt;&lt;edition&gt;2021/02/06&lt;/edition&gt;&lt;keywords&gt;&lt;keyword&gt;Balanced accuracy&lt;/keyword&gt;&lt;keyword&gt;Binary classification&lt;/keyword&gt;&lt;keyword&gt;Bookmaker informedness&lt;/keyword&gt;&lt;keyword&gt;Confusion matrix&lt;/keyword&gt;&lt;keyword&gt;Machine learning&lt;/keyword&gt;&lt;keyword&gt;Markedness&lt;/keyword&gt;&lt;keyword&gt;Matthews correlation coefficient&lt;/keyword&gt;&lt;/keywords&gt;&lt;dates&gt;&lt;year&gt;2021&lt;/year&gt;&lt;pub-dates&gt;&lt;date&gt;Feb 4&lt;/date&gt;&lt;/pub-dates&gt;&lt;/dates&gt;&lt;isbn&gt;1756-0381 (Print)&amp;#xD;1756-0381 (Electronic)&amp;#xD;1756-0381 (Linking)&lt;/isbn&gt;&lt;accession-num&gt;33541410&lt;/accession-num&gt;&lt;urls&gt;&lt;related-urls&gt;&lt;url&gt;https://www.ncbi.nlm.nih.gov/pubmed/33541410&lt;/url&gt;&lt;/related-urls&gt;&lt;/urls&gt;&lt;custom2&gt;PMC7863449&lt;/custom2&gt;&lt;electronic-resource-num&gt;10.1186/s13040-021-00244-z&lt;/electronic-resource-num&gt;&lt;/record&gt;&lt;/Cite&gt;&lt;/EndNote&gt;</w:instrText>
      </w:r>
      <w:r>
        <w:rPr>
          <w:bCs/>
          <w:lang w:val="en-GB"/>
        </w:rPr>
        <w:fldChar w:fldCharType="separate"/>
      </w:r>
      <w:r>
        <w:rPr>
          <w:bCs/>
          <w:noProof/>
          <w:lang w:val="en-GB"/>
        </w:rPr>
        <w:t>(29)</w:t>
      </w:r>
      <w:r>
        <w:rPr>
          <w:bCs/>
          <w:lang w:val="en-GB"/>
        </w:rPr>
        <w:fldChar w:fldCharType="end"/>
      </w:r>
      <w:r w:rsidRPr="00712742">
        <w:rPr>
          <w:bCs/>
          <w:lang w:val="en-GB"/>
        </w:rPr>
        <w:t>. The normalized MCC (Equation X) scales the MCC between 0 and 1.</w:t>
      </w:r>
    </w:p>
    <w:p w14:paraId="54112D1C" w14:textId="77777777" w:rsidR="00B04F36" w:rsidRDefault="00B04F36" w:rsidP="00B04F36">
      <w:pPr>
        <w:spacing w:line="480" w:lineRule="auto"/>
        <w:jc w:val="both"/>
        <w:rPr>
          <w:bCs/>
          <w:lang w:val="en-GB"/>
        </w:rPr>
      </w:pPr>
    </w:p>
    <w:p w14:paraId="31FC6A68" w14:textId="77777777" w:rsidR="00B04F36" w:rsidRDefault="00B04F36" w:rsidP="00B04F36">
      <w:pPr>
        <w:rPr>
          <w:rFonts w:ascii="Consolas" w:eastAsia="Consolas" w:hAnsi="Consolas" w:cs="Consolas"/>
        </w:rPr>
      </w:pPr>
      <m:oMathPara>
        <m:oMath>
          <m:r>
            <w:rPr>
              <w:rFonts w:ascii="Cambria Math" w:hAnsi="Cambria Math"/>
            </w:rPr>
            <m:t>normMCC = </m:t>
          </m:r>
          <m:f>
            <m:fPr>
              <m:ctrlPr>
                <w:rPr>
                  <w:rFonts w:ascii="Cambria Math" w:hAnsi="Cambria Math"/>
                </w:rPr>
              </m:ctrlPr>
            </m:fPr>
            <m:num>
              <m:r>
                <w:rPr>
                  <w:rFonts w:ascii="Cambria Math" w:hAnsi="Cambria Math"/>
                </w:rPr>
                <m:t>MCC + 1</m:t>
              </m:r>
            </m:num>
            <m:den>
              <m:r>
                <w:rPr>
                  <w:rFonts w:ascii="Cambria Math" w:hAnsi="Cambria Math"/>
                </w:rPr>
                <m:t>2</m:t>
              </m:r>
            </m:den>
          </m:f>
        </m:oMath>
      </m:oMathPara>
    </w:p>
    <w:p w14:paraId="3B8AEC73" w14:textId="77777777" w:rsidR="00B04F36" w:rsidRDefault="00B04F36" w:rsidP="00B04F36">
      <w:pPr>
        <w:spacing w:line="480" w:lineRule="auto"/>
        <w:jc w:val="both"/>
        <w:rPr>
          <w:bCs/>
        </w:rPr>
      </w:pPr>
    </w:p>
    <w:p w14:paraId="5B9DDB5B" w14:textId="77777777" w:rsidR="00B04F36" w:rsidRDefault="00B04F36" w:rsidP="00B04F36">
      <w:pPr>
        <w:spacing w:line="480" w:lineRule="auto"/>
        <w:jc w:val="both"/>
        <w:rPr>
          <w:bCs/>
          <w:lang w:val="en-GB"/>
        </w:rPr>
      </w:pPr>
      <w:r w:rsidRPr="00712742">
        <w:rPr>
          <w:bCs/>
          <w:lang w:val="en-GB"/>
        </w:rPr>
        <w:lastRenderedPageBreak/>
        <w:t xml:space="preserve">The Diagnostic Odds Ratio (DOR) measures the performance of a test in detecting and distinguishing positive cases from negative ones. The DOR ranges from 0 to infinity, with values below 1 indicating better performance in detecting negative cases. </w:t>
      </w:r>
    </w:p>
    <w:p w14:paraId="51F51B42" w14:textId="77777777" w:rsidR="00B04F36" w:rsidRDefault="00B04F36" w:rsidP="00B04F36">
      <w:pPr>
        <w:spacing w:line="480" w:lineRule="auto"/>
        <w:jc w:val="both"/>
        <w:rPr>
          <w:bCs/>
          <w:lang w:val="en-GB"/>
        </w:rPr>
      </w:pPr>
    </w:p>
    <w:p w14:paraId="43238DB7" w14:textId="77777777" w:rsidR="00B04F36" w:rsidRDefault="00B04F36" w:rsidP="00B04F36">
      <w:pPr>
        <w:spacing w:line="480" w:lineRule="auto"/>
        <w:jc w:val="both"/>
        <w:rPr>
          <w:bCs/>
          <w:lang w:val="en-GB"/>
        </w:rPr>
      </w:pPr>
    </w:p>
    <w:p w14:paraId="46007E0C" w14:textId="77777777" w:rsidR="00B04F36" w:rsidRDefault="00B04F36" w:rsidP="00B04F36">
      <w:pPr>
        <w:rPr>
          <w:rFonts w:ascii="Consolas" w:eastAsia="Consolas" w:hAnsi="Consolas" w:cs="Consolas"/>
        </w:rPr>
      </w:pPr>
      <m:oMathPara>
        <m:oMath>
          <m:r>
            <w:rPr>
              <w:rFonts w:ascii="Cambria Math" w:hAnsi="Cambria Math"/>
            </w:rPr>
            <m:t>DOR = </m:t>
          </m:r>
          <m:f>
            <m:fPr>
              <m:ctrlPr>
                <w:rPr>
                  <w:rFonts w:ascii="Cambria Math" w:hAnsi="Cambria Math"/>
                </w:rPr>
              </m:ctrlPr>
            </m:fPr>
            <m:num>
              <m:d>
                <m:dPr>
                  <m:ctrlPr>
                    <w:rPr>
                      <w:rFonts w:ascii="Cambria Math" w:hAnsi="Cambria Math"/>
                    </w:rPr>
                  </m:ctrlPr>
                </m:dPr>
                <m:e>
                  <m:r>
                    <w:rPr>
                      <w:rFonts w:ascii="Cambria Math" w:hAnsi="Cambria Math"/>
                    </w:rPr>
                    <m:t>TP + 0.5</m:t>
                  </m:r>
                </m:e>
              </m:d>
              <m:r>
                <w:rPr>
                  <w:rFonts w:ascii="Cambria Math" w:hAnsi="Cambria Math"/>
                </w:rPr>
                <m:t> ∙ </m:t>
              </m:r>
              <m:d>
                <m:dPr>
                  <m:ctrlPr>
                    <w:rPr>
                      <w:rFonts w:ascii="Cambria Math" w:hAnsi="Cambria Math"/>
                    </w:rPr>
                  </m:ctrlPr>
                </m:dPr>
                <m:e>
                  <m:r>
                    <w:rPr>
                      <w:rFonts w:ascii="Cambria Math" w:hAnsi="Cambria Math"/>
                    </w:rPr>
                    <m:t>TN + 0.5</m:t>
                  </m:r>
                </m:e>
              </m:d>
            </m:num>
            <m:den>
              <m:d>
                <m:dPr>
                  <m:ctrlPr>
                    <w:rPr>
                      <w:rFonts w:ascii="Cambria Math" w:hAnsi="Cambria Math"/>
                    </w:rPr>
                  </m:ctrlPr>
                </m:dPr>
                <m:e>
                  <m:r>
                    <w:rPr>
                      <w:rFonts w:ascii="Cambria Math" w:hAnsi="Cambria Math"/>
                    </w:rPr>
                    <m:t>FP + 0.5</m:t>
                  </m:r>
                </m:e>
              </m:d>
              <m:r>
                <w:rPr>
                  <w:rFonts w:ascii="Cambria Math" w:hAnsi="Cambria Math"/>
                </w:rPr>
                <m:t> ∙ </m:t>
              </m:r>
              <m:d>
                <m:dPr>
                  <m:ctrlPr>
                    <w:rPr>
                      <w:rFonts w:ascii="Cambria Math" w:hAnsi="Cambria Math"/>
                    </w:rPr>
                  </m:ctrlPr>
                </m:dPr>
                <m:e>
                  <m:r>
                    <w:rPr>
                      <w:rFonts w:ascii="Cambria Math" w:hAnsi="Cambria Math"/>
                    </w:rPr>
                    <m:t>FN + 0.5</m:t>
                  </m:r>
                </m:e>
              </m:d>
            </m:den>
          </m:f>
        </m:oMath>
      </m:oMathPara>
    </w:p>
    <w:p w14:paraId="1BF060A9" w14:textId="77777777" w:rsidR="00B04F36" w:rsidRDefault="00B04F36" w:rsidP="00B04F36">
      <w:pPr>
        <w:spacing w:line="480" w:lineRule="auto"/>
        <w:jc w:val="both"/>
        <w:rPr>
          <w:bCs/>
          <w:lang w:val="en-GB"/>
        </w:rPr>
      </w:pPr>
    </w:p>
    <w:p w14:paraId="6FB9061D" w14:textId="77777777" w:rsidR="00B04F36" w:rsidRDefault="00B04F36" w:rsidP="00B04F36">
      <w:pPr>
        <w:spacing w:line="480" w:lineRule="auto"/>
        <w:jc w:val="both"/>
        <w:rPr>
          <w:bCs/>
          <w:lang w:val="en-GB"/>
        </w:rPr>
      </w:pPr>
      <w:r>
        <w:rPr>
          <w:bCs/>
          <w:lang w:val="en-GB"/>
        </w:rPr>
        <w:t>In the case rules</w:t>
      </w:r>
      <w:r w:rsidRPr="00712742">
        <w:rPr>
          <w:bCs/>
          <w:lang w:val="en-GB"/>
        </w:rPr>
        <w:t xml:space="preserve"> return</w:t>
      </w:r>
      <w:r>
        <w:rPr>
          <w:bCs/>
          <w:lang w:val="en-GB"/>
        </w:rPr>
        <w:t>ed</w:t>
      </w:r>
      <w:r w:rsidRPr="00712742">
        <w:rPr>
          <w:bCs/>
          <w:lang w:val="en-GB"/>
        </w:rPr>
        <w:t xml:space="preserve"> a TP, TN, FP or FN of 0, which ma</w:t>
      </w:r>
      <w:r>
        <w:rPr>
          <w:bCs/>
          <w:lang w:val="en-GB"/>
        </w:rPr>
        <w:t>de</w:t>
      </w:r>
      <w:r w:rsidRPr="00712742">
        <w:rPr>
          <w:bCs/>
          <w:lang w:val="en-GB"/>
        </w:rPr>
        <w:t xml:space="preserve"> the DOR undefined</w:t>
      </w:r>
      <w:r>
        <w:rPr>
          <w:bCs/>
          <w:lang w:val="en-GB"/>
        </w:rPr>
        <w:t>, we added a</w:t>
      </w:r>
      <w:r w:rsidRPr="00712742">
        <w:rPr>
          <w:bCs/>
          <w:lang w:val="en-GB"/>
        </w:rPr>
        <w:t xml:space="preserve"> 0.5 </w:t>
      </w:r>
      <w:r>
        <w:rPr>
          <w:bCs/>
          <w:lang w:val="en-GB"/>
        </w:rPr>
        <w:t>t</w:t>
      </w:r>
      <w:r w:rsidRPr="00712742">
        <w:rPr>
          <w:bCs/>
          <w:lang w:val="en-GB"/>
        </w:rPr>
        <w:t>o all value</w:t>
      </w:r>
      <w:r>
        <w:rPr>
          <w:bCs/>
          <w:lang w:val="en-GB"/>
        </w:rPr>
        <w:t>s</w:t>
      </w:r>
      <w:r>
        <w:rPr>
          <w:bCs/>
          <w:lang w:val="en-GB"/>
        </w:rPr>
        <w:fldChar w:fldCharType="begin"/>
      </w:r>
      <w:r>
        <w:rPr>
          <w:bCs/>
          <w:lang w:val="en-GB"/>
        </w:rPr>
        <w:instrText xml:space="preserve"> ADDIN EN.CITE &lt;EndNote&gt;&lt;Cite&gt;&lt;Author&gt;Glas&lt;/Author&gt;&lt;Year&gt;2003&lt;/Year&gt;&lt;RecNum&gt;142&lt;/RecNum&gt;&lt;DisplayText&gt;(30)&lt;/DisplayText&gt;&lt;record&gt;&lt;rec-number&gt;142&lt;/rec-number&gt;&lt;foreign-keys&gt;&lt;key app="EN" db-id="pwf0f2tveedex5evaxm5ads0fva5pv2f5zpv" timestamp="1673949680"&gt;142&lt;/key&gt;&lt;/foreign-keys&gt;&lt;ref-type name="Journal Article"&gt;17&lt;/ref-type&gt;&lt;contributors&gt;&lt;authors&gt;&lt;author&gt;Glas, A. S.&lt;/author&gt;&lt;author&gt;Lijmer, J. G.&lt;/author&gt;&lt;author&gt;Prins, M. H.&lt;/author&gt;&lt;author&gt;Bonsel, G. J.&lt;/author&gt;&lt;author&gt;Bossuyt, P. M.&lt;/author&gt;&lt;/authors&gt;&lt;/contributors&gt;&lt;auth-address&gt;Department of Clinical Epidemiology &amp;amp; Biostatistics, University of Amsterdam, Academic Medical Center, Post Office Box 22700, 100 DE Amsterdam, The Netherlands. a.s.glas@amc.uva.nl&lt;/auth-address&gt;&lt;titles&gt;&lt;title&gt;The diagnostic odds ratio: a single indicator of test performance&lt;/title&gt;&lt;secondary-title&gt;J Clin Epidemiol&lt;/secondary-title&gt;&lt;/titles&gt;&lt;periodical&gt;&lt;full-title&gt;J Clin Epidemiol&lt;/full-title&gt;&lt;/periodical&gt;&lt;pages&gt;1129-35&lt;/pages&gt;&lt;volume&gt;56&lt;/volume&gt;&lt;number&gt;11&lt;/number&gt;&lt;edition&gt;2003/11/15&lt;/edition&gt;&lt;keywords&gt;&lt;keyword&gt;*Diagnosis&lt;/keyword&gt;&lt;keyword&gt;Humans&lt;/keyword&gt;&lt;keyword&gt;Logistic Models&lt;/keyword&gt;&lt;keyword&gt;Meta-Analysis as Topic&lt;/keyword&gt;&lt;keyword&gt;*Odds Ratio&lt;/keyword&gt;&lt;keyword&gt;Predictive Value of Tests&lt;/keyword&gt;&lt;keyword&gt;Sensitivity and Specificity&lt;/keyword&gt;&lt;/keywords&gt;&lt;dates&gt;&lt;year&gt;2003&lt;/year&gt;&lt;pub-dates&gt;&lt;date&gt;Nov&lt;/date&gt;&lt;/pub-dates&gt;&lt;/dates&gt;&lt;isbn&gt;0895-4356 (Print)&amp;#xD;0895-4356 (Linking)&lt;/isbn&gt;&lt;accession-num&gt;14615004&lt;/accession-num&gt;&lt;urls&gt;&lt;related-urls&gt;&lt;url&gt;https://www.ncbi.nlm.nih.gov/pubmed/14615004&lt;/url&gt;&lt;/related-urls&gt;&lt;/urls&gt;&lt;electronic-resource-num&gt;10.1016/s0895-4356(03)00177-x&lt;/electronic-resource-num&gt;&lt;/record&gt;&lt;/Cite&gt;&lt;/EndNote&gt;</w:instrText>
      </w:r>
      <w:r>
        <w:rPr>
          <w:bCs/>
          <w:lang w:val="en-GB"/>
        </w:rPr>
        <w:fldChar w:fldCharType="separate"/>
      </w:r>
      <w:r>
        <w:rPr>
          <w:bCs/>
          <w:noProof/>
          <w:lang w:val="en-GB"/>
        </w:rPr>
        <w:t>(30)</w:t>
      </w:r>
      <w:r>
        <w:rPr>
          <w:bCs/>
          <w:lang w:val="en-GB"/>
        </w:rPr>
        <w:fldChar w:fldCharType="end"/>
      </w:r>
      <w:r>
        <w:rPr>
          <w:bCs/>
          <w:lang w:val="en-GB"/>
        </w:rPr>
        <w:t xml:space="preserve">. </w:t>
      </w:r>
    </w:p>
    <w:p w14:paraId="282C74C2" w14:textId="77777777" w:rsidR="00B04F36" w:rsidRPr="0040735F" w:rsidRDefault="00B04F36" w:rsidP="00B04F36">
      <w:pPr>
        <w:spacing w:line="480" w:lineRule="auto"/>
        <w:jc w:val="both"/>
        <w:rPr>
          <w:lang w:val="en-US"/>
        </w:rPr>
      </w:pPr>
      <w:r>
        <w:rPr>
          <w:bCs/>
          <w:lang w:val="en-GB"/>
        </w:rPr>
        <w:t>We developed an algorithm that integrates</w:t>
      </w:r>
      <w:r w:rsidRPr="00722794">
        <w:rPr>
          <w:bCs/>
          <w:lang w:val="en-GB"/>
        </w:rPr>
        <w:t xml:space="preserve"> these rules into a single predictive model. </w:t>
      </w:r>
      <w:r>
        <w:rPr>
          <w:bCs/>
          <w:lang w:val="en-GB"/>
        </w:rPr>
        <w:t xml:space="preserve">In the algorithm, an array of rules (R) is defined for each patient (p) testing each proposed rule (r). The algorithm is defined as follows:  </w:t>
      </w:r>
      <w:r w:rsidRPr="00722794">
        <w:rPr>
          <w:bCs/>
          <w:lang w:val="en-GB"/>
        </w:rPr>
        <w:t>R = [r_0 , r_1 , … r_n ] defined for each patient where r_i are the applicable rules for patient</w:t>
      </w:r>
      <w:r>
        <w:rPr>
          <w:bCs/>
          <w:lang w:val="en-GB"/>
        </w:rPr>
        <w:t>,</w:t>
      </w:r>
      <w:r w:rsidRPr="00722794">
        <w:rPr>
          <w:bCs/>
          <w:lang w:val="en-GB"/>
        </w:rPr>
        <w:t xml:space="preserve"> r_i = 0 if the rule returns False while r_i = 1 if the rule returns True. For each patient we also calculate a weight array W = [w_0 , w_1 , … , w_n ] as </w:t>
      </w:r>
      <m:oMath>
        <m:sSub>
          <m:sSubPr>
            <m:ctrlPr>
              <w:rPr>
                <w:rFonts w:ascii="Cambria Math" w:hAnsi="Cambria Math"/>
              </w:rPr>
            </m:ctrlPr>
          </m:sSubPr>
          <m:e>
            <m:r>
              <w:rPr>
                <w:rFonts w:ascii="Cambria Math" w:hAnsi="Cambria Math"/>
              </w:rPr>
              <m:t>w</m:t>
            </m:r>
          </m:e>
          <m:sub>
            <m:r>
              <w:rPr>
                <w:rFonts w:ascii="Cambria Math" w:hAnsi="Cambria Math"/>
              </w:rPr>
              <m:t>i</m:t>
            </m:r>
          </m:sub>
        </m:sSub>
        <m:r>
          <w:rPr>
            <w:rFonts w:ascii="Cambria Math" w:hAnsi="Cambria Math"/>
            <w:lang w:val="en-US"/>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i</m:t>
                </m:r>
              </m:sub>
            </m:sSub>
            <m:r>
              <w:rPr>
                <w:rFonts w:ascii="Cambria Math" w:hAnsi="Cambria Math"/>
                <w:lang w:val="en-US"/>
              </w:rPr>
              <m:t>+1</m:t>
            </m:r>
          </m:num>
          <m:den>
            <m:nary>
              <m:naryPr>
                <m:chr m:val="∑"/>
                <m:ctrlPr>
                  <w:rPr>
                    <w:rFonts w:ascii="Cambria Math" w:hAnsi="Cambria Math"/>
                  </w:rPr>
                </m:ctrlPr>
              </m:naryPr>
              <m:sub>
                <m:r>
                  <w:rPr>
                    <w:rFonts w:ascii="Cambria Math" w:hAnsi="Cambria Math"/>
                    <w:lang w:val="en-US"/>
                  </w:rPr>
                  <m:t> </m:t>
                </m:r>
              </m:sub>
              <m:sup>
                <m:r>
                  <w:rPr>
                    <w:rFonts w:ascii="Cambria Math" w:hAnsi="Cambria Math"/>
                    <w:lang w:val="en-US"/>
                  </w:rPr>
                  <m:t> </m:t>
                </m:r>
              </m:sup>
              <m:e>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lang w:val="en-US"/>
                      </w:rPr>
                      <m:t> + 1</m:t>
                    </m:r>
                  </m:e>
                </m:d>
              </m:e>
            </m:nary>
          </m:den>
        </m:f>
      </m:oMath>
      <w:r w:rsidRPr="00722794">
        <w:rPr>
          <w:bCs/>
          <w:lang w:val="en-GB"/>
        </w:rPr>
        <w:t xml:space="preserve"> where m_i is the MCC of rule i and </w:t>
      </w:r>
      <m:oMath>
        <m:nary>
          <m:naryPr>
            <m:chr m:val="∑"/>
            <m:ctrlPr>
              <w:rPr>
                <w:rFonts w:ascii="Cambria Math" w:hAnsi="Cambria Math"/>
              </w:rPr>
            </m:ctrlPr>
          </m:naryPr>
          <m:sub>
            <m:r>
              <w:rPr>
                <w:rFonts w:ascii="Cambria Math" w:hAnsi="Cambria Math"/>
                <w:lang w:val="en-US"/>
              </w:rPr>
              <m:t> </m:t>
            </m:r>
          </m:sub>
          <m:sup>
            <m:r>
              <w:rPr>
                <w:rFonts w:ascii="Cambria Math" w:hAnsi="Cambria Math"/>
                <w:lang w:val="en-US"/>
              </w:rPr>
              <m:t> </m:t>
            </m:r>
          </m:sup>
          <m:e>
            <m:sSub>
              <m:sSubPr>
                <m:ctrlPr>
                  <w:rPr>
                    <w:rFonts w:ascii="Cambria Math" w:hAnsi="Cambria Math"/>
                  </w:rPr>
                </m:ctrlPr>
              </m:sSubPr>
              <m:e>
                <m:r>
                  <w:rPr>
                    <w:rFonts w:ascii="Cambria Math" w:hAnsi="Cambria Math"/>
                  </w:rPr>
                  <m:t>w</m:t>
                </m:r>
              </m:e>
              <m:sub>
                <m:r>
                  <w:rPr>
                    <w:rFonts w:ascii="Cambria Math" w:hAnsi="Cambria Math"/>
                  </w:rPr>
                  <m:t>n</m:t>
                </m:r>
              </m:sub>
            </m:sSub>
          </m:e>
        </m:nary>
      </m:oMath>
      <w:r w:rsidRPr="00722794">
        <w:rPr>
          <w:bCs/>
          <w:lang w:val="en-GB"/>
        </w:rPr>
        <w:t>is the summation of the MCCs of all applicable rules for patient p.</w:t>
      </w:r>
      <w:r>
        <w:rPr>
          <w:bCs/>
          <w:lang w:val="en-GB"/>
        </w:rPr>
        <w:t xml:space="preserve"> </w:t>
      </w:r>
      <w:r w:rsidRPr="00722794">
        <w:rPr>
          <w:bCs/>
          <w:lang w:val="en-GB"/>
        </w:rPr>
        <w:t>The probability of positive diagnosis is then calculated as</w:t>
      </w:r>
      <w:r>
        <w:rPr>
          <w:bCs/>
          <w:lang w:val="en-GB"/>
        </w:rPr>
        <w:t xml:space="preserve"> </w:t>
      </w:r>
      <m:oMath>
        <m:r>
          <w:rPr>
            <w:rFonts w:ascii="Cambria Math" w:hAnsi="Cambria Math"/>
          </w:rPr>
          <m:t>P</m:t>
        </m:r>
        <m:d>
          <m:dPr>
            <m:ctrlPr>
              <w:rPr>
                <w:rFonts w:ascii="Cambria Math" w:hAnsi="Cambria Math"/>
              </w:rPr>
            </m:ctrlPr>
          </m:dPr>
          <m:e>
            <m:r>
              <w:rPr>
                <w:rFonts w:ascii="Cambria Math" w:hAnsi="Cambria Math"/>
              </w:rPr>
              <m:t>diagnosis</m:t>
            </m:r>
          </m:e>
        </m:d>
        <m:r>
          <w:rPr>
            <w:rFonts w:ascii="Cambria Math" w:hAnsi="Cambria Math"/>
            <w:lang w:val="en-US"/>
          </w:rPr>
          <m:t>=</m:t>
        </m:r>
        <m:nary>
          <m:naryPr>
            <m:chr m:val="∑"/>
            <m:ctrlPr>
              <w:rPr>
                <w:rFonts w:ascii="Cambria Math" w:hAnsi="Cambria Math"/>
              </w:rPr>
            </m:ctrlPr>
          </m:naryPr>
          <m:sub>
            <m:r>
              <w:rPr>
                <w:rFonts w:ascii="Cambria Math" w:hAnsi="Cambria Math"/>
              </w:rPr>
              <m:t>i</m:t>
            </m:r>
            <m:r>
              <w:rPr>
                <w:rFonts w:ascii="Cambria Math" w:hAnsi="Cambria Math"/>
                <w:lang w:val="en-US"/>
              </w:rPr>
              <m:t>=0</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lang w:val="en-US"/>
                  </w:rPr>
                  <m:t> ∙ </m:t>
                </m:r>
                <m:sSub>
                  <m:sSubPr>
                    <m:ctrlPr>
                      <w:rPr>
                        <w:rFonts w:ascii="Cambria Math" w:hAnsi="Cambria Math"/>
                      </w:rPr>
                    </m:ctrlPr>
                  </m:sSubPr>
                  <m:e>
                    <m:r>
                      <w:rPr>
                        <w:rFonts w:ascii="Cambria Math" w:hAnsi="Cambria Math"/>
                      </w:rPr>
                      <m:t>w</m:t>
                    </m:r>
                  </m:e>
                  <m:sub>
                    <m:r>
                      <w:rPr>
                        <w:rFonts w:ascii="Cambria Math" w:hAnsi="Cambria Math"/>
                      </w:rPr>
                      <m:t>i</m:t>
                    </m:r>
                  </m:sub>
                </m:sSub>
              </m:e>
            </m:d>
          </m:e>
        </m:nary>
      </m:oMath>
      <w:r w:rsidRPr="00B74C9E">
        <w:rPr>
          <w:lang w:val="en-US"/>
        </w:rPr>
        <w:t xml:space="preserve">. </w:t>
      </w:r>
      <w:r>
        <w:rPr>
          <w:lang w:val="en-US"/>
        </w:rPr>
        <w:t>A R</w:t>
      </w:r>
      <w:r w:rsidRPr="00B74C9E">
        <w:rPr>
          <w:lang w:val="en-US"/>
        </w:rPr>
        <w:t xml:space="preserve">eceiver </w:t>
      </w:r>
      <w:r>
        <w:rPr>
          <w:lang w:val="en-US"/>
        </w:rPr>
        <w:t>O</w:t>
      </w:r>
      <w:r w:rsidRPr="00B74C9E">
        <w:rPr>
          <w:lang w:val="en-US"/>
        </w:rPr>
        <w:t xml:space="preserve">perating </w:t>
      </w:r>
      <w:r>
        <w:rPr>
          <w:lang w:val="en-US"/>
        </w:rPr>
        <w:t>C</w:t>
      </w:r>
      <w:r w:rsidRPr="00B74C9E">
        <w:rPr>
          <w:lang w:val="en-US"/>
        </w:rPr>
        <w:t>haracteristic curve</w:t>
      </w:r>
      <w:r>
        <w:rPr>
          <w:lang w:val="en-US"/>
        </w:rPr>
        <w:t xml:space="preserve"> (ROC) is used to represent the results of the algorithm applied to our cohort. In order to reduce the impact of the missing data on the results of the algorithm</w:t>
      </w:r>
      <w:r w:rsidRPr="00B74C9E">
        <w:rPr>
          <w:lang w:val="en-US"/>
        </w:rPr>
        <w:t>,</w:t>
      </w:r>
      <w:r>
        <w:rPr>
          <w:lang w:val="en-US"/>
        </w:rPr>
        <w:t xml:space="preserve"> we applied it but</w:t>
      </w:r>
      <w:r w:rsidRPr="00B74C9E">
        <w:rPr>
          <w:lang w:val="en-US"/>
        </w:rPr>
        <w:t xml:space="preserve"> considering the best and worst case scenarios</w:t>
      </w:r>
      <w:r>
        <w:rPr>
          <w:lang w:val="en-US"/>
        </w:rPr>
        <w:t xml:space="preserve"> defined as </w:t>
      </w:r>
      <w:r w:rsidRPr="00B74C9E">
        <w:rPr>
          <w:lang w:val="en-US"/>
        </w:rPr>
        <w:t>Best Case Scenario (BCS)</w:t>
      </w:r>
      <w:r>
        <w:rPr>
          <w:lang w:val="en-US"/>
        </w:rPr>
        <w:t xml:space="preserve"> when all missing data (</w:t>
      </w:r>
      <w:r w:rsidRPr="00B74C9E">
        <w:rPr>
          <w:lang w:val="en-US"/>
        </w:rPr>
        <w:t>NAs</w:t>
      </w:r>
      <w:r>
        <w:rPr>
          <w:lang w:val="en-US"/>
        </w:rPr>
        <w:t>)</w:t>
      </w:r>
      <w:r w:rsidRPr="00B74C9E">
        <w:rPr>
          <w:lang w:val="en-US"/>
        </w:rPr>
        <w:t xml:space="preserve"> in positive class (VCP) are True, while all NAs in negative class are False</w:t>
      </w:r>
      <w:r>
        <w:rPr>
          <w:lang w:val="en-US"/>
        </w:rPr>
        <w:t xml:space="preserve">, and the </w:t>
      </w:r>
      <w:r w:rsidRPr="00B74C9E">
        <w:rPr>
          <w:lang w:val="en-US"/>
        </w:rPr>
        <w:t>Worst Case Scenario (WCS)</w:t>
      </w:r>
      <w:r>
        <w:rPr>
          <w:lang w:val="en-US"/>
        </w:rPr>
        <w:t xml:space="preserve"> when a</w:t>
      </w:r>
      <w:r w:rsidRPr="00B74C9E">
        <w:rPr>
          <w:lang w:val="en-US"/>
        </w:rPr>
        <w:t>ll NAs in positive class (VCP) are False, while all NAs in negative class are True.</w:t>
      </w:r>
      <w:r>
        <w:rPr>
          <w:lang w:val="en-US"/>
        </w:rPr>
        <w:t xml:space="preserve"> </w:t>
      </w:r>
    </w:p>
    <w:p w14:paraId="4C87F172" w14:textId="77777777" w:rsidR="00204A38" w:rsidRPr="00B04F36" w:rsidRDefault="00000000">
      <w:pPr>
        <w:rPr>
          <w:lang w:val="en-US"/>
        </w:rPr>
      </w:pPr>
    </w:p>
    <w:sectPr w:rsidR="00204A38" w:rsidRPr="00B04F36" w:rsidSect="00D13EC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36"/>
    <w:rsid w:val="00017962"/>
    <w:rsid w:val="00026D52"/>
    <w:rsid w:val="000361D0"/>
    <w:rsid w:val="00037545"/>
    <w:rsid w:val="00043A95"/>
    <w:rsid w:val="000474FA"/>
    <w:rsid w:val="00081FEE"/>
    <w:rsid w:val="000A35EA"/>
    <w:rsid w:val="000B0D19"/>
    <w:rsid w:val="000D3789"/>
    <w:rsid w:val="000E0BD7"/>
    <w:rsid w:val="000E40B2"/>
    <w:rsid w:val="000E67A1"/>
    <w:rsid w:val="001122B8"/>
    <w:rsid w:val="001139E2"/>
    <w:rsid w:val="00131B39"/>
    <w:rsid w:val="00140D37"/>
    <w:rsid w:val="00141E67"/>
    <w:rsid w:val="00143364"/>
    <w:rsid w:val="00145A90"/>
    <w:rsid w:val="00154954"/>
    <w:rsid w:val="00155C5F"/>
    <w:rsid w:val="0015700C"/>
    <w:rsid w:val="00177250"/>
    <w:rsid w:val="00194026"/>
    <w:rsid w:val="00194E71"/>
    <w:rsid w:val="001A0CD7"/>
    <w:rsid w:val="001A1CD6"/>
    <w:rsid w:val="001B3728"/>
    <w:rsid w:val="001C5192"/>
    <w:rsid w:val="001C65CA"/>
    <w:rsid w:val="002116D0"/>
    <w:rsid w:val="00211748"/>
    <w:rsid w:val="00222AF6"/>
    <w:rsid w:val="00234A6B"/>
    <w:rsid w:val="00245DC9"/>
    <w:rsid w:val="00254566"/>
    <w:rsid w:val="0026006D"/>
    <w:rsid w:val="00283617"/>
    <w:rsid w:val="00286C36"/>
    <w:rsid w:val="002E19B4"/>
    <w:rsid w:val="002E1E11"/>
    <w:rsid w:val="00304A5D"/>
    <w:rsid w:val="00314CEC"/>
    <w:rsid w:val="0032064D"/>
    <w:rsid w:val="00326019"/>
    <w:rsid w:val="003264D1"/>
    <w:rsid w:val="00330829"/>
    <w:rsid w:val="00333807"/>
    <w:rsid w:val="00342244"/>
    <w:rsid w:val="003467A1"/>
    <w:rsid w:val="00347E1A"/>
    <w:rsid w:val="00361275"/>
    <w:rsid w:val="003706D6"/>
    <w:rsid w:val="003B14F2"/>
    <w:rsid w:val="003B5056"/>
    <w:rsid w:val="003B5756"/>
    <w:rsid w:val="003F43EB"/>
    <w:rsid w:val="00400678"/>
    <w:rsid w:val="00407B83"/>
    <w:rsid w:val="0041025A"/>
    <w:rsid w:val="00432B41"/>
    <w:rsid w:val="00443E4A"/>
    <w:rsid w:val="0047314E"/>
    <w:rsid w:val="00492790"/>
    <w:rsid w:val="0049620D"/>
    <w:rsid w:val="004C6A41"/>
    <w:rsid w:val="004D2F98"/>
    <w:rsid w:val="004D3C6C"/>
    <w:rsid w:val="004E355C"/>
    <w:rsid w:val="004F058F"/>
    <w:rsid w:val="004F2934"/>
    <w:rsid w:val="004F3200"/>
    <w:rsid w:val="004F7BD2"/>
    <w:rsid w:val="00506201"/>
    <w:rsid w:val="00516CF7"/>
    <w:rsid w:val="00540974"/>
    <w:rsid w:val="00541EE2"/>
    <w:rsid w:val="00543CD7"/>
    <w:rsid w:val="00560E0A"/>
    <w:rsid w:val="005659B2"/>
    <w:rsid w:val="00590BA3"/>
    <w:rsid w:val="005972E3"/>
    <w:rsid w:val="005B0D93"/>
    <w:rsid w:val="005C0841"/>
    <w:rsid w:val="005C1778"/>
    <w:rsid w:val="005C1A57"/>
    <w:rsid w:val="005D1471"/>
    <w:rsid w:val="005E1F06"/>
    <w:rsid w:val="005E532D"/>
    <w:rsid w:val="005F7C7C"/>
    <w:rsid w:val="00614E9D"/>
    <w:rsid w:val="00621314"/>
    <w:rsid w:val="006364CC"/>
    <w:rsid w:val="00647A5F"/>
    <w:rsid w:val="00665328"/>
    <w:rsid w:val="006911B2"/>
    <w:rsid w:val="006A56A7"/>
    <w:rsid w:val="006B5523"/>
    <w:rsid w:val="006D16A4"/>
    <w:rsid w:val="006D2162"/>
    <w:rsid w:val="006D2DA7"/>
    <w:rsid w:val="006D74FF"/>
    <w:rsid w:val="006F22B0"/>
    <w:rsid w:val="006F7FA6"/>
    <w:rsid w:val="00707037"/>
    <w:rsid w:val="007145F5"/>
    <w:rsid w:val="00721943"/>
    <w:rsid w:val="00742E7A"/>
    <w:rsid w:val="0075037A"/>
    <w:rsid w:val="00750AB3"/>
    <w:rsid w:val="00771036"/>
    <w:rsid w:val="007746CA"/>
    <w:rsid w:val="00786EAD"/>
    <w:rsid w:val="007A7619"/>
    <w:rsid w:val="007B02CA"/>
    <w:rsid w:val="007B12D6"/>
    <w:rsid w:val="007F0071"/>
    <w:rsid w:val="008011F6"/>
    <w:rsid w:val="00801449"/>
    <w:rsid w:val="00810F37"/>
    <w:rsid w:val="00832812"/>
    <w:rsid w:val="00847764"/>
    <w:rsid w:val="008546FA"/>
    <w:rsid w:val="00856717"/>
    <w:rsid w:val="0086384D"/>
    <w:rsid w:val="0087350A"/>
    <w:rsid w:val="00875008"/>
    <w:rsid w:val="00876D7B"/>
    <w:rsid w:val="00877908"/>
    <w:rsid w:val="008920CD"/>
    <w:rsid w:val="0089702F"/>
    <w:rsid w:val="008A028E"/>
    <w:rsid w:val="008C043C"/>
    <w:rsid w:val="008C4F60"/>
    <w:rsid w:val="008D0807"/>
    <w:rsid w:val="008D59D0"/>
    <w:rsid w:val="008D5D9A"/>
    <w:rsid w:val="008E7303"/>
    <w:rsid w:val="00936B57"/>
    <w:rsid w:val="00981D86"/>
    <w:rsid w:val="00997743"/>
    <w:rsid w:val="009A0F6D"/>
    <w:rsid w:val="009B240A"/>
    <w:rsid w:val="009B73D6"/>
    <w:rsid w:val="009C6861"/>
    <w:rsid w:val="009D2FB6"/>
    <w:rsid w:val="009E3E09"/>
    <w:rsid w:val="009F6CD2"/>
    <w:rsid w:val="00A0264B"/>
    <w:rsid w:val="00A07872"/>
    <w:rsid w:val="00A32665"/>
    <w:rsid w:val="00A40835"/>
    <w:rsid w:val="00A64710"/>
    <w:rsid w:val="00A82161"/>
    <w:rsid w:val="00A930C2"/>
    <w:rsid w:val="00AA228A"/>
    <w:rsid w:val="00AA52D7"/>
    <w:rsid w:val="00AA6E77"/>
    <w:rsid w:val="00AB0183"/>
    <w:rsid w:val="00AB3D5E"/>
    <w:rsid w:val="00AB766A"/>
    <w:rsid w:val="00AC79B5"/>
    <w:rsid w:val="00AE3206"/>
    <w:rsid w:val="00AE383C"/>
    <w:rsid w:val="00AE4769"/>
    <w:rsid w:val="00AF0B5F"/>
    <w:rsid w:val="00AF2B17"/>
    <w:rsid w:val="00B04F36"/>
    <w:rsid w:val="00B20B7B"/>
    <w:rsid w:val="00B27F17"/>
    <w:rsid w:val="00B359E5"/>
    <w:rsid w:val="00B46DCD"/>
    <w:rsid w:val="00B62CC5"/>
    <w:rsid w:val="00B748DF"/>
    <w:rsid w:val="00B765F1"/>
    <w:rsid w:val="00BB5D53"/>
    <w:rsid w:val="00BF1621"/>
    <w:rsid w:val="00C105AD"/>
    <w:rsid w:val="00C1506B"/>
    <w:rsid w:val="00C15447"/>
    <w:rsid w:val="00C16928"/>
    <w:rsid w:val="00C3003B"/>
    <w:rsid w:val="00C343C2"/>
    <w:rsid w:val="00C40C77"/>
    <w:rsid w:val="00C50659"/>
    <w:rsid w:val="00C55FD4"/>
    <w:rsid w:val="00C57381"/>
    <w:rsid w:val="00C60BB9"/>
    <w:rsid w:val="00C72537"/>
    <w:rsid w:val="00C77AEE"/>
    <w:rsid w:val="00C8270D"/>
    <w:rsid w:val="00C84180"/>
    <w:rsid w:val="00CA4EA1"/>
    <w:rsid w:val="00CA7B66"/>
    <w:rsid w:val="00D13EC6"/>
    <w:rsid w:val="00D4289A"/>
    <w:rsid w:val="00D433C0"/>
    <w:rsid w:val="00D43A21"/>
    <w:rsid w:val="00D43E63"/>
    <w:rsid w:val="00D6705E"/>
    <w:rsid w:val="00D70888"/>
    <w:rsid w:val="00D91730"/>
    <w:rsid w:val="00DA1337"/>
    <w:rsid w:val="00DA42E6"/>
    <w:rsid w:val="00DA47D6"/>
    <w:rsid w:val="00DB2AC4"/>
    <w:rsid w:val="00DC0EF7"/>
    <w:rsid w:val="00DC1101"/>
    <w:rsid w:val="00DE0531"/>
    <w:rsid w:val="00E33F22"/>
    <w:rsid w:val="00E7076B"/>
    <w:rsid w:val="00E73415"/>
    <w:rsid w:val="00E75502"/>
    <w:rsid w:val="00E83715"/>
    <w:rsid w:val="00E957A5"/>
    <w:rsid w:val="00EA0CD9"/>
    <w:rsid w:val="00EB3CDB"/>
    <w:rsid w:val="00EC5FCF"/>
    <w:rsid w:val="00EC606C"/>
    <w:rsid w:val="00ED0D57"/>
    <w:rsid w:val="00ED1806"/>
    <w:rsid w:val="00ED52CF"/>
    <w:rsid w:val="00ED6CF4"/>
    <w:rsid w:val="00ED6EA2"/>
    <w:rsid w:val="00EF18A1"/>
    <w:rsid w:val="00EF34CE"/>
    <w:rsid w:val="00F045F6"/>
    <w:rsid w:val="00F07FF3"/>
    <w:rsid w:val="00F220AC"/>
    <w:rsid w:val="00F327EF"/>
    <w:rsid w:val="00F337F8"/>
    <w:rsid w:val="00F664DE"/>
    <w:rsid w:val="00F70832"/>
    <w:rsid w:val="00F721F0"/>
    <w:rsid w:val="00F8630A"/>
    <w:rsid w:val="00F90183"/>
    <w:rsid w:val="00F9049E"/>
    <w:rsid w:val="00F96AEE"/>
    <w:rsid w:val="00FA671D"/>
    <w:rsid w:val="00FB0CEE"/>
    <w:rsid w:val="00FB2152"/>
    <w:rsid w:val="00FC5816"/>
    <w:rsid w:val="00FD3C7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4ECE408"/>
  <w14:defaultImageDpi w14:val="32767"/>
  <w15:chartTrackingRefBased/>
  <w15:docId w15:val="{0D7EE37F-47C3-AE42-AA7E-71BFFDBF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04F36"/>
    <w:pPr>
      <w:spacing w:line="276" w:lineRule="auto"/>
    </w:pPr>
    <w:rPr>
      <w:rFonts w:ascii="Arial" w:eastAsia="Arial" w:hAnsi="Arial" w:cs="Arial"/>
      <w:sz w:val="22"/>
      <w:szCs w:val="22"/>
      <w:lang w:val="es"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1045</Words>
  <Characters>5753</Characters>
  <Application>Microsoft Office Word</Application>
  <DocSecurity>0</DocSecurity>
  <Lines>47</Lines>
  <Paragraphs>13</Paragraphs>
  <ScaleCrop>false</ScaleCrop>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 Diaz Manera</dc:creator>
  <cp:keywords/>
  <dc:description/>
  <cp:lastModifiedBy>Jordi Diaz Manera</cp:lastModifiedBy>
  <cp:revision>1</cp:revision>
  <dcterms:created xsi:type="dcterms:W3CDTF">2023-03-20T10:08:00Z</dcterms:created>
  <dcterms:modified xsi:type="dcterms:W3CDTF">2023-03-20T10:08:00Z</dcterms:modified>
</cp:coreProperties>
</file>