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1BAA2" w14:textId="274271E8" w:rsidR="004F27F6" w:rsidRPr="0074494A" w:rsidRDefault="004F27F6" w:rsidP="002B6D06">
      <w:pPr>
        <w:spacing w:line="480" w:lineRule="auto"/>
        <w:rPr>
          <w:rFonts w:cstheme="minorHAnsi"/>
          <w:b/>
          <w:bCs/>
          <w:lang w:val="en-GB"/>
        </w:rPr>
      </w:pPr>
      <w:r w:rsidRPr="0074494A">
        <w:rPr>
          <w:rFonts w:cstheme="minorHAnsi"/>
          <w:b/>
          <w:bCs/>
          <w:lang w:val="en-GB"/>
        </w:rPr>
        <w:t>Supplementary</w:t>
      </w:r>
      <w:r w:rsidR="00C45F96" w:rsidRPr="0074494A">
        <w:rPr>
          <w:rFonts w:cstheme="minorHAnsi"/>
          <w:b/>
          <w:bCs/>
          <w:lang w:val="en-GB"/>
        </w:rPr>
        <w:t xml:space="preserve"> appendix</w:t>
      </w:r>
    </w:p>
    <w:p w14:paraId="2EFCE7D4" w14:textId="161749DF" w:rsidR="0074494A" w:rsidRPr="0074494A" w:rsidRDefault="0074494A" w:rsidP="002B6D06">
      <w:pPr>
        <w:spacing w:line="480" w:lineRule="auto"/>
        <w:rPr>
          <w:rFonts w:cstheme="minorHAnsi"/>
          <w:b/>
          <w:bCs/>
          <w:lang w:val="en-GB"/>
        </w:rPr>
      </w:pPr>
      <w:r w:rsidRPr="0074494A">
        <w:rPr>
          <w:rFonts w:cstheme="minorHAnsi"/>
          <w:b/>
          <w:bCs/>
          <w:lang w:val="en-GB"/>
        </w:rPr>
        <w:t>I. Inclusion criteria</w:t>
      </w:r>
    </w:p>
    <w:p w14:paraId="37AF4BA7" w14:textId="65A0565B" w:rsidR="007D0E05" w:rsidRPr="0074494A" w:rsidRDefault="007D0E05" w:rsidP="002B6D06">
      <w:pPr>
        <w:spacing w:line="480" w:lineRule="auto"/>
        <w:rPr>
          <w:rFonts w:cstheme="minorHAnsi"/>
          <w:lang w:val="en-GB"/>
        </w:rPr>
      </w:pPr>
      <w:r w:rsidRPr="0074494A">
        <w:rPr>
          <w:rFonts w:cstheme="minorHAnsi"/>
          <w:lang w:val="en-GB"/>
        </w:rPr>
        <w:t xml:space="preserve">All patients with </w:t>
      </w:r>
      <w:r w:rsidRPr="0074494A">
        <w:rPr>
          <w:rFonts w:cstheme="minorHAnsi"/>
          <w:b/>
          <w:bCs/>
          <w:lang w:val="en-GB"/>
        </w:rPr>
        <w:t>viral encephalitis</w:t>
      </w:r>
      <w:r w:rsidRPr="0074494A">
        <w:rPr>
          <w:rFonts w:cstheme="minorHAnsi"/>
          <w:lang w:val="en-GB"/>
        </w:rPr>
        <w:t xml:space="preserve"> had to </w:t>
      </w:r>
      <w:r w:rsidR="0074494A" w:rsidRPr="0074494A">
        <w:rPr>
          <w:rFonts w:cstheme="minorHAnsi"/>
          <w:lang w:val="en-GB"/>
        </w:rPr>
        <w:t>fulfil</w:t>
      </w:r>
      <w:r w:rsidRPr="0074494A">
        <w:rPr>
          <w:rFonts w:cstheme="minorHAnsi"/>
          <w:lang w:val="en-GB"/>
        </w:rPr>
        <w:t xml:space="preserve"> the 2013 International Encephalitis Consortium (IEC) criteria for encephalitis</w:t>
      </w:r>
      <w:r w:rsidRPr="0074494A">
        <w:rPr>
          <w:rFonts w:cstheme="minorHAnsi"/>
          <w:lang w:val="en-GB"/>
        </w:rPr>
        <w:fldChar w:fldCharType="begin" w:fldLock="1"/>
      </w:r>
      <w:r w:rsidR="0074494A">
        <w:rPr>
          <w:rFonts w:cstheme="minorHAnsi"/>
          <w:lang w:val="en-GB"/>
        </w:rPr>
        <w:instrText>ADDIN CSL_CITATION {"citationItems":[{"id":"ITEM-1","itemData":{"DOI":"10.1093/cid/cit458","ISSN":"10584838","PMID":"23861361","abstract":"Background. Encephalitis continues to result in substantial morbidity and mortality worldwide. Advances in diagnosis and management have been limited, in part, by a lack of consensus on case definitions, standardized diagnostic approaches, and priorities for research.Methods. In March 2012, the International Encephalitis Consortium, a committee begun in 2010 with members worldwide, held a meeting in Atlanta to discuss recent advances in encephalitis and to set priorities for future study.Results. We present a consensus document that proposes a standardized case definition and diagnostic guidelines for evaluation of adults and children with suspected encephalitis. In addition, areas of research priority, including host genetics and selected emerging infections, are discussed.Conclusions. We anticipate that this document, representing a synthesis of our discussions and supported by literature, will serve as a practical aid to clinicians evaluating patients with suspected encephalitis and will identify key areas and approaches to advance our knowledge of encephalitis. © 2013 The Author 2013. Published by Oxford University Press on behalf of the Infectious Diseases Society of America. All rights reserved. For Permissions, please e-mail: journals.permissions@oup.com.","author":[{"dropping-particle":"","family":"Venkatesan","given":"A.","non-dropping-particle":"","parse-names":false,"suffix":""},{"dropping-particle":"","family":"Tunkel","given":"A. R.","non-dropping-particle":"","parse-names":false,"suffix":""},{"dropping-particle":"","family":"Bloch","given":"K. C.","non-dropping-particle":"","parse-names":false,"suffix":""},{"dropping-particle":"","family":"Lauring","given":"A. S.","non-dropping-particle":"","parse-names":false,"suffix":""},{"dropping-particle":"","family":"Sejvar","given":"J.","non-dropping-particle":"","parse-names":false,"suffix":""},{"dropping-particle":"","family":"Bitnun","given":"A.","non-dropping-particle":"","parse-names":false,"suffix":""},{"dropping-particle":"","family":"Stahl","given":"J. P.","non-dropping-particle":"","parse-names":false,"suffix":""},{"dropping-particle":"","family":"Mailles","given":"A.","non-dropping-particle":"","parse-names":false,"suffix":""},{"dropping-particle":"","family":"Drebot","given":"M.","non-dropping-particle":"","parse-names":false,"suffix":""},{"dropping-particle":"","family":"Rupprecht","given":"C. E.","non-dropping-particle":"","parse-names":false,"suffix":""},{"dropping-particle":"","family":"Yoder","given":"J.","non-dropping-particle":"","parse-names":false,"suffix":""},{"dropping-particle":"","family":"Cope","given":"J. R.","non-dropping-particle":"","parse-names":false,"suffix":""},{"dropping-particle":"","family":"Wilson","given":"M. R.","non-dropping-particle":"","parse-names":false,"suffix":""},{"dropping-particle":"","family":"Whitley","given":"R. J.","non-dropping-particle":"","parse-names":false,"suffix":""},{"dropping-particle":"","family":"Sullivan","given":"J.","non-dropping-particle":"","parse-names":false,"suffix":""},{"dropping-particle":"","family":"Granerod","given":"J.","non-dropping-particle":"","parse-names":false,"suffix":""},{"dropping-particle":"","family":"Jones","given":"C.","non-dropping-particle":"","parse-names":false,"suffix":""},{"dropping-particle":"","family":"Eastwood","given":"K.","non-dropping-particle":"","parse-names":false,"suffix":""},{"dropping-particle":"","family":"Ward","given":"K. N.","non-dropping-particle":"","parse-names":false,"suffix":""},{"dropping-particle":"","family":"Durrheim","given":"D. N.","non-dropping-particle":"","parse-names":false,"suffix":""},{"dropping-particle":"V.","family":"Solbrig","given":"M.","non-dropping-particle":"","parse-names":false,"suffix":""},{"dropping-particle":"","family":"Guo-Dong","given":"L.","non-dropping-particle":"","parse-names":false,"suffix":""},{"dropping-particle":"","family":"Glaser","given":"C. A.","non-dropping-particle":"","parse-names":false,"suffix":""},{"dropping-particle":"","family":"Sheriff","given":"Heather","non-dropping-particle":"","parse-names":false,"suffix":""},{"dropping-particle":"","family":"Brown","given":"David","non-dropping-particle":"","parse-names":false,"suffix":""},{"dropping-particle":"","family":"Farnon","given":"Eileen","non-dropping-particle":"","parse-names":false,"suffix":""},{"dropping-particle":"","family":"Messenger","given":"Sharon","non-dropping-particle":"","parse-names":false,"suffix":""},{"dropping-particle":"","family":"Paterson","given":"Beverley","non-dropping-particle":"","parse-names":false,"suffix":""},{"dropping-particle":"","family":"Soldatos","given":"Ariane","non-dropping-particle":"","parse-names":false,"suffix":""},{"dropping-particle":"","family":"Roy","given":"Sharon","non-dropping-particle":"","parse-names":false,"suffix":""},{"dropping-particle":"","family":"Visvesvara","given":"Govinda","non-dropping-particle":"","parse-names":false,"suffix":""},{"dropping-particle":"","family":"Beach","given":"Michael","non-dropping-particle":"","parse-names":false,"suffix":""},{"dropping-particle":"","family":"Nasci","given":"Roger","non-dropping-particle":"","parse-names":false,"suffix":""},{"dropping-particle":"","family":"Pertowski","given":"Carol","non-dropping-particle":"","parse-names":false,"suffix":""},{"dropping-particle":"","family":"Schmid","given":"Scott","non-dropping-particle":"","parse-names":false,"suffix":""},{"dropping-particle":"","family":"Rascoe","given":"Lisa","non-dropping-particle":"","parse-names":false,"suffix":""},{"dropping-particle":"","family":"Montgomery","given":"Joel","non-dropping-particle":"","parse-names":false,"suffix":""},{"dropping-particle":"","family":"Tong","given":"Suxiang","non-dropping-particle":"","parse-names":false,"suffix":""},{"dropping-particle":"","family":"Breiman","given":"Robert","non-dropping-particle":"","parse-names":false,"suffix":""},{"dropping-particle":"","family":"Franka","given":"Richard","non-dropping-particle":"","parse-names":false,"suffix":""},{"dropping-particle":"","family":"Keuhnert","given":"Matt","non-dropping-particle":"","parse-names":false,"suffix":""},{"dropping-particle":"","family":"Angulo","given":"Fred","non-dropping-particle":"","parse-names":false,"suffix":""},{"dropping-particle":"","family":"Cherry","given":"James","non-dropping-particle":"","parse-names":false,"suffix":""}],"container-title":"Clinical Infectious Diseases","id":"ITEM-1","issue":"8","issued":{"date-parts":[["2013"]]},"page":"1114-1128","title":"Case definitions, diagnostic algorithms, and priorities in encephalitis: Consensus statement of the international encephalitis consortium","type":"article-journal","volume":"57"},"uris":["http://www.mendeley.com/documents/?uuid=528be293-77c9-4292-84be-7eb4ed5d7a99"]}],"mendeley":{"formattedCitation":"(1)","plainTextFormattedCitation":"(1)","previouslyFormattedCitation":"(1)"},"properties":{"noteIndex":0},"schema":"https://github.com/citation-style-language/schema/raw/master/csl-citation.json"}</w:instrText>
      </w:r>
      <w:r w:rsidRPr="0074494A">
        <w:rPr>
          <w:rFonts w:cstheme="minorHAnsi"/>
          <w:lang w:val="en-GB"/>
        </w:rPr>
        <w:fldChar w:fldCharType="separate"/>
      </w:r>
      <w:r w:rsidRPr="0074494A">
        <w:rPr>
          <w:rFonts w:cstheme="minorHAnsi"/>
          <w:noProof/>
          <w:lang w:val="en-GB"/>
        </w:rPr>
        <w:t>(1)</w:t>
      </w:r>
      <w:r w:rsidRPr="0074494A">
        <w:rPr>
          <w:rFonts w:cstheme="minorHAnsi"/>
          <w:lang w:val="en-GB"/>
        </w:rPr>
        <w:fldChar w:fldCharType="end"/>
      </w:r>
      <w:r w:rsidRPr="0074494A">
        <w:rPr>
          <w:rFonts w:cstheme="minorHAnsi"/>
          <w:lang w:val="en-GB"/>
        </w:rPr>
        <w:t>:</w:t>
      </w:r>
    </w:p>
    <w:p w14:paraId="766103FB" w14:textId="7D65C490" w:rsidR="007D0E05" w:rsidRPr="0074494A" w:rsidRDefault="007D0E05" w:rsidP="002B6D06">
      <w:pPr>
        <w:pStyle w:val="Listeafsnit"/>
        <w:numPr>
          <w:ilvl w:val="0"/>
          <w:numId w:val="7"/>
        </w:numPr>
        <w:autoSpaceDE w:val="0"/>
        <w:autoSpaceDN w:val="0"/>
        <w:adjustRightInd w:val="0"/>
        <w:spacing w:after="0" w:line="480" w:lineRule="auto"/>
        <w:rPr>
          <w:rFonts w:cstheme="minorHAnsi"/>
          <w:lang w:val="en-GB"/>
        </w:rPr>
      </w:pPr>
      <w:r w:rsidRPr="0074494A">
        <w:rPr>
          <w:rFonts w:cstheme="minorHAnsi"/>
          <w:lang w:val="en-GB"/>
        </w:rPr>
        <w:t xml:space="preserve"> Patients presenting with altered mental status (defined as</w:t>
      </w:r>
      <w:r w:rsidRPr="0074494A">
        <w:rPr>
          <w:rFonts w:cstheme="minorHAnsi"/>
          <w:lang w:val="en-GB"/>
        </w:rPr>
        <w:t xml:space="preserve"> </w:t>
      </w:r>
      <w:r w:rsidRPr="0074494A">
        <w:rPr>
          <w:rFonts w:cstheme="minorHAnsi"/>
          <w:lang w:val="en-GB"/>
        </w:rPr>
        <w:t>decreased or altered level of consciousness,</w:t>
      </w:r>
      <w:r w:rsidRPr="0074494A">
        <w:rPr>
          <w:rFonts w:cstheme="minorHAnsi"/>
          <w:lang w:val="en-GB"/>
        </w:rPr>
        <w:t xml:space="preserve"> </w:t>
      </w:r>
      <w:r w:rsidRPr="0074494A">
        <w:rPr>
          <w:rFonts w:cstheme="minorHAnsi"/>
          <w:lang w:val="en-GB"/>
        </w:rPr>
        <w:t>lethargy, or</w:t>
      </w:r>
      <w:r w:rsidRPr="0074494A">
        <w:rPr>
          <w:rFonts w:cstheme="minorHAnsi"/>
          <w:lang w:val="en-GB"/>
        </w:rPr>
        <w:t xml:space="preserve"> </w:t>
      </w:r>
      <w:r w:rsidRPr="0074494A">
        <w:rPr>
          <w:rFonts w:cstheme="minorHAnsi"/>
          <w:lang w:val="en-GB"/>
        </w:rPr>
        <w:t xml:space="preserve">personality change) lasting </w:t>
      </w:r>
      <w:r w:rsidRPr="0074494A">
        <w:rPr>
          <w:rFonts w:eastAsia="AdvOT8608a8d1+22" w:cstheme="minorHAnsi"/>
          <w:lang w:val="en-GB"/>
        </w:rPr>
        <w:t>≥</w:t>
      </w:r>
      <w:r w:rsidRPr="0074494A">
        <w:rPr>
          <w:rFonts w:cstheme="minorHAnsi"/>
          <w:lang w:val="en-GB"/>
        </w:rPr>
        <w:t>24 h with no alternative</w:t>
      </w:r>
      <w:r w:rsidR="0074494A">
        <w:rPr>
          <w:rFonts w:cstheme="minorHAnsi"/>
          <w:lang w:val="en-GB"/>
        </w:rPr>
        <w:t xml:space="preserve"> </w:t>
      </w:r>
      <w:r w:rsidRPr="0074494A">
        <w:rPr>
          <w:rFonts w:cstheme="minorHAnsi"/>
          <w:lang w:val="en-GB"/>
        </w:rPr>
        <w:t>cause identified.</w:t>
      </w:r>
    </w:p>
    <w:p w14:paraId="1A122EE9" w14:textId="1326DBA6" w:rsidR="007D0E05" w:rsidRPr="0074494A" w:rsidRDefault="007D0E05" w:rsidP="002B6D06">
      <w:pPr>
        <w:autoSpaceDE w:val="0"/>
        <w:autoSpaceDN w:val="0"/>
        <w:adjustRightInd w:val="0"/>
        <w:spacing w:after="0" w:line="480" w:lineRule="auto"/>
        <w:rPr>
          <w:rFonts w:cstheme="minorHAnsi"/>
          <w:lang w:val="en-GB"/>
        </w:rPr>
      </w:pPr>
      <w:r w:rsidRPr="0074494A">
        <w:rPr>
          <w:rFonts w:cstheme="minorHAnsi"/>
          <w:b/>
          <w:bCs/>
          <w:lang w:val="en-GB"/>
        </w:rPr>
        <w:t>AND</w:t>
      </w:r>
    </w:p>
    <w:p w14:paraId="6D6DC7C7" w14:textId="00484F1E" w:rsidR="002B6D06" w:rsidRPr="0074494A" w:rsidRDefault="002B6D06" w:rsidP="002B6D06">
      <w:pPr>
        <w:pStyle w:val="Listeafsnit"/>
        <w:numPr>
          <w:ilvl w:val="0"/>
          <w:numId w:val="7"/>
        </w:numPr>
        <w:autoSpaceDE w:val="0"/>
        <w:autoSpaceDN w:val="0"/>
        <w:adjustRightInd w:val="0"/>
        <w:spacing w:after="0" w:line="480" w:lineRule="auto"/>
        <w:rPr>
          <w:rFonts w:cstheme="minorHAnsi"/>
          <w:lang w:val="en-GB"/>
        </w:rPr>
      </w:pPr>
      <w:r w:rsidRPr="0074494A">
        <w:rPr>
          <w:rFonts w:cstheme="minorHAnsi"/>
          <w:lang w:val="en-GB"/>
        </w:rPr>
        <w:t xml:space="preserve"> </w:t>
      </w:r>
      <w:r w:rsidR="007D0E05" w:rsidRPr="0074494A">
        <w:rPr>
          <w:rFonts w:cstheme="minorHAnsi"/>
          <w:lang w:val="en-GB"/>
        </w:rPr>
        <w:t>At least 3 of the following:</w:t>
      </w:r>
    </w:p>
    <w:p w14:paraId="5F6C4814" w14:textId="60E6C066" w:rsidR="007D0E05" w:rsidRPr="0074494A" w:rsidRDefault="007D0E05" w:rsidP="002B6D06">
      <w:pPr>
        <w:pStyle w:val="Listeafsnit"/>
        <w:numPr>
          <w:ilvl w:val="0"/>
          <w:numId w:val="9"/>
        </w:numPr>
        <w:autoSpaceDE w:val="0"/>
        <w:autoSpaceDN w:val="0"/>
        <w:adjustRightInd w:val="0"/>
        <w:spacing w:after="0" w:line="480" w:lineRule="auto"/>
        <w:rPr>
          <w:rFonts w:cstheme="minorHAnsi"/>
          <w:lang w:val="en-GB"/>
        </w:rPr>
      </w:pPr>
      <w:r w:rsidRPr="0074494A">
        <w:rPr>
          <w:rFonts w:cstheme="minorHAnsi"/>
          <w:lang w:val="en-GB"/>
        </w:rPr>
        <w:t xml:space="preserve">Fever </w:t>
      </w:r>
      <w:r w:rsidRPr="0074494A">
        <w:rPr>
          <w:rFonts w:eastAsia="AdvOT8608a8d1+22" w:cstheme="minorHAnsi"/>
          <w:lang w:val="en-GB"/>
        </w:rPr>
        <w:t>≥</w:t>
      </w:r>
      <w:r w:rsidRPr="0074494A">
        <w:rPr>
          <w:rFonts w:cstheme="minorHAnsi"/>
          <w:lang w:val="en-GB"/>
        </w:rPr>
        <w:t>38 °C (100.4 °F) within the 72 h before or after</w:t>
      </w:r>
      <w:r w:rsidRPr="0074494A">
        <w:rPr>
          <w:rFonts w:cstheme="minorHAnsi"/>
          <w:lang w:val="en-GB"/>
        </w:rPr>
        <w:t xml:space="preserve"> </w:t>
      </w:r>
      <w:r w:rsidRPr="0074494A">
        <w:rPr>
          <w:rFonts w:cstheme="minorHAnsi"/>
          <w:lang w:val="en-GB"/>
        </w:rPr>
        <w:t>presentation.</w:t>
      </w:r>
    </w:p>
    <w:p w14:paraId="5F661848" w14:textId="618D05EA" w:rsidR="007D0E05" w:rsidRPr="0074494A" w:rsidRDefault="007D0E05" w:rsidP="002B6D06">
      <w:pPr>
        <w:pStyle w:val="Listeafsnit"/>
        <w:numPr>
          <w:ilvl w:val="0"/>
          <w:numId w:val="9"/>
        </w:numPr>
        <w:autoSpaceDE w:val="0"/>
        <w:autoSpaceDN w:val="0"/>
        <w:adjustRightInd w:val="0"/>
        <w:spacing w:after="0" w:line="480" w:lineRule="auto"/>
        <w:rPr>
          <w:rFonts w:cstheme="minorHAnsi"/>
          <w:lang w:val="en-GB"/>
        </w:rPr>
      </w:pPr>
      <w:r w:rsidRPr="0074494A">
        <w:rPr>
          <w:rFonts w:cstheme="minorHAnsi"/>
          <w:lang w:val="en-GB"/>
        </w:rPr>
        <w:t xml:space="preserve">Seizures not fully attributable to a </w:t>
      </w:r>
      <w:r w:rsidR="0074494A" w:rsidRPr="0074494A">
        <w:rPr>
          <w:rFonts w:cstheme="minorHAnsi"/>
          <w:lang w:val="en-GB"/>
        </w:rPr>
        <w:t>pre-existing</w:t>
      </w:r>
      <w:r w:rsidRPr="0074494A">
        <w:rPr>
          <w:rFonts w:cstheme="minorHAnsi"/>
          <w:lang w:val="en-GB"/>
        </w:rPr>
        <w:t xml:space="preserve"> seizure</w:t>
      </w:r>
      <w:r w:rsidRPr="0074494A">
        <w:rPr>
          <w:rFonts w:cstheme="minorHAnsi"/>
          <w:lang w:val="en-GB"/>
        </w:rPr>
        <w:t xml:space="preserve"> </w:t>
      </w:r>
      <w:r w:rsidRPr="0074494A">
        <w:rPr>
          <w:rFonts w:cstheme="minorHAnsi"/>
          <w:lang w:val="en-GB"/>
        </w:rPr>
        <w:t>disorder.</w:t>
      </w:r>
    </w:p>
    <w:p w14:paraId="6ABE6236" w14:textId="3E9E29BA" w:rsidR="007D0E05" w:rsidRPr="0074494A" w:rsidRDefault="007D0E05" w:rsidP="002B6D06">
      <w:pPr>
        <w:pStyle w:val="Listeafsnit"/>
        <w:numPr>
          <w:ilvl w:val="0"/>
          <w:numId w:val="9"/>
        </w:numPr>
        <w:autoSpaceDE w:val="0"/>
        <w:autoSpaceDN w:val="0"/>
        <w:adjustRightInd w:val="0"/>
        <w:spacing w:after="0" w:line="480" w:lineRule="auto"/>
        <w:rPr>
          <w:rFonts w:cstheme="minorHAnsi"/>
          <w:lang w:val="en-GB"/>
        </w:rPr>
      </w:pPr>
      <w:r w:rsidRPr="0074494A">
        <w:rPr>
          <w:rFonts w:cstheme="minorHAnsi"/>
          <w:lang w:val="en-GB"/>
        </w:rPr>
        <w:t>New onset of focal neurologic findings.</w:t>
      </w:r>
    </w:p>
    <w:p w14:paraId="24CAAC94" w14:textId="66C3D564" w:rsidR="007D0E05" w:rsidRPr="0074494A" w:rsidRDefault="007D0E05" w:rsidP="002B6D06">
      <w:pPr>
        <w:pStyle w:val="Listeafsnit"/>
        <w:numPr>
          <w:ilvl w:val="0"/>
          <w:numId w:val="9"/>
        </w:numPr>
        <w:autoSpaceDE w:val="0"/>
        <w:autoSpaceDN w:val="0"/>
        <w:adjustRightInd w:val="0"/>
        <w:spacing w:after="0" w:line="480" w:lineRule="auto"/>
        <w:rPr>
          <w:rFonts w:cstheme="minorHAnsi"/>
          <w:lang w:val="en-GB"/>
        </w:rPr>
      </w:pPr>
      <w:r w:rsidRPr="0074494A">
        <w:rPr>
          <w:rFonts w:cstheme="minorHAnsi"/>
          <w:lang w:val="en-GB"/>
        </w:rPr>
        <w:t xml:space="preserve">CSF white blood cell (WBC) count </w:t>
      </w:r>
      <w:r w:rsidRPr="0074494A">
        <w:rPr>
          <w:rFonts w:eastAsia="AdvOT8608a8d1+22" w:cstheme="minorHAnsi"/>
          <w:lang w:val="en-GB"/>
        </w:rPr>
        <w:t>≥</w:t>
      </w:r>
      <w:r w:rsidRPr="0074494A">
        <w:rPr>
          <w:rFonts w:cstheme="minorHAnsi"/>
          <w:lang w:val="en-GB"/>
        </w:rPr>
        <w:t>5 cells/mm3.</w:t>
      </w:r>
    </w:p>
    <w:p w14:paraId="6A46D681" w14:textId="3C51A353" w:rsidR="007D0E05" w:rsidRPr="0074494A" w:rsidRDefault="007D0E05" w:rsidP="002B6D06">
      <w:pPr>
        <w:pStyle w:val="Listeafsnit"/>
        <w:numPr>
          <w:ilvl w:val="0"/>
          <w:numId w:val="9"/>
        </w:numPr>
        <w:autoSpaceDE w:val="0"/>
        <w:autoSpaceDN w:val="0"/>
        <w:adjustRightInd w:val="0"/>
        <w:spacing w:after="0" w:line="480" w:lineRule="auto"/>
        <w:rPr>
          <w:rFonts w:cstheme="minorHAnsi"/>
          <w:lang w:val="en-GB"/>
        </w:rPr>
      </w:pPr>
      <w:r w:rsidRPr="0074494A">
        <w:rPr>
          <w:rFonts w:cstheme="minorHAnsi"/>
          <w:lang w:val="en-GB"/>
        </w:rPr>
        <w:t>Abnormality of brain parenchyma on neuroimaging</w:t>
      </w:r>
      <w:r w:rsidRPr="0074494A">
        <w:rPr>
          <w:rFonts w:cstheme="minorHAnsi"/>
          <w:lang w:val="en-GB"/>
        </w:rPr>
        <w:t xml:space="preserve"> </w:t>
      </w:r>
      <w:r w:rsidRPr="0074494A">
        <w:rPr>
          <w:rFonts w:cstheme="minorHAnsi"/>
          <w:lang w:val="en-GB"/>
        </w:rPr>
        <w:t>suggestive of encephalitis that is either new from</w:t>
      </w:r>
      <w:r w:rsidRPr="0074494A">
        <w:rPr>
          <w:rFonts w:cstheme="minorHAnsi"/>
          <w:lang w:val="en-GB"/>
        </w:rPr>
        <w:t xml:space="preserve"> </w:t>
      </w:r>
      <w:r w:rsidRPr="0074494A">
        <w:rPr>
          <w:rFonts w:cstheme="minorHAnsi"/>
          <w:lang w:val="en-GB"/>
        </w:rPr>
        <w:t>prior</w:t>
      </w:r>
      <w:r w:rsidRPr="0074494A">
        <w:rPr>
          <w:rFonts w:cstheme="minorHAnsi"/>
          <w:lang w:val="en-GB"/>
        </w:rPr>
        <w:t xml:space="preserve"> </w:t>
      </w:r>
      <w:r w:rsidRPr="0074494A">
        <w:rPr>
          <w:rFonts w:cstheme="minorHAnsi"/>
          <w:lang w:val="en-GB"/>
        </w:rPr>
        <w:t>studies or appears acute in onset.</w:t>
      </w:r>
    </w:p>
    <w:p w14:paraId="61CB5349" w14:textId="69B1C30C" w:rsidR="007D0E05" w:rsidRPr="0074494A" w:rsidRDefault="007D0E05" w:rsidP="002B6D06">
      <w:pPr>
        <w:pStyle w:val="Listeafsnit"/>
        <w:numPr>
          <w:ilvl w:val="0"/>
          <w:numId w:val="9"/>
        </w:numPr>
        <w:autoSpaceDE w:val="0"/>
        <w:autoSpaceDN w:val="0"/>
        <w:adjustRightInd w:val="0"/>
        <w:spacing w:after="0" w:line="480" w:lineRule="auto"/>
        <w:rPr>
          <w:rFonts w:cstheme="minorHAnsi"/>
          <w:lang w:val="en-GB"/>
        </w:rPr>
      </w:pPr>
      <w:r w:rsidRPr="0074494A">
        <w:rPr>
          <w:rFonts w:cstheme="minorHAnsi"/>
          <w:lang w:val="en-GB"/>
        </w:rPr>
        <w:t>Abnormality on electroencephalography that is consistent</w:t>
      </w:r>
      <w:r w:rsidRPr="0074494A">
        <w:rPr>
          <w:rFonts w:cstheme="minorHAnsi"/>
          <w:lang w:val="en-GB"/>
        </w:rPr>
        <w:t xml:space="preserve"> </w:t>
      </w:r>
      <w:r w:rsidRPr="0074494A">
        <w:rPr>
          <w:rFonts w:cstheme="minorHAnsi"/>
          <w:lang w:val="en-GB"/>
        </w:rPr>
        <w:t>with encephalitis and not attributable to another cause.</w:t>
      </w:r>
    </w:p>
    <w:p w14:paraId="3E09451C" w14:textId="512A2847" w:rsidR="007D0E05" w:rsidRPr="0074494A" w:rsidRDefault="007D0E05" w:rsidP="002B6D06">
      <w:pPr>
        <w:spacing w:line="480" w:lineRule="auto"/>
        <w:rPr>
          <w:rFonts w:cstheme="minorHAnsi"/>
          <w:b/>
          <w:bCs/>
          <w:lang w:val="en-GB"/>
        </w:rPr>
      </w:pPr>
      <w:r w:rsidRPr="0074494A">
        <w:rPr>
          <w:rFonts w:cstheme="minorHAnsi"/>
          <w:b/>
          <w:bCs/>
          <w:lang w:val="en-GB"/>
        </w:rPr>
        <w:t>AND ADDITIONALLY</w:t>
      </w:r>
    </w:p>
    <w:p w14:paraId="15C19042" w14:textId="7D27F522" w:rsidR="007D0E05" w:rsidRPr="0074494A" w:rsidRDefault="002B6D06" w:rsidP="002B6D06">
      <w:pPr>
        <w:pStyle w:val="Listeafsnit"/>
        <w:numPr>
          <w:ilvl w:val="0"/>
          <w:numId w:val="6"/>
        </w:numPr>
        <w:spacing w:line="480" w:lineRule="auto"/>
        <w:rPr>
          <w:rFonts w:cstheme="minorHAnsi"/>
          <w:lang w:val="en-GB"/>
        </w:rPr>
      </w:pPr>
      <w:r w:rsidRPr="0074494A">
        <w:rPr>
          <w:rFonts w:cstheme="minorHAnsi"/>
          <w:lang w:val="en-GB"/>
        </w:rPr>
        <w:t>A neurotropic</w:t>
      </w:r>
      <w:r w:rsidR="007D0E05" w:rsidRPr="0074494A">
        <w:rPr>
          <w:rFonts w:cstheme="minorHAnsi"/>
          <w:lang w:val="en-GB"/>
        </w:rPr>
        <w:t xml:space="preserve"> viral pathogen</w:t>
      </w:r>
      <w:r w:rsidRPr="0074494A">
        <w:rPr>
          <w:rFonts w:cstheme="minorHAnsi"/>
          <w:lang w:val="en-GB"/>
        </w:rPr>
        <w:t xml:space="preserve"> in CSF</w:t>
      </w:r>
      <w:r w:rsidR="007D0E05" w:rsidRPr="0074494A">
        <w:rPr>
          <w:rFonts w:cstheme="minorHAnsi"/>
          <w:lang w:val="en-GB"/>
        </w:rPr>
        <w:t xml:space="preserve"> verified by either PCR or pathogen-specific intrathecal antibody test.</w:t>
      </w:r>
    </w:p>
    <w:p w14:paraId="433BD783" w14:textId="2581401F" w:rsidR="007D0E05" w:rsidRPr="0074494A" w:rsidRDefault="007D0E05" w:rsidP="002B6D06">
      <w:pPr>
        <w:spacing w:line="480" w:lineRule="auto"/>
        <w:rPr>
          <w:rFonts w:cstheme="minorHAnsi"/>
          <w:b/>
          <w:bCs/>
          <w:lang w:val="en-GB"/>
        </w:rPr>
      </w:pPr>
      <w:r w:rsidRPr="0074494A">
        <w:rPr>
          <w:rFonts w:cstheme="minorHAnsi"/>
          <w:lang w:val="en-GB"/>
        </w:rPr>
        <w:t xml:space="preserve">All patients with </w:t>
      </w:r>
      <w:r w:rsidRPr="0074494A">
        <w:rPr>
          <w:rFonts w:cstheme="minorHAnsi"/>
          <w:b/>
          <w:bCs/>
          <w:lang w:val="en-GB"/>
        </w:rPr>
        <w:t>autoimmune encephalitis</w:t>
      </w:r>
      <w:r w:rsidRPr="0074494A">
        <w:rPr>
          <w:rFonts w:cstheme="minorHAnsi"/>
          <w:lang w:val="en-GB"/>
        </w:rPr>
        <w:t xml:space="preserve"> had to </w:t>
      </w:r>
      <w:r w:rsidR="0074494A" w:rsidRPr="0074494A">
        <w:rPr>
          <w:rFonts w:cstheme="minorHAnsi"/>
          <w:lang w:val="en-GB"/>
        </w:rPr>
        <w:t>fulfil</w:t>
      </w:r>
      <w:r w:rsidRPr="0074494A">
        <w:rPr>
          <w:rFonts w:cstheme="minorHAnsi"/>
          <w:lang w:val="en-GB"/>
        </w:rPr>
        <w:t xml:space="preserve"> the</w:t>
      </w:r>
      <w:r w:rsidRPr="0074494A">
        <w:rPr>
          <w:rFonts w:cstheme="minorHAnsi"/>
          <w:i/>
          <w:iCs/>
          <w:lang w:val="en-GB"/>
        </w:rPr>
        <w:t xml:space="preserve"> </w:t>
      </w:r>
      <w:proofErr w:type="spellStart"/>
      <w:r w:rsidRPr="0074494A">
        <w:rPr>
          <w:rFonts w:cstheme="minorHAnsi"/>
          <w:i/>
          <w:iCs/>
          <w:lang w:val="en-GB"/>
        </w:rPr>
        <w:t>Graus</w:t>
      </w:r>
      <w:proofErr w:type="spellEnd"/>
      <w:r w:rsidR="0074494A" w:rsidRPr="0074494A">
        <w:rPr>
          <w:rFonts w:cstheme="minorHAnsi"/>
          <w:i/>
          <w:iCs/>
          <w:lang w:val="en-GB"/>
        </w:rPr>
        <w:t>’</w:t>
      </w:r>
      <w:r w:rsidRPr="0074494A">
        <w:rPr>
          <w:rFonts w:cstheme="minorHAnsi"/>
          <w:lang w:val="en-GB"/>
        </w:rPr>
        <w:t xml:space="preserve"> criteria for definite autoimmune encephalitis (all of the below)</w:t>
      </w:r>
      <w:r w:rsidRPr="0074494A">
        <w:rPr>
          <w:rFonts w:cstheme="minorHAnsi"/>
          <w:b/>
          <w:bCs/>
          <w:lang w:val="en-GB"/>
        </w:rPr>
        <w:fldChar w:fldCharType="begin" w:fldLock="1"/>
      </w:r>
      <w:r w:rsidR="0074494A">
        <w:rPr>
          <w:rFonts w:cstheme="minorHAnsi"/>
          <w:b/>
          <w:bCs/>
          <w:lang w:val="en-GB"/>
        </w:rPr>
        <w:instrText>ADDIN CSL_CITATION {"citationItems":[{"id":"ITEM-1","itemData":{"DOI":"10.1016/S1474-4422(15)00401-9","ISSN":"14744465","PMID":"26906964","abstract":"Encephalitis is a severe inflammatory disorder of the brain with many possible causes and a complex differential diagnosis. Advances in autoimmune encephalitis research in the past 10 years have led to the identification of new syndromes and biomarkers that have transformed the diagnostic approach to these disorders. However, existing criteria for autoimmune encephalitis are too reliant on antibody testing and response to immunotherapy, which might delay the diagnosis. We reviewed the literature and gathered the experience of a team of experts with the aims of developing a practical, syndrome-based diagnostic approach to autoimmune encephalitis and providing guidelines to navigate through the differential diagnosis. Because autoantibody test results and response to therapy are not available at disease onset, we based the initial diagnostic approach on neurological assessment and conventional tests that are accessible to most clinicians. Through logical differential diagnosis, levels of evidence for autoimmune encephalitis (possible, probable, or definite) are achieved, which can lead to prompt immunotherapy.","author":[{"dropping-particle":"","family":"Graus","given":"Francesc","non-dropping-particle":"","parse-names":false,"suffix":""},{"dropping-particle":"","family":"Titulaer","given":"Maarten J","non-dropping-particle":"","parse-names":false,"suffix":""},{"dropping-particle":"","family":"Balu","given":"Ramani","non-dropping-particle":"","parse-names":false,"suffix":""},{"dropping-particle":"","family":"Benseler","given":"Susanne","non-dropping-particle":"","parse-names":false,"suffix":""},{"dropping-particle":"","family":"Bien","given":"Christian G","non-dropping-particle":"","parse-names":false,"suffix":""},{"dropping-particle":"","family":"Cellucci","given":"Tania","non-dropping-particle":"","parse-names":false,"suffix":""},{"dropping-particle":"","family":"Cortese","given":"Irene","non-dropping-particle":"","parse-names":false,"suffix":""},{"dropping-particle":"","family":"Dale","given":"Russell C","non-dropping-particle":"","parse-names":false,"suffix":""},{"dropping-particle":"","family":"Gelfand","given":"Jeffrey M","non-dropping-particle":"","parse-names":false,"suffix":""},{"dropping-particle":"","family":"Geschwind","given":"Michael","non-dropping-particle":"","parse-names":false,"suffix":""},{"dropping-particle":"","family":"Glaser","given":"Carol A","non-dropping-particle":"","parse-names":false,"suffix":""},{"dropping-particle":"","family":"Honnorat","given":"Jerome","non-dropping-particle":"","parse-names":false,"suffix":""},{"dropping-particle":"","family":"Höftberger","given":"Romana","non-dropping-particle":"","parse-names":false,"suffix":""},{"dropping-particle":"","family":"Iizuka","given":"Takahiro","non-dropping-particle":"","parse-names":false,"suffix":""},{"dropping-particle":"","family":"Irani","given":"Sarosh R","non-dropping-particle":"","parse-names":false,"suffix":""},{"dropping-particle":"","family":"Lancaster","given":"Eric","non-dropping-particle":"","parse-names":false,"suffix":""},{"dropping-particle":"","family":"Leypoldt","given":"Frank","non-dropping-particle":"","parse-names":false,"suffix":""},{"dropping-particle":"","family":"Prüss","given":"Harald","non-dropping-particle":"","parse-names":false,"suffix":""},{"dropping-particle":"","family":"Rae-Grant","given":"Alexander","non-dropping-particle":"","parse-names":false,"suffix":""},{"dropping-particle":"","family":"Reindl","given":"Markus","non-dropping-particle":"","parse-names":false,"suffix":""},{"dropping-particle":"","family":"Rosenfeld","given":"Myrna R","non-dropping-particle":"","parse-names":false,"suffix":""},{"dropping-particle":"","family":"Rostásy","given":"Kevin","non-dropping-particle":"","parse-names":false,"suffix":""},{"dropping-particle":"","family":"Saiz","given":"Albert","non-dropping-particle":"","parse-names":false,"suffix":""},{"dropping-particle":"","family":"Venkatesan","given":"Arun","non-dropping-particle":"","parse-names":false,"suffix":""},{"dropping-particle":"","family":"Vincent","given":"Angela","non-dropping-particle":"","parse-names":false,"suffix":""},{"dropping-particle":"","family":"Wandinger","given":"Klaus Peter","non-dropping-particle":"","parse-names":false,"suffix":""},{"dropping-particle":"","family":"Waters","given":"Patrick","non-dropping-particle":"","parse-names":false,"suffix":""},{"dropping-particle":"","family":"Dalmau","given":"Joseph","non-dropping-particle":"","parse-names":false,"suffix":""}],"container-title":"The Lancet Neurology","id":"ITEM-1","issue":"4","issued":{"date-parts":[["2016"]]},"page":"391-404","title":"A clinical approach to diagnosis of autoimmune encephalitis","type":"article","volume":"15"},"uris":["http://www.mendeley.com/documents/?uuid=eb426dc8-f83f-3103-b80d-2396db709379"]}],"mendeley":{"formattedCitation":"(2)","plainTextFormattedCitation":"(2)","previouslyFormattedCitation":"(2)"},"properties":{"noteIndex":0},"schema":"https://github.com/citation-style-language/schema/raw/master/csl-citation.json"}</w:instrText>
      </w:r>
      <w:r w:rsidRPr="0074494A">
        <w:rPr>
          <w:rFonts w:cstheme="minorHAnsi"/>
          <w:b/>
          <w:bCs/>
          <w:lang w:val="en-GB"/>
        </w:rPr>
        <w:fldChar w:fldCharType="separate"/>
      </w:r>
      <w:r w:rsidRPr="0074494A">
        <w:rPr>
          <w:rFonts w:cstheme="minorHAnsi"/>
          <w:bCs/>
          <w:noProof/>
          <w:lang w:val="en-GB"/>
        </w:rPr>
        <w:t>(2)</w:t>
      </w:r>
      <w:r w:rsidRPr="0074494A">
        <w:rPr>
          <w:rFonts w:cstheme="minorHAnsi"/>
          <w:b/>
          <w:bCs/>
          <w:lang w:val="en-GB"/>
        </w:rPr>
        <w:fldChar w:fldCharType="end"/>
      </w:r>
      <w:r w:rsidRPr="0074494A">
        <w:rPr>
          <w:rFonts w:cstheme="minorHAnsi"/>
          <w:b/>
          <w:bCs/>
          <w:lang w:val="en-GB"/>
        </w:rPr>
        <w:t>:</w:t>
      </w:r>
    </w:p>
    <w:p w14:paraId="08E5AA71" w14:textId="6A192DA4" w:rsidR="007D0E05" w:rsidRPr="0074494A" w:rsidRDefault="007D0E05" w:rsidP="002B6D06">
      <w:pPr>
        <w:pStyle w:val="Listeafsnit"/>
        <w:numPr>
          <w:ilvl w:val="0"/>
          <w:numId w:val="3"/>
        </w:numPr>
        <w:autoSpaceDE w:val="0"/>
        <w:autoSpaceDN w:val="0"/>
        <w:adjustRightInd w:val="0"/>
        <w:spacing w:after="0" w:line="480" w:lineRule="auto"/>
        <w:rPr>
          <w:rFonts w:cstheme="minorHAnsi"/>
          <w:lang w:val="en-GB"/>
        </w:rPr>
      </w:pPr>
      <w:r w:rsidRPr="0074494A">
        <w:rPr>
          <w:rFonts w:cstheme="minorHAnsi"/>
          <w:lang w:val="en-GB"/>
        </w:rPr>
        <w:t>Subacute onset (rapid progression of &lt;3 months) of</w:t>
      </w:r>
      <w:r w:rsidRPr="0074494A">
        <w:rPr>
          <w:rFonts w:cstheme="minorHAnsi"/>
          <w:lang w:val="en-GB"/>
        </w:rPr>
        <w:t xml:space="preserve"> </w:t>
      </w:r>
      <w:r w:rsidRPr="0074494A">
        <w:rPr>
          <w:rFonts w:cstheme="minorHAnsi"/>
          <w:lang w:val="en-GB"/>
        </w:rPr>
        <w:t>working memory deficits (short-term memory loss),</w:t>
      </w:r>
      <w:r w:rsidRPr="0074494A">
        <w:rPr>
          <w:rFonts w:cstheme="minorHAnsi"/>
          <w:lang w:val="en-GB"/>
        </w:rPr>
        <w:t xml:space="preserve"> </w:t>
      </w:r>
      <w:r w:rsidRPr="0074494A">
        <w:rPr>
          <w:rFonts w:cstheme="minorHAnsi"/>
          <w:lang w:val="en-GB"/>
        </w:rPr>
        <w:t>altered</w:t>
      </w:r>
      <w:r w:rsidRPr="0074494A">
        <w:rPr>
          <w:rFonts w:cstheme="minorHAnsi"/>
          <w:lang w:val="en-GB"/>
        </w:rPr>
        <w:t xml:space="preserve"> </w:t>
      </w:r>
      <w:r w:rsidRPr="0074494A">
        <w:rPr>
          <w:rFonts w:cstheme="minorHAnsi"/>
          <w:lang w:val="en-GB"/>
        </w:rPr>
        <w:t>mental status, or psychiatric symptoms</w:t>
      </w:r>
      <w:r w:rsidRPr="0074494A">
        <w:rPr>
          <w:rFonts w:cstheme="minorHAnsi"/>
          <w:lang w:val="en-GB"/>
        </w:rPr>
        <w:t>.</w:t>
      </w:r>
    </w:p>
    <w:p w14:paraId="1E9190ED" w14:textId="62F8D926" w:rsidR="007D0E05" w:rsidRPr="0074494A" w:rsidRDefault="007D0E05" w:rsidP="002B6D06">
      <w:pPr>
        <w:autoSpaceDE w:val="0"/>
        <w:autoSpaceDN w:val="0"/>
        <w:adjustRightInd w:val="0"/>
        <w:spacing w:after="0" w:line="480" w:lineRule="auto"/>
        <w:rPr>
          <w:rFonts w:cstheme="minorHAnsi"/>
          <w:b/>
          <w:bCs/>
          <w:lang w:val="en-GB"/>
        </w:rPr>
      </w:pPr>
      <w:r w:rsidRPr="0074494A">
        <w:rPr>
          <w:rFonts w:cstheme="minorHAnsi"/>
          <w:b/>
          <w:bCs/>
          <w:lang w:val="en-GB"/>
        </w:rPr>
        <w:lastRenderedPageBreak/>
        <w:t>AND</w:t>
      </w:r>
    </w:p>
    <w:p w14:paraId="4BBC59A4" w14:textId="109FC9C7" w:rsidR="007D0E05" w:rsidRPr="0074494A" w:rsidRDefault="007D0E05" w:rsidP="002B6D06">
      <w:pPr>
        <w:pStyle w:val="Listeafsnit"/>
        <w:numPr>
          <w:ilvl w:val="0"/>
          <w:numId w:val="3"/>
        </w:numPr>
        <w:autoSpaceDE w:val="0"/>
        <w:autoSpaceDN w:val="0"/>
        <w:adjustRightInd w:val="0"/>
        <w:spacing w:after="0" w:line="480" w:lineRule="auto"/>
        <w:rPr>
          <w:rFonts w:cstheme="minorHAnsi"/>
          <w:lang w:val="en-GB"/>
        </w:rPr>
      </w:pPr>
      <w:r w:rsidRPr="0074494A">
        <w:rPr>
          <w:rFonts w:cstheme="minorHAnsi"/>
          <w:lang w:val="en-GB"/>
        </w:rPr>
        <w:t xml:space="preserve"> At least 1 of the following:</w:t>
      </w:r>
    </w:p>
    <w:p w14:paraId="4F423BCE" w14:textId="367B81E7" w:rsidR="007D0E05" w:rsidRPr="0074494A" w:rsidRDefault="007D0E05" w:rsidP="002B6D06">
      <w:pPr>
        <w:pStyle w:val="Listeafsnit"/>
        <w:numPr>
          <w:ilvl w:val="1"/>
          <w:numId w:val="10"/>
        </w:numPr>
        <w:autoSpaceDE w:val="0"/>
        <w:autoSpaceDN w:val="0"/>
        <w:adjustRightInd w:val="0"/>
        <w:spacing w:after="0" w:line="480" w:lineRule="auto"/>
        <w:rPr>
          <w:rFonts w:cstheme="minorHAnsi"/>
          <w:lang w:val="en-GB"/>
        </w:rPr>
      </w:pPr>
      <w:r w:rsidRPr="0074494A">
        <w:rPr>
          <w:rFonts w:cstheme="minorHAnsi"/>
          <w:lang w:val="en-GB"/>
        </w:rPr>
        <w:t>New focal central nervous system findings</w:t>
      </w:r>
    </w:p>
    <w:p w14:paraId="1CD0EA8E" w14:textId="48931785" w:rsidR="007D0E05" w:rsidRPr="0074494A" w:rsidRDefault="007D0E05" w:rsidP="002B6D06">
      <w:pPr>
        <w:pStyle w:val="Listeafsnit"/>
        <w:numPr>
          <w:ilvl w:val="1"/>
          <w:numId w:val="10"/>
        </w:numPr>
        <w:autoSpaceDE w:val="0"/>
        <w:autoSpaceDN w:val="0"/>
        <w:adjustRightInd w:val="0"/>
        <w:spacing w:after="0" w:line="480" w:lineRule="auto"/>
        <w:rPr>
          <w:rFonts w:cstheme="minorHAnsi"/>
          <w:lang w:val="en-GB"/>
        </w:rPr>
      </w:pPr>
      <w:r w:rsidRPr="0074494A">
        <w:rPr>
          <w:rFonts w:cstheme="minorHAnsi"/>
          <w:lang w:val="en-GB"/>
        </w:rPr>
        <w:t>Seizures not explained by a previously known seizure</w:t>
      </w:r>
      <w:r w:rsidRPr="0074494A">
        <w:rPr>
          <w:rFonts w:cstheme="minorHAnsi"/>
          <w:lang w:val="en-GB"/>
        </w:rPr>
        <w:t xml:space="preserve"> </w:t>
      </w:r>
      <w:r w:rsidRPr="0074494A">
        <w:rPr>
          <w:rFonts w:cstheme="minorHAnsi"/>
          <w:lang w:val="en-GB"/>
        </w:rPr>
        <w:t>disorder</w:t>
      </w:r>
    </w:p>
    <w:p w14:paraId="15C31D95" w14:textId="25AE8992" w:rsidR="007D0E05" w:rsidRPr="0074494A" w:rsidRDefault="007D0E05" w:rsidP="002B6D06">
      <w:pPr>
        <w:pStyle w:val="Listeafsnit"/>
        <w:numPr>
          <w:ilvl w:val="1"/>
          <w:numId w:val="10"/>
        </w:numPr>
        <w:autoSpaceDE w:val="0"/>
        <w:autoSpaceDN w:val="0"/>
        <w:adjustRightInd w:val="0"/>
        <w:spacing w:after="0" w:line="480" w:lineRule="auto"/>
        <w:rPr>
          <w:rFonts w:cstheme="minorHAnsi"/>
          <w:lang w:val="en-GB"/>
        </w:rPr>
      </w:pPr>
      <w:r w:rsidRPr="0074494A">
        <w:rPr>
          <w:rFonts w:cstheme="minorHAnsi"/>
          <w:lang w:val="en-GB"/>
        </w:rPr>
        <w:t>CSF pleocytosis (WBC count &gt;5 cells/mm3)</w:t>
      </w:r>
    </w:p>
    <w:p w14:paraId="0918F4F0" w14:textId="18E590EF" w:rsidR="002B6D06" w:rsidRPr="0074494A" w:rsidRDefault="007D0E05" w:rsidP="002B6D06">
      <w:pPr>
        <w:pStyle w:val="Listeafsnit"/>
        <w:numPr>
          <w:ilvl w:val="1"/>
          <w:numId w:val="10"/>
        </w:numPr>
        <w:autoSpaceDE w:val="0"/>
        <w:autoSpaceDN w:val="0"/>
        <w:adjustRightInd w:val="0"/>
        <w:spacing w:after="0" w:line="480" w:lineRule="auto"/>
        <w:rPr>
          <w:rFonts w:cstheme="minorHAnsi"/>
          <w:lang w:val="en-GB"/>
        </w:rPr>
      </w:pPr>
      <w:r w:rsidRPr="0074494A">
        <w:rPr>
          <w:rFonts w:cstheme="minorHAnsi"/>
          <w:lang w:val="en-GB"/>
        </w:rPr>
        <w:t>Magnetic resonance imaging features suggestive of</w:t>
      </w:r>
      <w:r w:rsidRPr="0074494A">
        <w:rPr>
          <w:rFonts w:cstheme="minorHAnsi"/>
          <w:lang w:val="en-GB"/>
        </w:rPr>
        <w:t xml:space="preserve"> e</w:t>
      </w:r>
      <w:r w:rsidRPr="0074494A">
        <w:rPr>
          <w:rFonts w:cstheme="minorHAnsi"/>
          <w:lang w:val="en-GB"/>
        </w:rPr>
        <w:t>ncephalitis</w:t>
      </w:r>
      <w:r w:rsidRPr="0074494A">
        <w:rPr>
          <w:rFonts w:cstheme="minorHAnsi"/>
          <w:lang w:val="en-GB"/>
        </w:rPr>
        <w:t>.</w:t>
      </w:r>
    </w:p>
    <w:p w14:paraId="46112673" w14:textId="73C31B68" w:rsidR="007D0E05" w:rsidRPr="0074494A" w:rsidRDefault="007D0E05" w:rsidP="002B6D06">
      <w:pPr>
        <w:autoSpaceDE w:val="0"/>
        <w:autoSpaceDN w:val="0"/>
        <w:adjustRightInd w:val="0"/>
        <w:spacing w:after="0" w:line="480" w:lineRule="auto"/>
        <w:rPr>
          <w:rFonts w:cstheme="minorHAnsi"/>
          <w:b/>
          <w:bCs/>
          <w:lang w:val="en-GB"/>
        </w:rPr>
      </w:pPr>
      <w:r w:rsidRPr="0074494A">
        <w:rPr>
          <w:rFonts w:cstheme="minorHAnsi"/>
          <w:b/>
          <w:bCs/>
          <w:lang w:val="en-GB"/>
        </w:rPr>
        <w:t>AND</w:t>
      </w:r>
    </w:p>
    <w:p w14:paraId="5E8C9F8D" w14:textId="2F222EEF" w:rsidR="007D0E05" w:rsidRPr="0074494A" w:rsidRDefault="007D0E05" w:rsidP="002B6D06">
      <w:pPr>
        <w:pStyle w:val="Listeafsnit"/>
        <w:numPr>
          <w:ilvl w:val="0"/>
          <w:numId w:val="3"/>
        </w:numPr>
        <w:autoSpaceDE w:val="0"/>
        <w:autoSpaceDN w:val="0"/>
        <w:adjustRightInd w:val="0"/>
        <w:spacing w:after="0" w:line="480" w:lineRule="auto"/>
        <w:rPr>
          <w:rFonts w:cstheme="minorHAnsi"/>
          <w:lang w:val="en-GB"/>
        </w:rPr>
      </w:pPr>
      <w:r w:rsidRPr="0074494A">
        <w:rPr>
          <w:rFonts w:cstheme="minorHAnsi"/>
          <w:lang w:val="en-GB"/>
        </w:rPr>
        <w:t xml:space="preserve"> Exclusion of alternative causes</w:t>
      </w:r>
    </w:p>
    <w:p w14:paraId="64CC40F6" w14:textId="4D6F6336" w:rsidR="002B6D06" w:rsidRPr="0074494A" w:rsidRDefault="007D0E05" w:rsidP="002B6D06">
      <w:pPr>
        <w:autoSpaceDE w:val="0"/>
        <w:autoSpaceDN w:val="0"/>
        <w:adjustRightInd w:val="0"/>
        <w:spacing w:after="0" w:line="480" w:lineRule="auto"/>
        <w:rPr>
          <w:rFonts w:cstheme="minorHAnsi"/>
          <w:b/>
          <w:bCs/>
          <w:lang w:val="en-GB"/>
        </w:rPr>
      </w:pPr>
      <w:r w:rsidRPr="0074494A">
        <w:rPr>
          <w:rFonts w:cstheme="minorHAnsi"/>
          <w:b/>
          <w:bCs/>
          <w:lang w:val="en-GB"/>
        </w:rPr>
        <w:t>AND ADDITIONALLY</w:t>
      </w:r>
    </w:p>
    <w:p w14:paraId="3620B493" w14:textId="1679B65F" w:rsidR="0074494A" w:rsidRPr="0074494A" w:rsidRDefault="007D0E05" w:rsidP="0074494A">
      <w:pPr>
        <w:pStyle w:val="Listeafsnit"/>
        <w:numPr>
          <w:ilvl w:val="0"/>
          <w:numId w:val="3"/>
        </w:numPr>
        <w:autoSpaceDE w:val="0"/>
        <w:autoSpaceDN w:val="0"/>
        <w:adjustRightInd w:val="0"/>
        <w:spacing w:after="0" w:line="480" w:lineRule="auto"/>
        <w:rPr>
          <w:rFonts w:cstheme="minorHAnsi"/>
          <w:lang w:val="en-GB"/>
        </w:rPr>
      </w:pPr>
      <w:r w:rsidRPr="0074494A">
        <w:rPr>
          <w:rFonts w:cstheme="minorHAnsi"/>
          <w:lang w:val="en-GB"/>
        </w:rPr>
        <w:t>Presence of laboratory confirmation of antibodies against</w:t>
      </w:r>
      <w:r w:rsidRPr="0074494A">
        <w:rPr>
          <w:rFonts w:cstheme="minorHAnsi"/>
          <w:lang w:val="en-GB"/>
        </w:rPr>
        <w:t xml:space="preserve"> </w:t>
      </w:r>
      <w:r w:rsidRPr="0074494A">
        <w:rPr>
          <w:rFonts w:cstheme="minorHAnsi"/>
          <w:lang w:val="en-GB"/>
        </w:rPr>
        <w:t>neuronal cell-surface or synaptic proteins.</w:t>
      </w:r>
    </w:p>
    <w:p w14:paraId="5656237E" w14:textId="77777777" w:rsidR="0074494A" w:rsidRPr="0074494A" w:rsidRDefault="0074494A" w:rsidP="0074494A">
      <w:pPr>
        <w:pStyle w:val="Listeafsnit"/>
        <w:autoSpaceDE w:val="0"/>
        <w:autoSpaceDN w:val="0"/>
        <w:adjustRightInd w:val="0"/>
        <w:spacing w:after="0" w:line="480" w:lineRule="auto"/>
        <w:rPr>
          <w:rFonts w:cstheme="minorHAnsi"/>
          <w:lang w:val="en-GB"/>
        </w:rPr>
      </w:pPr>
    </w:p>
    <w:p w14:paraId="1B27F2DC" w14:textId="27CD76D7" w:rsidR="004F27F6" w:rsidRPr="0074494A" w:rsidRDefault="0074494A" w:rsidP="0074494A">
      <w:pPr>
        <w:rPr>
          <w:b/>
          <w:bCs/>
          <w:lang w:val="en-GB"/>
        </w:rPr>
      </w:pPr>
      <w:r w:rsidRPr="0074494A">
        <w:rPr>
          <w:b/>
          <w:bCs/>
          <w:lang w:val="en-GB"/>
        </w:rPr>
        <w:t xml:space="preserve">II. </w:t>
      </w:r>
      <w:r w:rsidR="004F27F6" w:rsidRPr="0074494A">
        <w:rPr>
          <w:b/>
          <w:bCs/>
          <w:lang w:val="en-GB"/>
        </w:rPr>
        <w:t>Case examples of</w:t>
      </w:r>
      <w:r w:rsidR="00D37689" w:rsidRPr="0074494A">
        <w:rPr>
          <w:b/>
          <w:bCs/>
          <w:lang w:val="en-GB"/>
        </w:rPr>
        <w:t xml:space="preserve"> the</w:t>
      </w:r>
      <w:r w:rsidR="004F27F6" w:rsidRPr="0074494A">
        <w:rPr>
          <w:b/>
          <w:bCs/>
          <w:lang w:val="en-GB"/>
        </w:rPr>
        <w:t xml:space="preserve"> </w:t>
      </w:r>
      <w:r w:rsidR="00C45F96" w:rsidRPr="0074494A">
        <w:rPr>
          <w:b/>
          <w:bCs/>
          <w:lang w:val="en-GB"/>
        </w:rPr>
        <w:t xml:space="preserve">inclusion assessment </w:t>
      </w:r>
    </w:p>
    <w:p w14:paraId="3BDD27AF" w14:textId="29D89C61" w:rsidR="004F27F6" w:rsidRPr="0074494A" w:rsidRDefault="004F27F6" w:rsidP="002B6D06">
      <w:pPr>
        <w:spacing w:line="480" w:lineRule="auto"/>
        <w:rPr>
          <w:rFonts w:cstheme="minorHAnsi"/>
          <w:lang w:val="en-GB"/>
        </w:rPr>
      </w:pPr>
      <w:r w:rsidRPr="0074494A">
        <w:rPr>
          <w:rFonts w:cstheme="minorHAnsi"/>
          <w:b/>
          <w:bCs/>
          <w:lang w:val="en-GB"/>
        </w:rPr>
        <w:t>Example 1</w:t>
      </w:r>
      <w:r w:rsidRPr="0074494A">
        <w:rPr>
          <w:rFonts w:cstheme="minorHAnsi"/>
          <w:lang w:val="en-GB"/>
        </w:rPr>
        <w:t xml:space="preserve">: a 73- y/o woman presenting with sudden onset confusion and a fever. She had a monocytic pleocytosis and the PCR in CSF was positive for Herpes simplex virus 1 (HSV1), but there was no available description of EEG or MRI in the patient record. The final clinical diagnosis of this patient was HSV1-encephalitis and the patient responded well to treatment with acyclovir. After consulting a senior infectious disease specialist, it was decided to include this case in the study as a diagnosis of HSV1 encephalitis was deemed highly plausible.  </w:t>
      </w:r>
    </w:p>
    <w:p w14:paraId="30FA4F5F" w14:textId="6934C1A3" w:rsidR="00792961" w:rsidRPr="0074494A" w:rsidRDefault="004F27F6" w:rsidP="002B6D06">
      <w:pPr>
        <w:spacing w:line="480" w:lineRule="auto"/>
        <w:rPr>
          <w:rFonts w:cstheme="minorHAnsi"/>
          <w:lang w:val="en-GB"/>
        </w:rPr>
      </w:pPr>
      <w:r w:rsidRPr="0074494A">
        <w:rPr>
          <w:rFonts w:cstheme="minorHAnsi"/>
          <w:b/>
          <w:bCs/>
          <w:lang w:val="en-GB"/>
        </w:rPr>
        <w:t>Example 2</w:t>
      </w:r>
      <w:r w:rsidRPr="0074494A">
        <w:rPr>
          <w:rFonts w:cstheme="minorHAnsi"/>
          <w:lang w:val="en-GB"/>
        </w:rPr>
        <w:t xml:space="preserve">: A 55 y/o male with excessive alcohol consumption presenting with a peripheral facial palsy, a vesicular rash around his left ear and a fever. Upon admission the patient was perceived as somewhat reluctant to further diagnostic investigations but not described as encephalopathic. He had a monocytic pleocytosis and the PCR in CSF was positive for Varicella zoster virus (VZV), the MRI of the brain was without signs of encephalitis and EEG was not performed. This individual was </w:t>
      </w:r>
      <w:r w:rsidRPr="0074494A">
        <w:rPr>
          <w:rFonts w:cstheme="minorHAnsi"/>
          <w:i/>
          <w:iCs/>
          <w:lang w:val="en-GB"/>
        </w:rPr>
        <w:t>not</w:t>
      </w:r>
      <w:r w:rsidRPr="0074494A">
        <w:rPr>
          <w:rFonts w:cstheme="minorHAnsi"/>
          <w:lang w:val="en-GB"/>
        </w:rPr>
        <w:t xml:space="preserve"> enrolled because </w:t>
      </w:r>
      <w:r w:rsidRPr="0074494A">
        <w:rPr>
          <w:rFonts w:cstheme="minorHAnsi"/>
          <w:lang w:val="en-GB"/>
        </w:rPr>
        <w:lastRenderedPageBreak/>
        <w:t>although fulfilling the minor criteria (fever, pleocytosis and new focal neurological deficit), we could not with certainty say that he met the major criteria of ‘altered mental status’</w:t>
      </w:r>
    </w:p>
    <w:p w14:paraId="2A9D588B" w14:textId="66E7B660" w:rsidR="00792961" w:rsidRPr="0074494A" w:rsidRDefault="0074494A" w:rsidP="002B6D06">
      <w:pPr>
        <w:spacing w:line="480" w:lineRule="auto"/>
        <w:rPr>
          <w:rFonts w:cstheme="minorHAnsi"/>
          <w:lang w:val="en-GB"/>
        </w:rPr>
      </w:pPr>
      <w:r w:rsidRPr="0074494A">
        <w:rPr>
          <w:rFonts w:cstheme="minorHAnsi"/>
          <w:b/>
          <w:bCs/>
          <w:lang w:val="en-GB"/>
        </w:rPr>
        <w:t xml:space="preserve">III. </w:t>
      </w:r>
      <w:r w:rsidR="00792961" w:rsidRPr="0074494A">
        <w:rPr>
          <w:rFonts w:cstheme="minorHAnsi"/>
          <w:b/>
          <w:bCs/>
          <w:lang w:val="en-GB"/>
        </w:rPr>
        <w:t>Supplementary Table 1</w:t>
      </w:r>
      <w:r w:rsidR="00792961" w:rsidRPr="0074494A">
        <w:rPr>
          <w:rFonts w:cstheme="minorHAnsi"/>
          <w:lang w:val="en-GB"/>
        </w:rPr>
        <w:t>:  Sensitivity, specificity, positive predictive value (PPV) and negative predictive value (NPV) for the prediction of</w:t>
      </w:r>
      <w:r w:rsidR="002B6D06" w:rsidRPr="0074494A">
        <w:rPr>
          <w:rFonts w:cstheme="minorHAnsi"/>
          <w:lang w:val="en-GB"/>
        </w:rPr>
        <w:t xml:space="preserve"> AE when using the PIE cohort instead of the VE cohort as non-case comparison</w:t>
      </w:r>
      <w:r w:rsidR="00792961" w:rsidRPr="0074494A">
        <w:rPr>
          <w:rFonts w:cstheme="minorHAnsi"/>
          <w:lang w:val="en-GB"/>
        </w:rPr>
        <w:t xml:space="preserve">. </w:t>
      </w:r>
    </w:p>
    <w:tbl>
      <w:tblPr>
        <w:tblStyle w:val="Listetabel2"/>
        <w:tblpPr w:leftFromText="141" w:rightFromText="141" w:vertAnchor="text" w:horzAnchor="margin" w:tblpY="52"/>
        <w:tblW w:w="5567" w:type="dxa"/>
        <w:tblLook w:val="04A0" w:firstRow="1" w:lastRow="0" w:firstColumn="1" w:lastColumn="0" w:noHBand="0" w:noVBand="1"/>
      </w:tblPr>
      <w:tblGrid>
        <w:gridCol w:w="960"/>
        <w:gridCol w:w="1160"/>
        <w:gridCol w:w="1146"/>
        <w:gridCol w:w="1167"/>
        <w:gridCol w:w="1134"/>
      </w:tblGrid>
      <w:tr w:rsidR="00792961" w:rsidRPr="0074494A" w14:paraId="5C9E67A7" w14:textId="77777777" w:rsidTr="002B6D0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6BCE186C" w14:textId="77777777" w:rsidR="00792961" w:rsidRPr="0074494A" w:rsidRDefault="00792961" w:rsidP="002B6D06">
            <w:pPr>
              <w:spacing w:line="480" w:lineRule="auto"/>
              <w:jc w:val="center"/>
              <w:rPr>
                <w:rFonts w:eastAsia="Times New Roman" w:cstheme="minorHAnsi"/>
                <w:b w:val="0"/>
                <w:bCs w:val="0"/>
                <w:color w:val="000000"/>
                <w:lang w:val="en-GB" w:eastAsia="da-DK"/>
              </w:rPr>
            </w:pPr>
            <w:bookmarkStart w:id="0" w:name="_Hlk151635740"/>
            <w:r w:rsidRPr="0074494A">
              <w:rPr>
                <w:rFonts w:eastAsia="Times New Roman" w:cstheme="minorHAnsi"/>
                <w:color w:val="000000"/>
                <w:lang w:val="en-GB" w:eastAsia="da-DK"/>
              </w:rPr>
              <w:t>Score</w:t>
            </w:r>
          </w:p>
        </w:tc>
        <w:tc>
          <w:tcPr>
            <w:tcW w:w="1160" w:type="dxa"/>
            <w:noWrap/>
            <w:hideMark/>
          </w:tcPr>
          <w:p w14:paraId="5C8BC844" w14:textId="77777777" w:rsidR="00792961" w:rsidRPr="0074494A" w:rsidRDefault="00792961" w:rsidP="002B6D06">
            <w:pPr>
              <w:spacing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a-DK"/>
              </w:rPr>
            </w:pPr>
            <w:r w:rsidRPr="0074494A">
              <w:rPr>
                <w:rFonts w:eastAsia="Times New Roman" w:cstheme="minorHAnsi"/>
                <w:color w:val="000000"/>
                <w:lang w:val="en-GB" w:eastAsia="da-DK"/>
              </w:rPr>
              <w:t>Sensitivity</w:t>
            </w:r>
          </w:p>
        </w:tc>
        <w:tc>
          <w:tcPr>
            <w:tcW w:w="1146" w:type="dxa"/>
            <w:noWrap/>
            <w:hideMark/>
          </w:tcPr>
          <w:p w14:paraId="798EBB3B" w14:textId="77777777" w:rsidR="00792961" w:rsidRPr="0074494A" w:rsidRDefault="00792961" w:rsidP="002B6D06">
            <w:pPr>
              <w:spacing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a-DK"/>
              </w:rPr>
            </w:pPr>
            <w:r w:rsidRPr="0074494A">
              <w:rPr>
                <w:rFonts w:eastAsia="Times New Roman" w:cstheme="minorHAnsi"/>
                <w:color w:val="000000"/>
                <w:lang w:val="en-GB" w:eastAsia="da-DK"/>
              </w:rPr>
              <w:t>Specificity</w:t>
            </w:r>
          </w:p>
        </w:tc>
        <w:tc>
          <w:tcPr>
            <w:tcW w:w="1167" w:type="dxa"/>
            <w:noWrap/>
            <w:hideMark/>
          </w:tcPr>
          <w:p w14:paraId="73B1C12A" w14:textId="77777777" w:rsidR="00792961" w:rsidRPr="0074494A" w:rsidRDefault="00792961" w:rsidP="002B6D06">
            <w:pPr>
              <w:spacing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a-DK"/>
              </w:rPr>
            </w:pPr>
            <w:r w:rsidRPr="0074494A">
              <w:rPr>
                <w:rFonts w:eastAsia="Times New Roman" w:cstheme="minorHAnsi"/>
                <w:color w:val="000000"/>
                <w:lang w:val="en-GB" w:eastAsia="da-DK"/>
              </w:rPr>
              <w:t>PPV</w:t>
            </w:r>
          </w:p>
        </w:tc>
        <w:tc>
          <w:tcPr>
            <w:tcW w:w="1134" w:type="dxa"/>
            <w:noWrap/>
            <w:hideMark/>
          </w:tcPr>
          <w:p w14:paraId="054C567B" w14:textId="77777777" w:rsidR="00792961" w:rsidRPr="0074494A" w:rsidRDefault="00792961" w:rsidP="002B6D06">
            <w:pPr>
              <w:spacing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a-DK"/>
              </w:rPr>
            </w:pPr>
            <w:r w:rsidRPr="0074494A">
              <w:rPr>
                <w:rFonts w:eastAsia="Times New Roman" w:cstheme="minorHAnsi"/>
                <w:color w:val="000000"/>
                <w:lang w:val="en-GB" w:eastAsia="da-DK"/>
              </w:rPr>
              <w:t>NPV</w:t>
            </w:r>
          </w:p>
        </w:tc>
      </w:tr>
      <w:tr w:rsidR="00792961" w:rsidRPr="0074494A" w14:paraId="1AD3CBD9" w14:textId="77777777" w:rsidTr="002B6D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43FB49A2" w14:textId="77777777" w:rsidR="00792961" w:rsidRPr="0074494A" w:rsidRDefault="00792961" w:rsidP="002B6D06">
            <w:pPr>
              <w:spacing w:line="480" w:lineRule="auto"/>
              <w:jc w:val="center"/>
              <w:rPr>
                <w:rFonts w:eastAsia="Times New Roman" w:cstheme="minorHAnsi"/>
                <w:b w:val="0"/>
                <w:bCs w:val="0"/>
                <w:i/>
                <w:iCs/>
                <w:color w:val="000000"/>
                <w:lang w:val="en-GB" w:eastAsia="da-DK"/>
              </w:rPr>
            </w:pPr>
            <w:r w:rsidRPr="0074494A">
              <w:rPr>
                <w:rFonts w:eastAsia="Times New Roman" w:cstheme="minorHAnsi"/>
                <w:b w:val="0"/>
                <w:bCs w:val="0"/>
                <w:i/>
                <w:iCs/>
                <w:color w:val="000000"/>
                <w:lang w:val="en-GB" w:eastAsia="da-DK"/>
              </w:rPr>
              <w:t>0</w:t>
            </w:r>
          </w:p>
        </w:tc>
        <w:tc>
          <w:tcPr>
            <w:tcW w:w="1160" w:type="dxa"/>
            <w:noWrap/>
            <w:hideMark/>
          </w:tcPr>
          <w:p w14:paraId="1A44AF22" w14:textId="73B8D1E8" w:rsidR="00792961" w:rsidRPr="0074494A" w:rsidRDefault="00792961" w:rsidP="002B6D06">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100%</w:t>
            </w:r>
          </w:p>
        </w:tc>
        <w:tc>
          <w:tcPr>
            <w:tcW w:w="1146" w:type="dxa"/>
            <w:noWrap/>
            <w:hideMark/>
          </w:tcPr>
          <w:p w14:paraId="57FF78AD" w14:textId="271122FE" w:rsidR="00792961" w:rsidRPr="0074494A" w:rsidRDefault="00792961" w:rsidP="002B6D06">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0%</w:t>
            </w:r>
          </w:p>
        </w:tc>
        <w:tc>
          <w:tcPr>
            <w:tcW w:w="1167" w:type="dxa"/>
            <w:noWrap/>
            <w:hideMark/>
          </w:tcPr>
          <w:p w14:paraId="7EC57011" w14:textId="6986526B" w:rsidR="00792961" w:rsidRPr="0074494A" w:rsidRDefault="00792961" w:rsidP="002B6D06">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43%</w:t>
            </w:r>
          </w:p>
        </w:tc>
        <w:tc>
          <w:tcPr>
            <w:tcW w:w="1134" w:type="dxa"/>
            <w:noWrap/>
            <w:hideMark/>
          </w:tcPr>
          <w:p w14:paraId="7769399A" w14:textId="301961A4" w:rsidR="00792961" w:rsidRPr="0074494A" w:rsidRDefault="00792961" w:rsidP="002B6D06">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0%</w:t>
            </w:r>
          </w:p>
        </w:tc>
      </w:tr>
      <w:tr w:rsidR="00792961" w:rsidRPr="0074494A" w14:paraId="3DFFD580" w14:textId="77777777" w:rsidTr="002B6D06">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4A4003E5" w14:textId="77777777" w:rsidR="00792961" w:rsidRPr="0074494A" w:rsidRDefault="00792961" w:rsidP="002B6D06">
            <w:pPr>
              <w:spacing w:line="480" w:lineRule="auto"/>
              <w:jc w:val="center"/>
              <w:rPr>
                <w:rFonts w:eastAsia="Times New Roman" w:cstheme="minorHAnsi"/>
                <w:b w:val="0"/>
                <w:bCs w:val="0"/>
                <w:i/>
                <w:iCs/>
                <w:color w:val="000000"/>
                <w:lang w:val="en-GB" w:eastAsia="da-DK"/>
              </w:rPr>
            </w:pPr>
            <w:r w:rsidRPr="0074494A">
              <w:rPr>
                <w:rFonts w:eastAsia="Times New Roman" w:cstheme="minorHAnsi"/>
                <w:b w:val="0"/>
                <w:bCs w:val="0"/>
                <w:i/>
                <w:iCs/>
                <w:color w:val="000000"/>
                <w:lang w:val="en-GB" w:eastAsia="da-DK"/>
              </w:rPr>
              <w:t>1</w:t>
            </w:r>
          </w:p>
        </w:tc>
        <w:tc>
          <w:tcPr>
            <w:tcW w:w="1160" w:type="dxa"/>
            <w:noWrap/>
            <w:hideMark/>
          </w:tcPr>
          <w:p w14:paraId="14E24DA6" w14:textId="1E192AF0" w:rsidR="00792961" w:rsidRPr="0074494A" w:rsidRDefault="00792961" w:rsidP="002B6D06">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100%</w:t>
            </w:r>
          </w:p>
        </w:tc>
        <w:tc>
          <w:tcPr>
            <w:tcW w:w="1146" w:type="dxa"/>
            <w:noWrap/>
            <w:hideMark/>
          </w:tcPr>
          <w:p w14:paraId="48C98A88" w14:textId="360BA2C9" w:rsidR="00792961" w:rsidRPr="0074494A" w:rsidRDefault="00792961" w:rsidP="002B6D06">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22%</w:t>
            </w:r>
          </w:p>
        </w:tc>
        <w:tc>
          <w:tcPr>
            <w:tcW w:w="1167" w:type="dxa"/>
            <w:noWrap/>
            <w:hideMark/>
          </w:tcPr>
          <w:p w14:paraId="76D46A34" w14:textId="1F6551D3" w:rsidR="00792961" w:rsidRPr="0074494A" w:rsidRDefault="00792961" w:rsidP="002B6D06">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49%</w:t>
            </w:r>
          </w:p>
        </w:tc>
        <w:tc>
          <w:tcPr>
            <w:tcW w:w="1134" w:type="dxa"/>
            <w:noWrap/>
            <w:hideMark/>
          </w:tcPr>
          <w:p w14:paraId="4DFB552F" w14:textId="28207464" w:rsidR="00792961" w:rsidRPr="0074494A" w:rsidRDefault="00792961" w:rsidP="002B6D06">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100%</w:t>
            </w:r>
          </w:p>
        </w:tc>
      </w:tr>
      <w:tr w:rsidR="00792961" w:rsidRPr="0074494A" w14:paraId="56099C39" w14:textId="77777777" w:rsidTr="002B6D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1AAE58C8" w14:textId="77777777" w:rsidR="00792961" w:rsidRPr="0074494A" w:rsidRDefault="00792961" w:rsidP="002B6D06">
            <w:pPr>
              <w:spacing w:line="480" w:lineRule="auto"/>
              <w:jc w:val="center"/>
              <w:rPr>
                <w:rFonts w:eastAsia="Times New Roman" w:cstheme="minorHAnsi"/>
                <w:b w:val="0"/>
                <w:bCs w:val="0"/>
                <w:i/>
                <w:iCs/>
                <w:color w:val="000000"/>
                <w:lang w:val="en-GB" w:eastAsia="da-DK"/>
              </w:rPr>
            </w:pPr>
            <w:r w:rsidRPr="0074494A">
              <w:rPr>
                <w:rFonts w:eastAsia="Times New Roman" w:cstheme="minorHAnsi"/>
                <w:b w:val="0"/>
                <w:bCs w:val="0"/>
                <w:i/>
                <w:iCs/>
                <w:color w:val="000000"/>
                <w:lang w:val="en-GB" w:eastAsia="da-DK"/>
              </w:rPr>
              <w:t>2</w:t>
            </w:r>
          </w:p>
        </w:tc>
        <w:tc>
          <w:tcPr>
            <w:tcW w:w="1160" w:type="dxa"/>
            <w:noWrap/>
            <w:hideMark/>
          </w:tcPr>
          <w:p w14:paraId="2D90BCDC" w14:textId="36A629FD" w:rsidR="00792961" w:rsidRPr="0074494A" w:rsidRDefault="00792961" w:rsidP="002B6D06">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92%</w:t>
            </w:r>
          </w:p>
        </w:tc>
        <w:tc>
          <w:tcPr>
            <w:tcW w:w="1146" w:type="dxa"/>
            <w:noWrap/>
            <w:hideMark/>
          </w:tcPr>
          <w:p w14:paraId="24AA1359" w14:textId="1EE14DFB" w:rsidR="00792961" w:rsidRPr="0074494A" w:rsidRDefault="00792961" w:rsidP="002B6D06">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60%</w:t>
            </w:r>
          </w:p>
        </w:tc>
        <w:tc>
          <w:tcPr>
            <w:tcW w:w="1167" w:type="dxa"/>
            <w:noWrap/>
            <w:hideMark/>
          </w:tcPr>
          <w:p w14:paraId="2BB5057D" w14:textId="6C2F875A" w:rsidR="00792961" w:rsidRPr="0074494A" w:rsidRDefault="00C53FE8" w:rsidP="002B6D06">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63</w:t>
            </w:r>
            <w:r w:rsidR="00792961" w:rsidRPr="0074494A">
              <w:rPr>
                <w:rFonts w:eastAsia="Times New Roman" w:cstheme="minorHAnsi"/>
                <w:color w:val="000000"/>
                <w:lang w:val="en-GB" w:eastAsia="da-DK"/>
              </w:rPr>
              <w:t>%</w:t>
            </w:r>
          </w:p>
        </w:tc>
        <w:tc>
          <w:tcPr>
            <w:tcW w:w="1134" w:type="dxa"/>
            <w:noWrap/>
            <w:hideMark/>
          </w:tcPr>
          <w:p w14:paraId="5AA0632D" w14:textId="3FA20BF6" w:rsidR="00792961" w:rsidRPr="0074494A" w:rsidRDefault="00C53FE8" w:rsidP="002B6D06">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91</w:t>
            </w:r>
            <w:r w:rsidR="00792961" w:rsidRPr="0074494A">
              <w:rPr>
                <w:rFonts w:eastAsia="Times New Roman" w:cstheme="minorHAnsi"/>
                <w:color w:val="000000"/>
                <w:lang w:val="en-GB" w:eastAsia="da-DK"/>
              </w:rPr>
              <w:t>%</w:t>
            </w:r>
          </w:p>
        </w:tc>
      </w:tr>
      <w:tr w:rsidR="00792961" w:rsidRPr="0074494A" w14:paraId="23267EAE" w14:textId="77777777" w:rsidTr="002B6D06">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49BB1F9B" w14:textId="77777777" w:rsidR="00792961" w:rsidRPr="0074494A" w:rsidRDefault="00792961" w:rsidP="002B6D06">
            <w:pPr>
              <w:spacing w:line="480" w:lineRule="auto"/>
              <w:jc w:val="center"/>
              <w:rPr>
                <w:rFonts w:eastAsia="Times New Roman" w:cstheme="minorHAnsi"/>
                <w:b w:val="0"/>
                <w:bCs w:val="0"/>
                <w:i/>
                <w:iCs/>
                <w:color w:val="000000"/>
                <w:lang w:val="en-GB" w:eastAsia="da-DK"/>
              </w:rPr>
            </w:pPr>
            <w:r w:rsidRPr="0074494A">
              <w:rPr>
                <w:rFonts w:eastAsia="Times New Roman" w:cstheme="minorHAnsi"/>
                <w:b w:val="0"/>
                <w:bCs w:val="0"/>
                <w:i/>
                <w:iCs/>
                <w:color w:val="000000"/>
                <w:lang w:val="en-GB" w:eastAsia="da-DK"/>
              </w:rPr>
              <w:t>3</w:t>
            </w:r>
          </w:p>
        </w:tc>
        <w:tc>
          <w:tcPr>
            <w:tcW w:w="1160" w:type="dxa"/>
            <w:noWrap/>
            <w:hideMark/>
          </w:tcPr>
          <w:p w14:paraId="2AB8628A" w14:textId="34A33623" w:rsidR="00792961" w:rsidRPr="0074494A" w:rsidRDefault="00792961" w:rsidP="002B6D06">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69%</w:t>
            </w:r>
          </w:p>
        </w:tc>
        <w:tc>
          <w:tcPr>
            <w:tcW w:w="1146" w:type="dxa"/>
            <w:noWrap/>
            <w:hideMark/>
          </w:tcPr>
          <w:p w14:paraId="7EA90AD1" w14:textId="1F799D84" w:rsidR="00792961" w:rsidRPr="0074494A" w:rsidRDefault="00792961" w:rsidP="002B6D06">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9</w:t>
            </w:r>
            <w:r w:rsidR="00DB045E" w:rsidRPr="0074494A">
              <w:rPr>
                <w:rFonts w:eastAsia="Times New Roman" w:cstheme="minorHAnsi"/>
                <w:color w:val="000000"/>
                <w:lang w:val="en-GB" w:eastAsia="da-DK"/>
              </w:rPr>
              <w:t>3</w:t>
            </w:r>
            <w:r w:rsidRPr="0074494A">
              <w:rPr>
                <w:rFonts w:eastAsia="Times New Roman" w:cstheme="minorHAnsi"/>
                <w:color w:val="000000"/>
                <w:lang w:val="en-GB" w:eastAsia="da-DK"/>
              </w:rPr>
              <w:t>%</w:t>
            </w:r>
          </w:p>
        </w:tc>
        <w:tc>
          <w:tcPr>
            <w:tcW w:w="1167" w:type="dxa"/>
            <w:noWrap/>
            <w:hideMark/>
          </w:tcPr>
          <w:p w14:paraId="3610E717" w14:textId="22D378A5" w:rsidR="00792961" w:rsidRPr="0074494A" w:rsidRDefault="00792961" w:rsidP="002B6D06">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8</w:t>
            </w:r>
            <w:r w:rsidR="00C53FE8" w:rsidRPr="0074494A">
              <w:rPr>
                <w:rFonts w:eastAsia="Times New Roman" w:cstheme="minorHAnsi"/>
                <w:color w:val="000000"/>
                <w:lang w:val="en-GB" w:eastAsia="da-DK"/>
              </w:rPr>
              <w:t>7</w:t>
            </w:r>
            <w:r w:rsidRPr="0074494A">
              <w:rPr>
                <w:rFonts w:eastAsia="Times New Roman" w:cstheme="minorHAnsi"/>
                <w:color w:val="000000"/>
                <w:lang w:val="en-GB" w:eastAsia="da-DK"/>
              </w:rPr>
              <w:t>%</w:t>
            </w:r>
          </w:p>
        </w:tc>
        <w:tc>
          <w:tcPr>
            <w:tcW w:w="1134" w:type="dxa"/>
            <w:noWrap/>
            <w:hideMark/>
          </w:tcPr>
          <w:p w14:paraId="417E3E3D" w14:textId="0BB8B69C" w:rsidR="00792961" w:rsidRPr="0074494A" w:rsidRDefault="00792961" w:rsidP="002B6D06">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8</w:t>
            </w:r>
            <w:r w:rsidR="00C53FE8" w:rsidRPr="0074494A">
              <w:rPr>
                <w:rFonts w:eastAsia="Times New Roman" w:cstheme="minorHAnsi"/>
                <w:color w:val="000000"/>
                <w:lang w:val="en-GB" w:eastAsia="da-DK"/>
              </w:rPr>
              <w:t>0</w:t>
            </w:r>
            <w:r w:rsidRPr="0074494A">
              <w:rPr>
                <w:rFonts w:eastAsia="Times New Roman" w:cstheme="minorHAnsi"/>
                <w:color w:val="000000"/>
                <w:lang w:val="en-GB" w:eastAsia="da-DK"/>
              </w:rPr>
              <w:t>%</w:t>
            </w:r>
          </w:p>
        </w:tc>
      </w:tr>
      <w:tr w:rsidR="00792961" w:rsidRPr="0074494A" w14:paraId="5714A15A" w14:textId="77777777" w:rsidTr="002B6D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16D6AEDB" w14:textId="77777777" w:rsidR="00792961" w:rsidRPr="0074494A" w:rsidRDefault="00792961" w:rsidP="002B6D06">
            <w:pPr>
              <w:spacing w:line="480" w:lineRule="auto"/>
              <w:jc w:val="center"/>
              <w:rPr>
                <w:rFonts w:eastAsia="Times New Roman" w:cstheme="minorHAnsi"/>
                <w:b w:val="0"/>
                <w:bCs w:val="0"/>
                <w:i/>
                <w:iCs/>
                <w:color w:val="000000"/>
                <w:lang w:val="en-GB" w:eastAsia="da-DK"/>
              </w:rPr>
            </w:pPr>
            <w:r w:rsidRPr="0074494A">
              <w:rPr>
                <w:rFonts w:eastAsia="Times New Roman" w:cstheme="minorHAnsi"/>
                <w:b w:val="0"/>
                <w:bCs w:val="0"/>
                <w:i/>
                <w:iCs/>
                <w:color w:val="000000"/>
                <w:lang w:val="en-GB" w:eastAsia="da-DK"/>
              </w:rPr>
              <w:t>4</w:t>
            </w:r>
          </w:p>
        </w:tc>
        <w:tc>
          <w:tcPr>
            <w:tcW w:w="1160" w:type="dxa"/>
            <w:noWrap/>
            <w:hideMark/>
          </w:tcPr>
          <w:p w14:paraId="44FED2A3" w14:textId="77777777" w:rsidR="00792961" w:rsidRPr="0074494A" w:rsidRDefault="00792961" w:rsidP="002B6D06">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23%</w:t>
            </w:r>
          </w:p>
        </w:tc>
        <w:tc>
          <w:tcPr>
            <w:tcW w:w="1146" w:type="dxa"/>
            <w:noWrap/>
            <w:hideMark/>
          </w:tcPr>
          <w:p w14:paraId="7EE39133" w14:textId="77777777" w:rsidR="00792961" w:rsidRPr="0074494A" w:rsidRDefault="00792961" w:rsidP="002B6D06">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100%</w:t>
            </w:r>
          </w:p>
        </w:tc>
        <w:tc>
          <w:tcPr>
            <w:tcW w:w="1167" w:type="dxa"/>
            <w:noWrap/>
            <w:hideMark/>
          </w:tcPr>
          <w:p w14:paraId="7B46577F" w14:textId="77777777" w:rsidR="00792961" w:rsidRPr="0074494A" w:rsidRDefault="00792961" w:rsidP="002B6D06">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100%</w:t>
            </w:r>
          </w:p>
        </w:tc>
        <w:tc>
          <w:tcPr>
            <w:tcW w:w="1134" w:type="dxa"/>
            <w:noWrap/>
            <w:hideMark/>
          </w:tcPr>
          <w:p w14:paraId="54979AA5" w14:textId="06C6A589" w:rsidR="00792961" w:rsidRPr="0074494A" w:rsidRDefault="00254631" w:rsidP="002B6D06">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GB" w:eastAsia="da-DK"/>
              </w:rPr>
            </w:pPr>
            <w:r w:rsidRPr="0074494A">
              <w:rPr>
                <w:rFonts w:eastAsia="Times New Roman" w:cstheme="minorHAnsi"/>
                <w:color w:val="000000"/>
                <w:lang w:val="en-GB" w:eastAsia="da-DK"/>
              </w:rPr>
              <w:t>64</w:t>
            </w:r>
            <w:r w:rsidR="00792961" w:rsidRPr="0074494A">
              <w:rPr>
                <w:rFonts w:eastAsia="Times New Roman" w:cstheme="minorHAnsi"/>
                <w:color w:val="000000"/>
                <w:lang w:val="en-GB" w:eastAsia="da-DK"/>
              </w:rPr>
              <w:t>%</w:t>
            </w:r>
          </w:p>
        </w:tc>
      </w:tr>
      <w:bookmarkEnd w:id="0"/>
    </w:tbl>
    <w:p w14:paraId="148274F8" w14:textId="09D820FE" w:rsidR="00792961" w:rsidRDefault="00792961" w:rsidP="002B6D06">
      <w:pPr>
        <w:spacing w:line="480" w:lineRule="auto"/>
        <w:rPr>
          <w:rFonts w:cstheme="minorHAnsi"/>
          <w:lang w:val="en-GB"/>
        </w:rPr>
      </w:pPr>
    </w:p>
    <w:p w14:paraId="43766F70" w14:textId="319DFA40" w:rsidR="0074494A" w:rsidRPr="0074494A" w:rsidRDefault="0074494A" w:rsidP="0074494A">
      <w:pPr>
        <w:rPr>
          <w:rFonts w:cstheme="minorHAnsi"/>
          <w:lang w:val="en-GB"/>
        </w:rPr>
      </w:pPr>
    </w:p>
    <w:p w14:paraId="14962592" w14:textId="5F2C0DFB" w:rsidR="0074494A" w:rsidRPr="0074494A" w:rsidRDefault="0074494A" w:rsidP="0074494A">
      <w:pPr>
        <w:rPr>
          <w:rFonts w:cstheme="minorHAnsi"/>
          <w:lang w:val="en-GB"/>
        </w:rPr>
      </w:pPr>
    </w:p>
    <w:p w14:paraId="38213C03" w14:textId="6E081328" w:rsidR="0074494A" w:rsidRPr="0074494A" w:rsidRDefault="0074494A" w:rsidP="0074494A">
      <w:pPr>
        <w:rPr>
          <w:rFonts w:cstheme="minorHAnsi"/>
          <w:lang w:val="en-GB"/>
        </w:rPr>
      </w:pPr>
    </w:p>
    <w:p w14:paraId="46D3DE17" w14:textId="48FBFC3C" w:rsidR="0074494A" w:rsidRPr="0074494A" w:rsidRDefault="0074494A" w:rsidP="0074494A">
      <w:pPr>
        <w:rPr>
          <w:rFonts w:cstheme="minorHAnsi"/>
          <w:lang w:val="en-GB"/>
        </w:rPr>
      </w:pPr>
    </w:p>
    <w:p w14:paraId="06086883" w14:textId="0B9E0D7C" w:rsidR="0074494A" w:rsidRPr="0074494A" w:rsidRDefault="0074494A" w:rsidP="0074494A">
      <w:pPr>
        <w:rPr>
          <w:rFonts w:cstheme="minorHAnsi"/>
          <w:lang w:val="en-GB"/>
        </w:rPr>
      </w:pPr>
    </w:p>
    <w:p w14:paraId="497801BF" w14:textId="1BE7E2F7" w:rsidR="0074494A" w:rsidRPr="0074494A" w:rsidRDefault="0074494A" w:rsidP="0074494A">
      <w:pPr>
        <w:rPr>
          <w:rFonts w:cstheme="minorHAnsi"/>
          <w:lang w:val="en-GB"/>
        </w:rPr>
      </w:pPr>
    </w:p>
    <w:p w14:paraId="29FAEAC2" w14:textId="1A0CE3D4" w:rsidR="0074494A" w:rsidRPr="0074494A" w:rsidRDefault="0074494A" w:rsidP="0074494A">
      <w:pPr>
        <w:rPr>
          <w:rFonts w:cstheme="minorHAnsi"/>
          <w:lang w:val="en-GB"/>
        </w:rPr>
      </w:pPr>
    </w:p>
    <w:p w14:paraId="7B8CFD33" w14:textId="6ADA8EC7" w:rsidR="0074494A" w:rsidRDefault="0074494A" w:rsidP="0074494A">
      <w:pPr>
        <w:rPr>
          <w:rFonts w:cstheme="minorHAnsi"/>
          <w:lang w:val="en-GB"/>
        </w:rPr>
      </w:pPr>
    </w:p>
    <w:p w14:paraId="22FE38DE" w14:textId="3CD47967" w:rsidR="0074494A" w:rsidRPr="0074494A" w:rsidRDefault="0074494A" w:rsidP="0074494A">
      <w:pPr>
        <w:widowControl w:val="0"/>
        <w:autoSpaceDE w:val="0"/>
        <w:autoSpaceDN w:val="0"/>
        <w:adjustRightInd w:val="0"/>
        <w:spacing w:line="240" w:lineRule="auto"/>
        <w:ind w:left="640" w:hanging="640"/>
        <w:rPr>
          <w:rFonts w:ascii="Calibri" w:hAnsi="Calibri" w:cs="Calibri"/>
          <w:noProof/>
          <w:szCs w:val="24"/>
        </w:rPr>
      </w:pPr>
      <w:r>
        <w:rPr>
          <w:rFonts w:cstheme="minorHAnsi"/>
          <w:lang w:val="en-GB"/>
        </w:rPr>
        <w:fldChar w:fldCharType="begin" w:fldLock="1"/>
      </w:r>
      <w:r>
        <w:rPr>
          <w:rFonts w:cstheme="minorHAnsi"/>
          <w:lang w:val="en-GB"/>
        </w:rPr>
        <w:instrText xml:space="preserve">ADDIN Mendeley Bibliography CSL_BIBLIOGRAPHY </w:instrText>
      </w:r>
      <w:r>
        <w:rPr>
          <w:rFonts w:cstheme="minorHAnsi"/>
          <w:lang w:val="en-GB"/>
        </w:rPr>
        <w:fldChar w:fldCharType="separate"/>
      </w:r>
      <w:r w:rsidRPr="0074494A">
        <w:rPr>
          <w:rFonts w:ascii="Calibri" w:hAnsi="Calibri" w:cs="Calibri"/>
          <w:noProof/>
          <w:szCs w:val="24"/>
        </w:rPr>
        <w:t xml:space="preserve">1. </w:t>
      </w:r>
      <w:r w:rsidRPr="0074494A">
        <w:rPr>
          <w:rFonts w:ascii="Calibri" w:hAnsi="Calibri" w:cs="Calibri"/>
          <w:noProof/>
          <w:szCs w:val="24"/>
        </w:rPr>
        <w:tab/>
        <w:t xml:space="preserve">Venkatesan A, Tunkel AR, Bloch KC, Lauring AS, Sejvar J, Bitnun A, et al. Case definitions, diagnostic algorithms, and priorities in encephalitis: Consensus statement of the international encephalitis consortium. Clin Infect Dis. 2013;57(8):1114–28. </w:t>
      </w:r>
    </w:p>
    <w:p w14:paraId="0DD864F5" w14:textId="77777777" w:rsidR="0074494A" w:rsidRPr="0074494A" w:rsidRDefault="0074494A" w:rsidP="0074494A">
      <w:pPr>
        <w:widowControl w:val="0"/>
        <w:autoSpaceDE w:val="0"/>
        <w:autoSpaceDN w:val="0"/>
        <w:adjustRightInd w:val="0"/>
        <w:spacing w:line="240" w:lineRule="auto"/>
        <w:ind w:left="640" w:hanging="640"/>
        <w:rPr>
          <w:rFonts w:ascii="Calibri" w:hAnsi="Calibri" w:cs="Calibri"/>
          <w:noProof/>
        </w:rPr>
      </w:pPr>
      <w:r w:rsidRPr="0074494A">
        <w:rPr>
          <w:rFonts w:ascii="Calibri" w:hAnsi="Calibri" w:cs="Calibri"/>
          <w:noProof/>
          <w:szCs w:val="24"/>
        </w:rPr>
        <w:t xml:space="preserve">2. </w:t>
      </w:r>
      <w:r w:rsidRPr="0074494A">
        <w:rPr>
          <w:rFonts w:ascii="Calibri" w:hAnsi="Calibri" w:cs="Calibri"/>
          <w:noProof/>
          <w:szCs w:val="24"/>
        </w:rPr>
        <w:tab/>
        <w:t xml:space="preserve">Graus F, Titulaer MJ, Balu R, Benseler S, Bien CG, Cellucci T, et al. A clinical approach to diagnosis of autoimmune encephalitis. Vol. 15, The Lancet Neurology. 2016. p. 391–404. </w:t>
      </w:r>
    </w:p>
    <w:p w14:paraId="5DA44EDE" w14:textId="393EE498" w:rsidR="0074494A" w:rsidRPr="0074494A" w:rsidRDefault="0074494A" w:rsidP="0074494A">
      <w:pPr>
        <w:rPr>
          <w:rFonts w:cstheme="minorHAnsi"/>
          <w:lang w:val="en-GB"/>
        </w:rPr>
      </w:pPr>
      <w:r>
        <w:rPr>
          <w:rFonts w:cstheme="minorHAnsi"/>
          <w:lang w:val="en-GB"/>
        </w:rPr>
        <w:fldChar w:fldCharType="end"/>
      </w:r>
    </w:p>
    <w:sectPr w:rsidR="0074494A" w:rsidRPr="0074494A" w:rsidSect="0074494A">
      <w:footerReference w:type="default" r:id="rId8"/>
      <w:pgSz w:w="11906" w:h="16838"/>
      <w:pgMar w:top="1701" w:right="1134" w:bottom="1701"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60A39" w14:textId="77777777" w:rsidR="0074494A" w:rsidRDefault="0074494A" w:rsidP="0074494A">
      <w:pPr>
        <w:spacing w:after="0" w:line="240" w:lineRule="auto"/>
      </w:pPr>
      <w:r>
        <w:separator/>
      </w:r>
    </w:p>
  </w:endnote>
  <w:endnote w:type="continuationSeparator" w:id="0">
    <w:p w14:paraId="3A4A805A" w14:textId="77777777" w:rsidR="0074494A" w:rsidRDefault="0074494A" w:rsidP="00744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vOT8608a8d1+22">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278805"/>
      <w:docPartObj>
        <w:docPartGallery w:val="Page Numbers (Bottom of Page)"/>
        <w:docPartUnique/>
      </w:docPartObj>
    </w:sdtPr>
    <w:sdtContent>
      <w:p w14:paraId="3D56FE90" w14:textId="52395EB5" w:rsidR="0074494A" w:rsidRDefault="0074494A">
        <w:pPr>
          <w:pStyle w:val="Sidefod"/>
          <w:jc w:val="right"/>
        </w:pPr>
        <w:r>
          <w:fldChar w:fldCharType="begin"/>
        </w:r>
        <w:r>
          <w:instrText>PAGE   \* MERGEFORMAT</w:instrText>
        </w:r>
        <w:r>
          <w:fldChar w:fldCharType="separate"/>
        </w:r>
        <w:r>
          <w:rPr>
            <w:lang w:val="da-DK"/>
          </w:rPr>
          <w:t>2</w:t>
        </w:r>
        <w:r>
          <w:fldChar w:fldCharType="end"/>
        </w:r>
      </w:p>
    </w:sdtContent>
  </w:sdt>
  <w:p w14:paraId="1C3473F4" w14:textId="77777777" w:rsidR="0074494A" w:rsidRDefault="0074494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157FC" w14:textId="77777777" w:rsidR="0074494A" w:rsidRDefault="0074494A" w:rsidP="0074494A">
      <w:pPr>
        <w:spacing w:after="0" w:line="240" w:lineRule="auto"/>
      </w:pPr>
      <w:r>
        <w:separator/>
      </w:r>
    </w:p>
  </w:footnote>
  <w:footnote w:type="continuationSeparator" w:id="0">
    <w:p w14:paraId="4E108B23" w14:textId="77777777" w:rsidR="0074494A" w:rsidRDefault="0074494A" w:rsidP="007449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71C8E"/>
    <w:multiLevelType w:val="hybridMultilevel"/>
    <w:tmpl w:val="CDAE214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371738E1"/>
    <w:multiLevelType w:val="hybridMultilevel"/>
    <w:tmpl w:val="73E8E67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47ED145B"/>
    <w:multiLevelType w:val="hybridMultilevel"/>
    <w:tmpl w:val="273817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F594254"/>
    <w:multiLevelType w:val="hybridMultilevel"/>
    <w:tmpl w:val="A24CC58C"/>
    <w:lvl w:ilvl="0" w:tplc="4DD8B928">
      <w:start w:val="1"/>
      <w:numFmt w:val="decimal"/>
      <w:lvlText w:val="%1."/>
      <w:lvlJc w:val="left"/>
      <w:pPr>
        <w:ind w:left="720" w:hanging="360"/>
      </w:pPr>
      <w:rPr>
        <w:rFonts w:hint="default"/>
        <w:b/>
        <w:b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507B3637"/>
    <w:multiLevelType w:val="hybridMultilevel"/>
    <w:tmpl w:val="F3EC5D1A"/>
    <w:lvl w:ilvl="0" w:tplc="20C8093C">
      <w:start w:val="3"/>
      <w:numFmt w:val="decimal"/>
      <w:lvlText w:val="%1."/>
      <w:lvlJc w:val="left"/>
      <w:pPr>
        <w:ind w:left="720" w:hanging="360"/>
      </w:pPr>
      <w:rPr>
        <w:rFonts w:hint="default"/>
        <w:b/>
        <w:b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59D22499"/>
    <w:multiLevelType w:val="hybridMultilevel"/>
    <w:tmpl w:val="3EC69E0E"/>
    <w:lvl w:ilvl="0" w:tplc="04060001">
      <w:start w:val="1"/>
      <w:numFmt w:val="bullet"/>
      <w:lvlText w:val=""/>
      <w:lvlJc w:val="left"/>
      <w:pPr>
        <w:ind w:left="720" w:hanging="360"/>
      </w:pPr>
      <w:rPr>
        <w:rFonts w:ascii="Symbol" w:hAnsi="Symbol" w:hint="default"/>
      </w:rPr>
    </w:lvl>
    <w:lvl w:ilvl="1" w:tplc="ED08FCAA">
      <w:numFmt w:val="bullet"/>
      <w:lvlText w:val="•"/>
      <w:lvlJc w:val="left"/>
      <w:pPr>
        <w:ind w:left="1440" w:hanging="360"/>
      </w:pPr>
      <w:rPr>
        <w:rFonts w:ascii="Calibri" w:eastAsiaTheme="minorHAnsi" w:hAnsi="Calibri" w:cs="Calibri"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5ED85CD2"/>
    <w:multiLevelType w:val="hybridMultilevel"/>
    <w:tmpl w:val="538CAC38"/>
    <w:lvl w:ilvl="0" w:tplc="FFFFFFFF">
      <w:start w:val="1"/>
      <w:numFmt w:val="decimal"/>
      <w:lvlText w:val="%1."/>
      <w:lvlJc w:val="left"/>
      <w:pPr>
        <w:ind w:left="720" w:hanging="360"/>
      </w:pPr>
      <w:rPr>
        <w:rFonts w:hint="default"/>
        <w:b/>
        <w:bCs/>
      </w:rPr>
    </w:lvl>
    <w:lvl w:ilvl="1" w:tplc="1C125F9A">
      <w:start w:val="3"/>
      <w:numFmt w:val="bullet"/>
      <w:lvlText w:val="•"/>
      <w:lvlJc w:val="left"/>
      <w:pPr>
        <w:ind w:left="720" w:hanging="360"/>
      </w:pPr>
      <w:rPr>
        <w:rFonts w:ascii="Calibri" w:eastAsiaTheme="minorHAnsi" w:hAnsi="Calibri" w:cs="Calibri" w:hint="default"/>
      </w:rPr>
    </w:lvl>
    <w:lvl w:ilvl="2" w:tplc="51909B06">
      <w:start w:val="2"/>
      <w:numFmt w:val="upperRoman"/>
      <w:lvlText w:val="%3."/>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7D223C3"/>
    <w:multiLevelType w:val="hybridMultilevel"/>
    <w:tmpl w:val="8CB69D00"/>
    <w:lvl w:ilvl="0" w:tplc="D4BA5CB8">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6D3671A2"/>
    <w:multiLevelType w:val="hybridMultilevel"/>
    <w:tmpl w:val="AC689A06"/>
    <w:lvl w:ilvl="0" w:tplc="4DD8B928">
      <w:start w:val="1"/>
      <w:numFmt w:val="decimal"/>
      <w:lvlText w:val="%1."/>
      <w:lvlJc w:val="left"/>
      <w:pPr>
        <w:ind w:left="720" w:hanging="360"/>
      </w:pPr>
      <w:rPr>
        <w:rFonts w:hint="default"/>
        <w:b/>
        <w:bCs/>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71452E7F"/>
    <w:multiLevelType w:val="hybridMultilevel"/>
    <w:tmpl w:val="7C94E0D4"/>
    <w:lvl w:ilvl="0" w:tplc="20D4C38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73A540D4"/>
    <w:multiLevelType w:val="hybridMultilevel"/>
    <w:tmpl w:val="D5187348"/>
    <w:lvl w:ilvl="0" w:tplc="D6BEC876">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74593B99"/>
    <w:multiLevelType w:val="hybridMultilevel"/>
    <w:tmpl w:val="BDE45F2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7860476E"/>
    <w:multiLevelType w:val="hybridMultilevel"/>
    <w:tmpl w:val="F1D4F078"/>
    <w:lvl w:ilvl="0" w:tplc="1C125F9A">
      <w:start w:val="3"/>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369069557">
    <w:abstractNumId w:val="11"/>
  </w:num>
  <w:num w:numId="2" w16cid:durableId="592009364">
    <w:abstractNumId w:val="10"/>
  </w:num>
  <w:num w:numId="3" w16cid:durableId="935291593">
    <w:abstractNumId w:val="8"/>
  </w:num>
  <w:num w:numId="4" w16cid:durableId="1138302392">
    <w:abstractNumId w:val="5"/>
  </w:num>
  <w:num w:numId="5" w16cid:durableId="1074661411">
    <w:abstractNumId w:val="3"/>
  </w:num>
  <w:num w:numId="6" w16cid:durableId="877280421">
    <w:abstractNumId w:val="4"/>
  </w:num>
  <w:num w:numId="7" w16cid:durableId="1070273375">
    <w:abstractNumId w:val="7"/>
  </w:num>
  <w:num w:numId="8" w16cid:durableId="1994409389">
    <w:abstractNumId w:val="2"/>
  </w:num>
  <w:num w:numId="9" w16cid:durableId="125205805">
    <w:abstractNumId w:val="12"/>
  </w:num>
  <w:num w:numId="10" w16cid:durableId="609510260">
    <w:abstractNumId w:val="6"/>
  </w:num>
  <w:num w:numId="11" w16cid:durableId="958149103">
    <w:abstractNumId w:val="0"/>
  </w:num>
  <w:num w:numId="12" w16cid:durableId="1275021223">
    <w:abstractNumId w:val="9"/>
  </w:num>
  <w:num w:numId="13" w16cid:durableId="1689789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7F6"/>
    <w:rsid w:val="0015305E"/>
    <w:rsid w:val="001D420B"/>
    <w:rsid w:val="00254631"/>
    <w:rsid w:val="002B6D06"/>
    <w:rsid w:val="002D4164"/>
    <w:rsid w:val="002D6D00"/>
    <w:rsid w:val="0042462A"/>
    <w:rsid w:val="00465818"/>
    <w:rsid w:val="0049323C"/>
    <w:rsid w:val="004F27F6"/>
    <w:rsid w:val="00673B95"/>
    <w:rsid w:val="00680268"/>
    <w:rsid w:val="00710ECF"/>
    <w:rsid w:val="0074494A"/>
    <w:rsid w:val="00792961"/>
    <w:rsid w:val="007D0E05"/>
    <w:rsid w:val="0087072E"/>
    <w:rsid w:val="00893EF8"/>
    <w:rsid w:val="00AF2D0E"/>
    <w:rsid w:val="00B24B91"/>
    <w:rsid w:val="00C45F96"/>
    <w:rsid w:val="00C53FE8"/>
    <w:rsid w:val="00D37689"/>
    <w:rsid w:val="00DB045E"/>
    <w:rsid w:val="00F5673E"/>
    <w:rsid w:val="00F613E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35C60C"/>
  <w15:chartTrackingRefBased/>
  <w15:docId w15:val="{4F719E42-0F5F-4951-A5C3-115F0A443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Overskrift1">
    <w:name w:val="heading 1"/>
    <w:basedOn w:val="Normal"/>
    <w:next w:val="Normal"/>
    <w:link w:val="Overskrift1Tegn"/>
    <w:uiPriority w:val="9"/>
    <w:qFormat/>
    <w:rsid w:val="007449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C45F96"/>
    <w:pPr>
      <w:ind w:left="720"/>
      <w:contextualSpacing/>
    </w:pPr>
  </w:style>
  <w:style w:type="table" w:styleId="Listetabel2-farve3">
    <w:name w:val="List Table 2 Accent 3"/>
    <w:basedOn w:val="Tabel-Normal"/>
    <w:uiPriority w:val="47"/>
    <w:rsid w:val="0079296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Gitter">
    <w:name w:val="Table Grid"/>
    <w:basedOn w:val="Tabel-Normal"/>
    <w:uiPriority w:val="39"/>
    <w:rsid w:val="002D4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tabel2">
    <w:name w:val="List Table 2"/>
    <w:basedOn w:val="Tabel-Normal"/>
    <w:uiPriority w:val="47"/>
    <w:rsid w:val="002B6D0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Overskrift1Tegn">
    <w:name w:val="Overskrift 1 Tegn"/>
    <w:basedOn w:val="Standardskrifttypeiafsnit"/>
    <w:link w:val="Overskrift1"/>
    <w:uiPriority w:val="9"/>
    <w:rsid w:val="0074494A"/>
    <w:rPr>
      <w:rFonts w:asciiTheme="majorHAnsi" w:eastAsiaTheme="majorEastAsia" w:hAnsiTheme="majorHAnsi" w:cstheme="majorBidi"/>
      <w:color w:val="2F5496" w:themeColor="accent1" w:themeShade="BF"/>
      <w:sz w:val="32"/>
      <w:szCs w:val="32"/>
      <w:lang w:val="en-US"/>
    </w:rPr>
  </w:style>
  <w:style w:type="paragraph" w:styleId="Sidehoved">
    <w:name w:val="header"/>
    <w:basedOn w:val="Normal"/>
    <w:link w:val="SidehovedTegn"/>
    <w:uiPriority w:val="99"/>
    <w:unhideWhenUsed/>
    <w:rsid w:val="0074494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4494A"/>
    <w:rPr>
      <w:lang w:val="en-US"/>
    </w:rPr>
  </w:style>
  <w:style w:type="paragraph" w:styleId="Sidefod">
    <w:name w:val="footer"/>
    <w:basedOn w:val="Normal"/>
    <w:link w:val="SidefodTegn"/>
    <w:uiPriority w:val="99"/>
    <w:unhideWhenUsed/>
    <w:rsid w:val="0074494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4494A"/>
    <w:rPr>
      <w:lang w:val="en-US"/>
    </w:rPr>
  </w:style>
  <w:style w:type="character" w:styleId="Linjenummer">
    <w:name w:val="line number"/>
    <w:basedOn w:val="Standardskrifttypeiafsnit"/>
    <w:uiPriority w:val="99"/>
    <w:semiHidden/>
    <w:unhideWhenUsed/>
    <w:rsid w:val="00744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44625">
      <w:bodyDiv w:val="1"/>
      <w:marLeft w:val="0"/>
      <w:marRight w:val="0"/>
      <w:marTop w:val="0"/>
      <w:marBottom w:val="0"/>
      <w:divBdr>
        <w:top w:val="none" w:sz="0" w:space="0" w:color="auto"/>
        <w:left w:val="none" w:sz="0" w:space="0" w:color="auto"/>
        <w:bottom w:val="none" w:sz="0" w:space="0" w:color="auto"/>
        <w:right w:val="none" w:sz="0" w:space="0" w:color="auto"/>
      </w:divBdr>
    </w:div>
    <w:div w:id="73169898">
      <w:bodyDiv w:val="1"/>
      <w:marLeft w:val="0"/>
      <w:marRight w:val="0"/>
      <w:marTop w:val="0"/>
      <w:marBottom w:val="0"/>
      <w:divBdr>
        <w:top w:val="none" w:sz="0" w:space="0" w:color="auto"/>
        <w:left w:val="none" w:sz="0" w:space="0" w:color="auto"/>
        <w:bottom w:val="none" w:sz="0" w:space="0" w:color="auto"/>
        <w:right w:val="none" w:sz="0" w:space="0" w:color="auto"/>
      </w:divBdr>
    </w:div>
    <w:div w:id="108744696">
      <w:bodyDiv w:val="1"/>
      <w:marLeft w:val="0"/>
      <w:marRight w:val="0"/>
      <w:marTop w:val="0"/>
      <w:marBottom w:val="0"/>
      <w:divBdr>
        <w:top w:val="none" w:sz="0" w:space="0" w:color="auto"/>
        <w:left w:val="none" w:sz="0" w:space="0" w:color="auto"/>
        <w:bottom w:val="none" w:sz="0" w:space="0" w:color="auto"/>
        <w:right w:val="none" w:sz="0" w:space="0" w:color="auto"/>
      </w:divBdr>
    </w:div>
    <w:div w:id="120733835">
      <w:bodyDiv w:val="1"/>
      <w:marLeft w:val="0"/>
      <w:marRight w:val="0"/>
      <w:marTop w:val="0"/>
      <w:marBottom w:val="0"/>
      <w:divBdr>
        <w:top w:val="none" w:sz="0" w:space="0" w:color="auto"/>
        <w:left w:val="none" w:sz="0" w:space="0" w:color="auto"/>
        <w:bottom w:val="none" w:sz="0" w:space="0" w:color="auto"/>
        <w:right w:val="none" w:sz="0" w:space="0" w:color="auto"/>
      </w:divBdr>
    </w:div>
    <w:div w:id="277301484">
      <w:bodyDiv w:val="1"/>
      <w:marLeft w:val="0"/>
      <w:marRight w:val="0"/>
      <w:marTop w:val="0"/>
      <w:marBottom w:val="0"/>
      <w:divBdr>
        <w:top w:val="none" w:sz="0" w:space="0" w:color="auto"/>
        <w:left w:val="none" w:sz="0" w:space="0" w:color="auto"/>
        <w:bottom w:val="none" w:sz="0" w:space="0" w:color="auto"/>
        <w:right w:val="none" w:sz="0" w:space="0" w:color="auto"/>
      </w:divBdr>
    </w:div>
    <w:div w:id="296449951">
      <w:bodyDiv w:val="1"/>
      <w:marLeft w:val="0"/>
      <w:marRight w:val="0"/>
      <w:marTop w:val="0"/>
      <w:marBottom w:val="0"/>
      <w:divBdr>
        <w:top w:val="none" w:sz="0" w:space="0" w:color="auto"/>
        <w:left w:val="none" w:sz="0" w:space="0" w:color="auto"/>
        <w:bottom w:val="none" w:sz="0" w:space="0" w:color="auto"/>
        <w:right w:val="none" w:sz="0" w:space="0" w:color="auto"/>
      </w:divBdr>
    </w:div>
    <w:div w:id="365183955">
      <w:bodyDiv w:val="1"/>
      <w:marLeft w:val="0"/>
      <w:marRight w:val="0"/>
      <w:marTop w:val="0"/>
      <w:marBottom w:val="0"/>
      <w:divBdr>
        <w:top w:val="none" w:sz="0" w:space="0" w:color="auto"/>
        <w:left w:val="none" w:sz="0" w:space="0" w:color="auto"/>
        <w:bottom w:val="none" w:sz="0" w:space="0" w:color="auto"/>
        <w:right w:val="none" w:sz="0" w:space="0" w:color="auto"/>
      </w:divBdr>
    </w:div>
    <w:div w:id="621427052">
      <w:bodyDiv w:val="1"/>
      <w:marLeft w:val="0"/>
      <w:marRight w:val="0"/>
      <w:marTop w:val="0"/>
      <w:marBottom w:val="0"/>
      <w:divBdr>
        <w:top w:val="none" w:sz="0" w:space="0" w:color="auto"/>
        <w:left w:val="none" w:sz="0" w:space="0" w:color="auto"/>
        <w:bottom w:val="none" w:sz="0" w:space="0" w:color="auto"/>
        <w:right w:val="none" w:sz="0" w:space="0" w:color="auto"/>
      </w:divBdr>
    </w:div>
    <w:div w:id="649987292">
      <w:bodyDiv w:val="1"/>
      <w:marLeft w:val="0"/>
      <w:marRight w:val="0"/>
      <w:marTop w:val="0"/>
      <w:marBottom w:val="0"/>
      <w:divBdr>
        <w:top w:val="none" w:sz="0" w:space="0" w:color="auto"/>
        <w:left w:val="none" w:sz="0" w:space="0" w:color="auto"/>
        <w:bottom w:val="none" w:sz="0" w:space="0" w:color="auto"/>
        <w:right w:val="none" w:sz="0" w:space="0" w:color="auto"/>
      </w:divBdr>
    </w:div>
    <w:div w:id="816726394">
      <w:bodyDiv w:val="1"/>
      <w:marLeft w:val="0"/>
      <w:marRight w:val="0"/>
      <w:marTop w:val="0"/>
      <w:marBottom w:val="0"/>
      <w:divBdr>
        <w:top w:val="none" w:sz="0" w:space="0" w:color="auto"/>
        <w:left w:val="none" w:sz="0" w:space="0" w:color="auto"/>
        <w:bottom w:val="none" w:sz="0" w:space="0" w:color="auto"/>
        <w:right w:val="none" w:sz="0" w:space="0" w:color="auto"/>
      </w:divBdr>
    </w:div>
    <w:div w:id="828982017">
      <w:bodyDiv w:val="1"/>
      <w:marLeft w:val="0"/>
      <w:marRight w:val="0"/>
      <w:marTop w:val="0"/>
      <w:marBottom w:val="0"/>
      <w:divBdr>
        <w:top w:val="none" w:sz="0" w:space="0" w:color="auto"/>
        <w:left w:val="none" w:sz="0" w:space="0" w:color="auto"/>
        <w:bottom w:val="none" w:sz="0" w:space="0" w:color="auto"/>
        <w:right w:val="none" w:sz="0" w:space="0" w:color="auto"/>
      </w:divBdr>
    </w:div>
    <w:div w:id="1077631948">
      <w:bodyDiv w:val="1"/>
      <w:marLeft w:val="0"/>
      <w:marRight w:val="0"/>
      <w:marTop w:val="0"/>
      <w:marBottom w:val="0"/>
      <w:divBdr>
        <w:top w:val="none" w:sz="0" w:space="0" w:color="auto"/>
        <w:left w:val="none" w:sz="0" w:space="0" w:color="auto"/>
        <w:bottom w:val="none" w:sz="0" w:space="0" w:color="auto"/>
        <w:right w:val="none" w:sz="0" w:space="0" w:color="auto"/>
      </w:divBdr>
    </w:div>
    <w:div w:id="1095907455">
      <w:bodyDiv w:val="1"/>
      <w:marLeft w:val="0"/>
      <w:marRight w:val="0"/>
      <w:marTop w:val="0"/>
      <w:marBottom w:val="0"/>
      <w:divBdr>
        <w:top w:val="none" w:sz="0" w:space="0" w:color="auto"/>
        <w:left w:val="none" w:sz="0" w:space="0" w:color="auto"/>
        <w:bottom w:val="none" w:sz="0" w:space="0" w:color="auto"/>
        <w:right w:val="none" w:sz="0" w:space="0" w:color="auto"/>
      </w:divBdr>
    </w:div>
    <w:div w:id="1130247294">
      <w:bodyDiv w:val="1"/>
      <w:marLeft w:val="0"/>
      <w:marRight w:val="0"/>
      <w:marTop w:val="0"/>
      <w:marBottom w:val="0"/>
      <w:divBdr>
        <w:top w:val="none" w:sz="0" w:space="0" w:color="auto"/>
        <w:left w:val="none" w:sz="0" w:space="0" w:color="auto"/>
        <w:bottom w:val="none" w:sz="0" w:space="0" w:color="auto"/>
        <w:right w:val="none" w:sz="0" w:space="0" w:color="auto"/>
      </w:divBdr>
    </w:div>
    <w:div w:id="1222785550">
      <w:bodyDiv w:val="1"/>
      <w:marLeft w:val="0"/>
      <w:marRight w:val="0"/>
      <w:marTop w:val="0"/>
      <w:marBottom w:val="0"/>
      <w:divBdr>
        <w:top w:val="none" w:sz="0" w:space="0" w:color="auto"/>
        <w:left w:val="none" w:sz="0" w:space="0" w:color="auto"/>
        <w:bottom w:val="none" w:sz="0" w:space="0" w:color="auto"/>
        <w:right w:val="none" w:sz="0" w:space="0" w:color="auto"/>
      </w:divBdr>
    </w:div>
    <w:div w:id="1260066088">
      <w:bodyDiv w:val="1"/>
      <w:marLeft w:val="0"/>
      <w:marRight w:val="0"/>
      <w:marTop w:val="0"/>
      <w:marBottom w:val="0"/>
      <w:divBdr>
        <w:top w:val="none" w:sz="0" w:space="0" w:color="auto"/>
        <w:left w:val="none" w:sz="0" w:space="0" w:color="auto"/>
        <w:bottom w:val="none" w:sz="0" w:space="0" w:color="auto"/>
        <w:right w:val="none" w:sz="0" w:space="0" w:color="auto"/>
      </w:divBdr>
    </w:div>
    <w:div w:id="1274093103">
      <w:bodyDiv w:val="1"/>
      <w:marLeft w:val="0"/>
      <w:marRight w:val="0"/>
      <w:marTop w:val="0"/>
      <w:marBottom w:val="0"/>
      <w:divBdr>
        <w:top w:val="none" w:sz="0" w:space="0" w:color="auto"/>
        <w:left w:val="none" w:sz="0" w:space="0" w:color="auto"/>
        <w:bottom w:val="none" w:sz="0" w:space="0" w:color="auto"/>
        <w:right w:val="none" w:sz="0" w:space="0" w:color="auto"/>
      </w:divBdr>
    </w:div>
    <w:div w:id="1607495005">
      <w:bodyDiv w:val="1"/>
      <w:marLeft w:val="0"/>
      <w:marRight w:val="0"/>
      <w:marTop w:val="0"/>
      <w:marBottom w:val="0"/>
      <w:divBdr>
        <w:top w:val="none" w:sz="0" w:space="0" w:color="auto"/>
        <w:left w:val="none" w:sz="0" w:space="0" w:color="auto"/>
        <w:bottom w:val="none" w:sz="0" w:space="0" w:color="auto"/>
        <w:right w:val="none" w:sz="0" w:space="0" w:color="auto"/>
      </w:divBdr>
    </w:div>
    <w:div w:id="1710913853">
      <w:bodyDiv w:val="1"/>
      <w:marLeft w:val="0"/>
      <w:marRight w:val="0"/>
      <w:marTop w:val="0"/>
      <w:marBottom w:val="0"/>
      <w:divBdr>
        <w:top w:val="none" w:sz="0" w:space="0" w:color="auto"/>
        <w:left w:val="none" w:sz="0" w:space="0" w:color="auto"/>
        <w:bottom w:val="none" w:sz="0" w:space="0" w:color="auto"/>
        <w:right w:val="none" w:sz="0" w:space="0" w:color="auto"/>
      </w:divBdr>
    </w:div>
    <w:div w:id="1790197813">
      <w:bodyDiv w:val="1"/>
      <w:marLeft w:val="0"/>
      <w:marRight w:val="0"/>
      <w:marTop w:val="0"/>
      <w:marBottom w:val="0"/>
      <w:divBdr>
        <w:top w:val="none" w:sz="0" w:space="0" w:color="auto"/>
        <w:left w:val="none" w:sz="0" w:space="0" w:color="auto"/>
        <w:bottom w:val="none" w:sz="0" w:space="0" w:color="auto"/>
        <w:right w:val="none" w:sz="0" w:space="0" w:color="auto"/>
      </w:divBdr>
    </w:div>
    <w:div w:id="1889148224">
      <w:bodyDiv w:val="1"/>
      <w:marLeft w:val="0"/>
      <w:marRight w:val="0"/>
      <w:marTop w:val="0"/>
      <w:marBottom w:val="0"/>
      <w:divBdr>
        <w:top w:val="none" w:sz="0" w:space="0" w:color="auto"/>
        <w:left w:val="none" w:sz="0" w:space="0" w:color="auto"/>
        <w:bottom w:val="none" w:sz="0" w:space="0" w:color="auto"/>
        <w:right w:val="none" w:sz="0" w:space="0" w:color="auto"/>
      </w:divBdr>
    </w:div>
    <w:div w:id="202423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2547C-AB98-4EAF-BF9C-E4992D6F9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2283</Words>
  <Characters>13933</Characters>
  <Application>Microsoft Office Word</Application>
  <DocSecurity>0</DocSecurity>
  <Lines>116</Lines>
  <Paragraphs>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Region Hovedstaden</Company>
  <LinksUpToDate>false</LinksUpToDate>
  <CharactersWithSpaces>16184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Lasse Fjordside</dc:creator>
  <cp:keywords/>
  <dc:description/>
  <cp:lastModifiedBy>Lasse Fjordside</cp:lastModifiedBy>
  <cp:revision>2</cp:revision>
  <dcterms:created xsi:type="dcterms:W3CDTF">2024-01-25T21:35:00Z</dcterms:created>
  <dcterms:modified xsi:type="dcterms:W3CDTF">2024-01-25T21:35:00Z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eccd00d9-6be9-3e50-adce-a66dede13d4a</vt:lpwstr>
  </property>
  <property fmtid="{D5CDD505-2E9C-101B-9397-08002B2CF9AE}" pid="24" name="Mendeley Citation Style_1">
    <vt:lpwstr>http://www.zotero.org/styles/national-library-of-medicine</vt:lpwstr>
  </property>
</Properties>
</file>