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F30" w:rsidRDefault="00EB7F30" w:rsidP="00EB7F30">
      <w:pPr>
        <w:rPr>
          <w:b/>
          <w:sz w:val="22"/>
          <w:szCs w:val="22"/>
          <w:lang w:val="en-CA"/>
        </w:rPr>
      </w:pPr>
    </w:p>
    <w:p w:rsidR="00EB7F30" w:rsidRDefault="00EB7F30" w:rsidP="00EB7F30">
      <w:pPr>
        <w:rPr>
          <w:b/>
          <w:sz w:val="22"/>
          <w:szCs w:val="22"/>
          <w:lang w:val="en-CA"/>
        </w:rPr>
      </w:pPr>
    </w:p>
    <w:p w:rsidR="00EB7F30" w:rsidRPr="00BA4FF7" w:rsidRDefault="00EB7F30" w:rsidP="00EB7F30">
      <w:pPr>
        <w:rPr>
          <w:b/>
          <w:sz w:val="22"/>
          <w:szCs w:val="22"/>
          <w:lang w:val="en-CA"/>
        </w:rPr>
      </w:pPr>
      <w:r w:rsidRPr="00BA4FF7">
        <w:rPr>
          <w:b/>
          <w:sz w:val="22"/>
          <w:szCs w:val="22"/>
          <w:lang w:val="en-CA"/>
        </w:rPr>
        <w:t xml:space="preserve">Table 1. </w:t>
      </w:r>
      <w:r w:rsidRPr="00BA4FF7">
        <w:rPr>
          <w:bCs/>
          <w:sz w:val="22"/>
          <w:szCs w:val="22"/>
          <w:lang w:val="en-CA"/>
        </w:rPr>
        <w:t>Demographic and clinical characteristics of deceased patients during follow-up.</w:t>
      </w:r>
    </w:p>
    <w:tbl>
      <w:tblPr>
        <w:tblStyle w:val="Tablaconcuadrcula"/>
        <w:tblW w:w="12595" w:type="dxa"/>
        <w:tblLayout w:type="fixed"/>
        <w:tblLook w:val="04A0" w:firstRow="1" w:lastRow="0" w:firstColumn="1" w:lastColumn="0" w:noHBand="0" w:noVBand="1"/>
      </w:tblPr>
      <w:tblGrid>
        <w:gridCol w:w="988"/>
        <w:gridCol w:w="567"/>
        <w:gridCol w:w="948"/>
        <w:gridCol w:w="1621"/>
        <w:gridCol w:w="914"/>
        <w:gridCol w:w="1169"/>
        <w:gridCol w:w="1443"/>
        <w:gridCol w:w="1082"/>
        <w:gridCol w:w="3863"/>
      </w:tblGrid>
      <w:tr w:rsidR="00982EC1" w:rsidRPr="00AE0897" w:rsidTr="00982EC1">
        <w:trPr>
          <w:trHeight w:val="376"/>
        </w:trPr>
        <w:tc>
          <w:tcPr>
            <w:tcW w:w="988" w:type="dxa"/>
            <w:noWrap/>
            <w:vAlign w:val="center"/>
            <w:hideMark/>
          </w:tcPr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Patients</w:t>
            </w:r>
          </w:p>
        </w:tc>
        <w:tc>
          <w:tcPr>
            <w:tcW w:w="567" w:type="dxa"/>
            <w:noWrap/>
            <w:vAlign w:val="center"/>
            <w:hideMark/>
          </w:tcPr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Sex</w:t>
            </w:r>
          </w:p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(M/F)</w:t>
            </w:r>
          </w:p>
        </w:tc>
        <w:tc>
          <w:tcPr>
            <w:tcW w:w="948" w:type="dxa"/>
            <w:noWrap/>
            <w:vAlign w:val="center"/>
            <w:hideMark/>
          </w:tcPr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Tumor</w:t>
            </w:r>
          </w:p>
        </w:tc>
        <w:tc>
          <w:tcPr>
            <w:tcW w:w="1621" w:type="dxa"/>
            <w:noWrap/>
            <w:vAlign w:val="center"/>
            <w:hideMark/>
          </w:tcPr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Clinical syndrome at onset</w:t>
            </w:r>
          </w:p>
        </w:tc>
        <w:tc>
          <w:tcPr>
            <w:tcW w:w="914" w:type="dxa"/>
            <w:noWrap/>
            <w:vAlign w:val="center"/>
            <w:hideMark/>
          </w:tcPr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mRS</w:t>
            </w:r>
          </w:p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at presentation</w:t>
            </w:r>
          </w:p>
        </w:tc>
        <w:tc>
          <w:tcPr>
            <w:tcW w:w="1169" w:type="dxa"/>
            <w:noWrap/>
            <w:vAlign w:val="center"/>
            <w:hideMark/>
          </w:tcPr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ICU admission</w:t>
            </w:r>
          </w:p>
        </w:tc>
        <w:tc>
          <w:tcPr>
            <w:tcW w:w="1443" w:type="dxa"/>
            <w:noWrap/>
            <w:vAlign w:val="center"/>
            <w:hideMark/>
          </w:tcPr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Long-term treatments</w:t>
            </w:r>
          </w:p>
        </w:tc>
        <w:tc>
          <w:tcPr>
            <w:tcW w:w="1082" w:type="dxa"/>
            <w:noWrap/>
            <w:vAlign w:val="center"/>
            <w:hideMark/>
          </w:tcPr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Follow-up (months)</w:t>
            </w:r>
          </w:p>
        </w:tc>
        <w:tc>
          <w:tcPr>
            <w:tcW w:w="3863" w:type="dxa"/>
            <w:noWrap/>
            <w:vAlign w:val="center"/>
            <w:hideMark/>
          </w:tcPr>
          <w:p w:rsidR="00982EC1" w:rsidRPr="00AE0897" w:rsidRDefault="00982EC1" w:rsidP="00603200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Cause of death</w:t>
            </w:r>
          </w:p>
        </w:tc>
      </w:tr>
      <w:tr w:rsidR="00982EC1" w:rsidRPr="00982EC1" w:rsidTr="00982EC1">
        <w:trPr>
          <w:trHeight w:val="318"/>
        </w:trPr>
        <w:tc>
          <w:tcPr>
            <w:tcW w:w="988" w:type="dxa"/>
            <w:vMerge w:val="restart"/>
            <w:noWrap/>
            <w:hideMark/>
          </w:tcPr>
          <w:p w:rsidR="00982EC1" w:rsidRPr="00AE0897" w:rsidRDefault="00982EC1" w:rsidP="00603200">
            <w:pPr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No. 1</w:t>
            </w:r>
          </w:p>
        </w:tc>
        <w:tc>
          <w:tcPr>
            <w:tcW w:w="567" w:type="dxa"/>
            <w:vMerge w:val="restart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M</w:t>
            </w:r>
          </w:p>
        </w:tc>
        <w:tc>
          <w:tcPr>
            <w:tcW w:w="948" w:type="dxa"/>
            <w:vMerge w:val="restart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Renal carcinoma</w:t>
            </w:r>
          </w:p>
        </w:tc>
        <w:tc>
          <w:tcPr>
            <w:tcW w:w="1621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1.Meningoencephalitis</w:t>
            </w:r>
          </w:p>
        </w:tc>
        <w:tc>
          <w:tcPr>
            <w:tcW w:w="914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5</w:t>
            </w:r>
          </w:p>
        </w:tc>
        <w:tc>
          <w:tcPr>
            <w:tcW w:w="1169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No</w:t>
            </w:r>
          </w:p>
        </w:tc>
        <w:tc>
          <w:tcPr>
            <w:tcW w:w="1443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OCS taper</w:t>
            </w:r>
          </w:p>
        </w:tc>
        <w:tc>
          <w:tcPr>
            <w:tcW w:w="1082" w:type="dxa"/>
            <w:vMerge w:val="restart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15</w:t>
            </w:r>
          </w:p>
        </w:tc>
        <w:tc>
          <w:tcPr>
            <w:tcW w:w="3863" w:type="dxa"/>
            <w:vMerge w:val="restart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Status epilepticus and respiratory complications secondary to brain metastasis</w:t>
            </w:r>
          </w:p>
        </w:tc>
      </w:tr>
      <w:tr w:rsidR="00982EC1" w:rsidRPr="00AE0897" w:rsidTr="00982EC1">
        <w:trPr>
          <w:trHeight w:val="318"/>
        </w:trPr>
        <w:tc>
          <w:tcPr>
            <w:tcW w:w="988" w:type="dxa"/>
            <w:vMerge/>
            <w:noWrap/>
          </w:tcPr>
          <w:p w:rsidR="00982EC1" w:rsidRPr="00AE0897" w:rsidRDefault="00982EC1" w:rsidP="00603200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  <w:vMerge/>
            <w:noWrap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948" w:type="dxa"/>
            <w:vMerge/>
            <w:noWrap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1621" w:type="dxa"/>
            <w:noWrap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 xml:space="preserve">2. Meningoencephalitis </w:t>
            </w:r>
          </w:p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(4 months later)</w:t>
            </w:r>
          </w:p>
        </w:tc>
        <w:tc>
          <w:tcPr>
            <w:tcW w:w="914" w:type="dxa"/>
            <w:noWrap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5</w:t>
            </w:r>
          </w:p>
        </w:tc>
        <w:tc>
          <w:tcPr>
            <w:tcW w:w="1169" w:type="dxa"/>
            <w:noWrap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No</w:t>
            </w:r>
          </w:p>
        </w:tc>
        <w:tc>
          <w:tcPr>
            <w:tcW w:w="1443" w:type="dxa"/>
            <w:noWrap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OCS</w:t>
            </w:r>
          </w:p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Chemotherapy</w:t>
            </w:r>
          </w:p>
        </w:tc>
        <w:tc>
          <w:tcPr>
            <w:tcW w:w="1082" w:type="dxa"/>
            <w:vMerge/>
            <w:noWrap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3863" w:type="dxa"/>
            <w:vMerge/>
            <w:noWrap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</w:p>
        </w:tc>
      </w:tr>
      <w:tr w:rsidR="00982EC1" w:rsidRPr="00982EC1" w:rsidTr="00982EC1">
        <w:trPr>
          <w:trHeight w:val="376"/>
        </w:trPr>
        <w:tc>
          <w:tcPr>
            <w:tcW w:w="988" w:type="dxa"/>
            <w:noWrap/>
            <w:hideMark/>
          </w:tcPr>
          <w:p w:rsidR="00982EC1" w:rsidRPr="00AE0897" w:rsidRDefault="00982EC1" w:rsidP="00603200">
            <w:pPr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No. 2</w:t>
            </w:r>
          </w:p>
        </w:tc>
        <w:tc>
          <w:tcPr>
            <w:tcW w:w="567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F</w:t>
            </w:r>
          </w:p>
        </w:tc>
        <w:tc>
          <w:tcPr>
            <w:tcW w:w="948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No</w:t>
            </w:r>
          </w:p>
        </w:tc>
        <w:tc>
          <w:tcPr>
            <w:tcW w:w="1621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Meningo-encephalo-myelitis</w:t>
            </w:r>
          </w:p>
        </w:tc>
        <w:tc>
          <w:tcPr>
            <w:tcW w:w="914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5</w:t>
            </w:r>
          </w:p>
        </w:tc>
        <w:tc>
          <w:tcPr>
            <w:tcW w:w="1169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Yes, with intubation</w:t>
            </w:r>
          </w:p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1443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OCS</w:t>
            </w:r>
          </w:p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Rituximab</w:t>
            </w:r>
          </w:p>
        </w:tc>
        <w:tc>
          <w:tcPr>
            <w:tcW w:w="1082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15</w:t>
            </w:r>
          </w:p>
        </w:tc>
        <w:tc>
          <w:tcPr>
            <w:tcW w:w="3863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Progressive leukopathy and aspiration pneumonia</w:t>
            </w:r>
          </w:p>
        </w:tc>
      </w:tr>
      <w:tr w:rsidR="00982EC1" w:rsidRPr="00982EC1" w:rsidTr="00982EC1">
        <w:trPr>
          <w:trHeight w:val="376"/>
        </w:trPr>
        <w:tc>
          <w:tcPr>
            <w:tcW w:w="988" w:type="dxa"/>
            <w:noWrap/>
            <w:hideMark/>
          </w:tcPr>
          <w:p w:rsidR="00982EC1" w:rsidRPr="00AE0897" w:rsidRDefault="00982EC1" w:rsidP="00603200">
            <w:pPr>
              <w:rPr>
                <w:b/>
                <w:sz w:val="20"/>
                <w:szCs w:val="20"/>
                <w:lang w:val="en-CA"/>
              </w:rPr>
            </w:pPr>
            <w:r w:rsidRPr="00AE0897">
              <w:rPr>
                <w:b/>
                <w:sz w:val="20"/>
                <w:szCs w:val="20"/>
                <w:lang w:val="en-CA"/>
              </w:rPr>
              <w:t>No. 3</w:t>
            </w:r>
          </w:p>
        </w:tc>
        <w:tc>
          <w:tcPr>
            <w:tcW w:w="567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M</w:t>
            </w:r>
          </w:p>
        </w:tc>
        <w:tc>
          <w:tcPr>
            <w:tcW w:w="948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No</w:t>
            </w:r>
          </w:p>
        </w:tc>
        <w:tc>
          <w:tcPr>
            <w:tcW w:w="1621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Meningoencephalitis</w:t>
            </w:r>
          </w:p>
        </w:tc>
        <w:tc>
          <w:tcPr>
            <w:tcW w:w="914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6</w:t>
            </w:r>
          </w:p>
        </w:tc>
        <w:tc>
          <w:tcPr>
            <w:tcW w:w="1169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Yes, with intubation</w:t>
            </w:r>
          </w:p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1443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No</w:t>
            </w:r>
          </w:p>
        </w:tc>
        <w:tc>
          <w:tcPr>
            <w:tcW w:w="1082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2</w:t>
            </w:r>
          </w:p>
        </w:tc>
        <w:tc>
          <w:tcPr>
            <w:tcW w:w="3863" w:type="dxa"/>
            <w:noWrap/>
            <w:hideMark/>
          </w:tcPr>
          <w:p w:rsidR="00982EC1" w:rsidRPr="00AE0897" w:rsidRDefault="00982EC1" w:rsidP="00603200">
            <w:pPr>
              <w:rPr>
                <w:sz w:val="20"/>
                <w:szCs w:val="20"/>
                <w:lang w:val="en-CA"/>
              </w:rPr>
            </w:pPr>
            <w:r w:rsidRPr="00AE0897">
              <w:rPr>
                <w:sz w:val="20"/>
                <w:szCs w:val="20"/>
                <w:lang w:val="en-CA"/>
              </w:rPr>
              <w:t>Refractory status epilepticus and intracranial hypertension</w:t>
            </w:r>
          </w:p>
        </w:tc>
      </w:tr>
    </w:tbl>
    <w:p w:rsidR="00BD60DF" w:rsidRPr="00EB7F30" w:rsidRDefault="00EB7F30" w:rsidP="00BD60DF">
      <w:pPr>
        <w:rPr>
          <w:iCs/>
          <w:sz w:val="16"/>
          <w:szCs w:val="16"/>
          <w:lang w:val="en-CA"/>
        </w:rPr>
      </w:pPr>
      <w:r w:rsidRPr="00B25BBE">
        <w:rPr>
          <w:iCs/>
          <w:sz w:val="16"/>
          <w:szCs w:val="16"/>
          <w:lang w:val="en-CA"/>
        </w:rPr>
        <w:t>F: female, ICU: intensive care unit,</w:t>
      </w:r>
      <w:bookmarkStart w:id="0" w:name="_GoBack"/>
      <w:bookmarkEnd w:id="0"/>
      <w:r w:rsidRPr="00B25BBE">
        <w:rPr>
          <w:iCs/>
          <w:sz w:val="16"/>
          <w:szCs w:val="16"/>
          <w:lang w:val="en-CA"/>
        </w:rPr>
        <w:t xml:space="preserve"> M: male, mRS: modified Rankin scale, OCS: oral corticosteroids.</w:t>
      </w:r>
    </w:p>
    <w:sectPr w:rsidR="00BD60DF" w:rsidRPr="00EB7F30" w:rsidSect="00EB7F30">
      <w:pgSz w:w="15840" w:h="12240" w:orient="landscape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DF"/>
    <w:rsid w:val="002B6A7D"/>
    <w:rsid w:val="00982EC1"/>
    <w:rsid w:val="00AE3ED6"/>
    <w:rsid w:val="00B778E6"/>
    <w:rsid w:val="00BD60DF"/>
    <w:rsid w:val="00E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066B"/>
  <w15:chartTrackingRefBased/>
  <w15:docId w15:val="{634DD624-797C-8540-B601-F122E261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B7F30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60DF"/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674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Arzalluz Luque</dc:creator>
  <cp:keywords/>
  <dc:description/>
  <cp:lastModifiedBy>Joaquín Arzalluz Luque</cp:lastModifiedBy>
  <cp:revision>4</cp:revision>
  <dcterms:created xsi:type="dcterms:W3CDTF">2024-07-16T16:11:00Z</dcterms:created>
  <dcterms:modified xsi:type="dcterms:W3CDTF">2025-02-05T17:39:00Z</dcterms:modified>
</cp:coreProperties>
</file>