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91550" w:rsidRPr="006447E6" w:rsidRDefault="00D424E6">
      <w:pPr>
        <w:rPr>
          <w:sz w:val="22"/>
          <w:szCs w:val="22"/>
        </w:rPr>
      </w:pPr>
      <w:r w:rsidRPr="006447E6">
        <w:rPr>
          <w:rFonts w:ascii="Times New Roman" w:hAnsi="Times New Roman" w:cs="Times New Roman"/>
          <w:b/>
          <w:bCs/>
          <w:sz w:val="22"/>
          <w:szCs w:val="22"/>
        </w:rPr>
        <w:t>Supplementary Table1. ACMG/AMP evidence-based classification and supporting data for GAN variants identified in this study</w:t>
      </w:r>
    </w:p>
    <w:p w:rsidR="00D424E6" w:rsidRDefault="00821EA6">
      <w:r>
        <w:rPr>
          <w:noProof/>
        </w:rPr>
        <w:object w:dxaOrig="31000" w:dyaOrig="13600" w14:anchorId="05EDECB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635.25pt;height:278.9pt;mso-width-percent:0;mso-height-percent:0;mso-width-percent:0;mso-height-percent:0" o:ole="">
            <v:imagedata r:id="rId4" o:title=""/>
          </v:shape>
          <o:OLEObject Type="Embed" ProgID="Excel.Sheet.12" ShapeID="_x0000_i1025" DrawAspect="Content" ObjectID="_1812749600" r:id="rId5"/>
        </w:object>
      </w:r>
    </w:p>
    <w:p w:rsidR="00D424E6" w:rsidRPr="00D424E6" w:rsidRDefault="00D424E6" w:rsidP="00D424E6">
      <w:pPr>
        <w:rPr>
          <w:rFonts w:ascii="Times New Roman" w:hAnsi="Times New Roman" w:cs="Times New Roman"/>
          <w:sz w:val="20"/>
          <w:szCs w:val="20"/>
        </w:rPr>
      </w:pPr>
      <w:r w:rsidRPr="00D424E6">
        <w:rPr>
          <w:rFonts w:ascii="Times New Roman" w:hAnsi="Times New Roman" w:cs="Times New Roman"/>
          <w:sz w:val="20"/>
          <w:szCs w:val="20"/>
        </w:rPr>
        <w:t xml:space="preserve">(1) Abou </w:t>
      </w:r>
      <w:proofErr w:type="spellStart"/>
      <w:r w:rsidRPr="00D424E6">
        <w:rPr>
          <w:rFonts w:ascii="Times New Roman" w:hAnsi="Times New Roman" w:cs="Times New Roman"/>
          <w:sz w:val="20"/>
          <w:szCs w:val="20"/>
        </w:rPr>
        <w:t>Tayoun</w:t>
      </w:r>
      <w:proofErr w:type="spellEnd"/>
      <w:r w:rsidRPr="00D424E6">
        <w:rPr>
          <w:rFonts w:ascii="Times New Roman" w:hAnsi="Times New Roman" w:cs="Times New Roman"/>
          <w:sz w:val="20"/>
          <w:szCs w:val="20"/>
        </w:rPr>
        <w:t xml:space="preserve"> AN, </w:t>
      </w:r>
      <w:proofErr w:type="spellStart"/>
      <w:r w:rsidRPr="00D424E6">
        <w:rPr>
          <w:rFonts w:ascii="Times New Roman" w:hAnsi="Times New Roman" w:cs="Times New Roman"/>
          <w:sz w:val="20"/>
          <w:szCs w:val="20"/>
        </w:rPr>
        <w:t>Pesaran</w:t>
      </w:r>
      <w:proofErr w:type="spellEnd"/>
      <w:r w:rsidRPr="00D424E6">
        <w:rPr>
          <w:rFonts w:ascii="Times New Roman" w:hAnsi="Times New Roman" w:cs="Times New Roman"/>
          <w:sz w:val="20"/>
          <w:szCs w:val="20"/>
        </w:rPr>
        <w:t xml:space="preserve"> T, DiStefano MT, et al. Recommendations for interpreting the loss of function PVS1 ACMG/AMP variant criterion. Hum </w:t>
      </w:r>
      <w:proofErr w:type="spellStart"/>
      <w:r w:rsidRPr="00D424E6">
        <w:rPr>
          <w:rFonts w:ascii="Times New Roman" w:hAnsi="Times New Roman" w:cs="Times New Roman"/>
          <w:sz w:val="20"/>
          <w:szCs w:val="20"/>
        </w:rPr>
        <w:t>Mutat</w:t>
      </w:r>
      <w:proofErr w:type="spellEnd"/>
      <w:r w:rsidRPr="00D424E6">
        <w:rPr>
          <w:rFonts w:ascii="Times New Roman" w:hAnsi="Times New Roman" w:cs="Times New Roman"/>
          <w:sz w:val="20"/>
          <w:szCs w:val="20"/>
        </w:rPr>
        <w:t>. 2018;39(11):1517-1524. doi:10.1002/humu.23626</w:t>
      </w:r>
    </w:p>
    <w:p w:rsidR="00D424E6" w:rsidRPr="00D424E6" w:rsidRDefault="00D424E6" w:rsidP="00D424E6">
      <w:pPr>
        <w:rPr>
          <w:rFonts w:ascii="Times New Roman" w:hAnsi="Times New Roman" w:cs="Times New Roman"/>
          <w:sz w:val="20"/>
          <w:szCs w:val="20"/>
        </w:rPr>
      </w:pPr>
      <w:r w:rsidRPr="00D424E6">
        <w:rPr>
          <w:rFonts w:ascii="Times New Roman" w:hAnsi="Times New Roman" w:cs="Times New Roman"/>
          <w:sz w:val="20"/>
          <w:szCs w:val="20"/>
        </w:rPr>
        <w:t xml:space="preserve">(2) </w:t>
      </w:r>
      <w:proofErr w:type="spellStart"/>
      <w:r w:rsidRPr="00D424E6">
        <w:rPr>
          <w:rFonts w:ascii="Times New Roman" w:hAnsi="Times New Roman" w:cs="Times New Roman"/>
          <w:sz w:val="20"/>
          <w:szCs w:val="20"/>
        </w:rPr>
        <w:t>Karczewski</w:t>
      </w:r>
      <w:proofErr w:type="spellEnd"/>
      <w:r w:rsidRPr="00D424E6">
        <w:rPr>
          <w:rFonts w:ascii="Times New Roman" w:hAnsi="Times New Roman" w:cs="Times New Roman"/>
          <w:sz w:val="20"/>
          <w:szCs w:val="20"/>
        </w:rPr>
        <w:t xml:space="preserve"> KJ, </w:t>
      </w:r>
      <w:proofErr w:type="spellStart"/>
      <w:r w:rsidRPr="00D424E6">
        <w:rPr>
          <w:rFonts w:ascii="Times New Roman" w:hAnsi="Times New Roman" w:cs="Times New Roman"/>
          <w:sz w:val="20"/>
          <w:szCs w:val="20"/>
        </w:rPr>
        <w:t>Francioli</w:t>
      </w:r>
      <w:proofErr w:type="spellEnd"/>
      <w:r w:rsidRPr="00D424E6">
        <w:rPr>
          <w:rFonts w:ascii="Times New Roman" w:hAnsi="Times New Roman" w:cs="Times New Roman"/>
          <w:sz w:val="20"/>
          <w:szCs w:val="20"/>
        </w:rPr>
        <w:t xml:space="preserve"> LC, Tiao G, et al. The mutational constraint spectrum quantified from variation in 141,456 humans. Nature. 2020;581(7809):434-443. doi:10.1038/s41586-020-2308-7</w:t>
      </w:r>
    </w:p>
    <w:p w:rsidR="00D424E6" w:rsidRPr="00D424E6" w:rsidRDefault="00D424E6" w:rsidP="00D424E6">
      <w:pPr>
        <w:rPr>
          <w:rFonts w:ascii="Times New Roman" w:hAnsi="Times New Roman" w:cs="Times New Roman"/>
          <w:sz w:val="20"/>
          <w:szCs w:val="20"/>
        </w:rPr>
      </w:pPr>
      <w:r w:rsidRPr="00D424E6">
        <w:rPr>
          <w:rFonts w:ascii="Times New Roman" w:hAnsi="Times New Roman" w:cs="Times New Roman"/>
          <w:sz w:val="20"/>
          <w:szCs w:val="20"/>
        </w:rPr>
        <w:t xml:space="preserve">(3) </w:t>
      </w:r>
      <w:proofErr w:type="spellStart"/>
      <w:r w:rsidRPr="00D424E6">
        <w:rPr>
          <w:rFonts w:ascii="Times New Roman" w:hAnsi="Times New Roman" w:cs="Times New Roman"/>
          <w:sz w:val="20"/>
          <w:szCs w:val="20"/>
        </w:rPr>
        <w:t>Tadaka</w:t>
      </w:r>
      <w:proofErr w:type="spellEnd"/>
      <w:r w:rsidRPr="00D424E6">
        <w:rPr>
          <w:rFonts w:ascii="Times New Roman" w:hAnsi="Times New Roman" w:cs="Times New Roman"/>
          <w:sz w:val="20"/>
          <w:szCs w:val="20"/>
        </w:rPr>
        <w:t xml:space="preserve"> S, Kawashima J, </w:t>
      </w:r>
      <w:proofErr w:type="spellStart"/>
      <w:r w:rsidRPr="00D424E6">
        <w:rPr>
          <w:rFonts w:ascii="Times New Roman" w:hAnsi="Times New Roman" w:cs="Times New Roman"/>
          <w:sz w:val="20"/>
          <w:szCs w:val="20"/>
        </w:rPr>
        <w:t>Hishinuma</w:t>
      </w:r>
      <w:proofErr w:type="spellEnd"/>
      <w:r w:rsidRPr="00D424E6">
        <w:rPr>
          <w:rFonts w:ascii="Times New Roman" w:hAnsi="Times New Roman" w:cs="Times New Roman"/>
          <w:sz w:val="20"/>
          <w:szCs w:val="20"/>
        </w:rPr>
        <w:t xml:space="preserve"> E, et al. </w:t>
      </w:r>
      <w:proofErr w:type="spellStart"/>
      <w:r w:rsidRPr="00D424E6">
        <w:rPr>
          <w:rFonts w:ascii="Times New Roman" w:hAnsi="Times New Roman" w:cs="Times New Roman"/>
          <w:sz w:val="20"/>
          <w:szCs w:val="20"/>
        </w:rPr>
        <w:t>jMorp</w:t>
      </w:r>
      <w:proofErr w:type="spellEnd"/>
      <w:r w:rsidRPr="00D424E6">
        <w:rPr>
          <w:rFonts w:ascii="Times New Roman" w:hAnsi="Times New Roman" w:cs="Times New Roman"/>
          <w:sz w:val="20"/>
          <w:szCs w:val="20"/>
        </w:rPr>
        <w:t>: Japanese Multi-Omics Reference Panel update report 2023. Nucleic Acids Res. 2024;52(D1</w:t>
      </w:r>
      <w:proofErr w:type="gramStart"/>
      <w:r w:rsidRPr="00D424E6">
        <w:rPr>
          <w:rFonts w:ascii="Times New Roman" w:hAnsi="Times New Roman" w:cs="Times New Roman"/>
          <w:sz w:val="20"/>
          <w:szCs w:val="20"/>
        </w:rPr>
        <w:t>):D</w:t>
      </w:r>
      <w:proofErr w:type="gramEnd"/>
      <w:r w:rsidRPr="00D424E6">
        <w:rPr>
          <w:rFonts w:ascii="Times New Roman" w:hAnsi="Times New Roman" w:cs="Times New Roman"/>
          <w:sz w:val="20"/>
          <w:szCs w:val="20"/>
        </w:rPr>
        <w:t>622-D632. doi:10.1093/</w:t>
      </w:r>
      <w:proofErr w:type="spellStart"/>
      <w:r w:rsidRPr="00D424E6">
        <w:rPr>
          <w:rFonts w:ascii="Times New Roman" w:hAnsi="Times New Roman" w:cs="Times New Roman"/>
          <w:sz w:val="20"/>
          <w:szCs w:val="20"/>
        </w:rPr>
        <w:t>nar</w:t>
      </w:r>
      <w:proofErr w:type="spellEnd"/>
      <w:r w:rsidRPr="00D424E6">
        <w:rPr>
          <w:rFonts w:ascii="Times New Roman" w:hAnsi="Times New Roman" w:cs="Times New Roman"/>
          <w:sz w:val="20"/>
          <w:szCs w:val="20"/>
        </w:rPr>
        <w:t>/gkad978</w:t>
      </w:r>
    </w:p>
    <w:p w:rsidR="00D424E6" w:rsidRPr="00D424E6" w:rsidRDefault="00D424E6" w:rsidP="00D424E6">
      <w:pPr>
        <w:rPr>
          <w:rFonts w:ascii="Times New Roman" w:hAnsi="Times New Roman" w:cs="Times New Roman"/>
          <w:sz w:val="20"/>
          <w:szCs w:val="20"/>
        </w:rPr>
      </w:pPr>
      <w:r w:rsidRPr="00D424E6">
        <w:rPr>
          <w:rFonts w:ascii="Times New Roman" w:hAnsi="Times New Roman" w:cs="Times New Roman"/>
          <w:sz w:val="20"/>
          <w:szCs w:val="20"/>
        </w:rPr>
        <w:lastRenderedPageBreak/>
        <w:t>(4) https://clinicalgenome.org/working-groups/sequence-variant-interpretation/</w:t>
      </w:r>
    </w:p>
    <w:p w:rsidR="00D424E6" w:rsidRPr="00D424E6" w:rsidRDefault="00D424E6" w:rsidP="00D424E6">
      <w:pPr>
        <w:rPr>
          <w:rFonts w:ascii="Times New Roman" w:hAnsi="Times New Roman" w:cs="Times New Roman"/>
          <w:sz w:val="20"/>
          <w:szCs w:val="20"/>
        </w:rPr>
      </w:pPr>
      <w:r w:rsidRPr="00D424E6">
        <w:rPr>
          <w:rFonts w:ascii="Times New Roman" w:hAnsi="Times New Roman" w:cs="Times New Roman"/>
          <w:sz w:val="20"/>
          <w:szCs w:val="20"/>
        </w:rPr>
        <w:t>(5) Richards S, Aziz N, Bale S, et al. Standards and guidelines for the interpretation of sequence variants: A joint consensus recommendation of the American College of Medical Genetics and Genomics and the Association for Molecular Pathology. Genetics in Medicine. 2015;17(5):405-424. doi:10.1038/gim.2015.30</w:t>
      </w:r>
    </w:p>
    <w:p w:rsidR="00D424E6" w:rsidRPr="00D424E6" w:rsidRDefault="00D424E6" w:rsidP="00D424E6">
      <w:pPr>
        <w:rPr>
          <w:rFonts w:ascii="Times New Roman" w:hAnsi="Times New Roman" w:cs="Times New Roman"/>
          <w:sz w:val="20"/>
          <w:szCs w:val="20"/>
        </w:rPr>
      </w:pPr>
      <w:r w:rsidRPr="00D424E6">
        <w:rPr>
          <w:rFonts w:ascii="Times New Roman" w:hAnsi="Times New Roman" w:cs="Times New Roman"/>
          <w:sz w:val="20"/>
          <w:szCs w:val="20"/>
        </w:rPr>
        <w:t xml:space="preserve">(6) </w:t>
      </w:r>
      <w:proofErr w:type="spellStart"/>
      <w:r w:rsidRPr="00D424E6">
        <w:rPr>
          <w:rFonts w:ascii="Times New Roman" w:hAnsi="Times New Roman" w:cs="Times New Roman"/>
          <w:sz w:val="20"/>
          <w:szCs w:val="20"/>
        </w:rPr>
        <w:t>Pejaver</w:t>
      </w:r>
      <w:proofErr w:type="spellEnd"/>
      <w:r w:rsidRPr="00D424E6">
        <w:rPr>
          <w:rFonts w:ascii="Times New Roman" w:hAnsi="Times New Roman" w:cs="Times New Roman"/>
          <w:sz w:val="20"/>
          <w:szCs w:val="20"/>
        </w:rPr>
        <w:t xml:space="preserve"> V, Byrne AB, Feng BJ, et al. Calibration of computational tools for missense variant pathogenicity classification and </w:t>
      </w:r>
      <w:proofErr w:type="spellStart"/>
      <w:r w:rsidRPr="00D424E6">
        <w:rPr>
          <w:rFonts w:ascii="Times New Roman" w:hAnsi="Times New Roman" w:cs="Times New Roman"/>
          <w:sz w:val="20"/>
          <w:szCs w:val="20"/>
        </w:rPr>
        <w:t>ClinGen</w:t>
      </w:r>
      <w:proofErr w:type="spellEnd"/>
      <w:r w:rsidRPr="00D424E6">
        <w:rPr>
          <w:rFonts w:ascii="Times New Roman" w:hAnsi="Times New Roman" w:cs="Times New Roman"/>
          <w:sz w:val="20"/>
          <w:szCs w:val="20"/>
        </w:rPr>
        <w:t xml:space="preserve"> recommendations for PP3/BP4 criteria. Am J Hum Genet. 2022;109(12):2163-2177. </w:t>
      </w:r>
      <w:proofErr w:type="gramStart"/>
      <w:r w:rsidRPr="00D424E6">
        <w:rPr>
          <w:rFonts w:ascii="Times New Roman" w:hAnsi="Times New Roman" w:cs="Times New Roman"/>
          <w:sz w:val="20"/>
          <w:szCs w:val="20"/>
        </w:rPr>
        <w:t>doi:10.1016/j.ajhg</w:t>
      </w:r>
      <w:proofErr w:type="gramEnd"/>
      <w:r w:rsidRPr="00D424E6">
        <w:rPr>
          <w:rFonts w:ascii="Times New Roman" w:hAnsi="Times New Roman" w:cs="Times New Roman"/>
          <w:sz w:val="20"/>
          <w:szCs w:val="20"/>
        </w:rPr>
        <w:t>.2022.10.013</w:t>
      </w:r>
    </w:p>
    <w:p w:rsidR="00D424E6" w:rsidRDefault="00D424E6" w:rsidP="00D424E6">
      <w:pPr>
        <w:rPr>
          <w:rFonts w:ascii="Times New Roman" w:hAnsi="Times New Roman" w:cs="Times New Roman"/>
          <w:sz w:val="20"/>
          <w:szCs w:val="20"/>
        </w:rPr>
      </w:pPr>
      <w:r w:rsidRPr="00D424E6">
        <w:rPr>
          <w:rFonts w:ascii="Times New Roman" w:hAnsi="Times New Roman" w:cs="Times New Roman"/>
          <w:sz w:val="20"/>
          <w:szCs w:val="20"/>
        </w:rPr>
        <w:t xml:space="preserve">(7) </w:t>
      </w:r>
      <w:proofErr w:type="spellStart"/>
      <w:r w:rsidRPr="00D424E6">
        <w:rPr>
          <w:rFonts w:ascii="Times New Roman" w:hAnsi="Times New Roman" w:cs="Times New Roman"/>
          <w:sz w:val="20"/>
          <w:szCs w:val="20"/>
        </w:rPr>
        <w:t>Biesecker</w:t>
      </w:r>
      <w:proofErr w:type="spellEnd"/>
      <w:r w:rsidRPr="00D424E6">
        <w:rPr>
          <w:rFonts w:ascii="Times New Roman" w:hAnsi="Times New Roman" w:cs="Times New Roman"/>
          <w:sz w:val="20"/>
          <w:szCs w:val="20"/>
        </w:rPr>
        <w:t xml:space="preserve"> LG, Byrne AB, Harrison SM, et al. </w:t>
      </w:r>
      <w:proofErr w:type="spellStart"/>
      <w:r w:rsidRPr="00D424E6">
        <w:rPr>
          <w:rFonts w:ascii="Times New Roman" w:hAnsi="Times New Roman" w:cs="Times New Roman"/>
          <w:sz w:val="20"/>
          <w:szCs w:val="20"/>
        </w:rPr>
        <w:t>ClinGen</w:t>
      </w:r>
      <w:proofErr w:type="spellEnd"/>
      <w:r w:rsidRPr="00D424E6">
        <w:rPr>
          <w:rFonts w:ascii="Times New Roman" w:hAnsi="Times New Roman" w:cs="Times New Roman"/>
          <w:sz w:val="20"/>
          <w:szCs w:val="20"/>
        </w:rPr>
        <w:t xml:space="preserve"> guidance for use of the PP1/BS4 co-segregation and PP4 phenotype specificity criteria for sequence variant pathogenicity classification. Am J Hum Genet. 2024;111(1):24-38. </w:t>
      </w:r>
      <w:proofErr w:type="gramStart"/>
      <w:r w:rsidRPr="00D424E6">
        <w:rPr>
          <w:rFonts w:ascii="Times New Roman" w:hAnsi="Times New Roman" w:cs="Times New Roman"/>
          <w:sz w:val="20"/>
          <w:szCs w:val="20"/>
        </w:rPr>
        <w:t>doi:10.1016/j.ajhg</w:t>
      </w:r>
      <w:proofErr w:type="gramEnd"/>
      <w:r w:rsidRPr="00D424E6">
        <w:rPr>
          <w:rFonts w:ascii="Times New Roman" w:hAnsi="Times New Roman" w:cs="Times New Roman"/>
          <w:sz w:val="20"/>
          <w:szCs w:val="20"/>
        </w:rPr>
        <w:t>.2023.11.009</w:t>
      </w:r>
    </w:p>
    <w:p w:rsidR="00F144B7" w:rsidRDefault="00F144B7" w:rsidP="00D424E6">
      <w:pPr>
        <w:rPr>
          <w:rFonts w:ascii="Times New Roman" w:hAnsi="Times New Roman" w:cs="Times New Roman"/>
          <w:sz w:val="20"/>
          <w:szCs w:val="20"/>
        </w:rPr>
      </w:pPr>
    </w:p>
    <w:p w:rsidR="00F144B7" w:rsidRDefault="00F144B7" w:rsidP="00D424E6">
      <w:pPr>
        <w:rPr>
          <w:rFonts w:ascii="Times New Roman" w:hAnsi="Times New Roman" w:cs="Times New Roman"/>
          <w:sz w:val="20"/>
          <w:szCs w:val="20"/>
        </w:rPr>
      </w:pPr>
    </w:p>
    <w:p w:rsidR="006447E6" w:rsidRDefault="006447E6" w:rsidP="00D424E6">
      <w:pPr>
        <w:rPr>
          <w:rFonts w:ascii="Times New Roman" w:hAnsi="Times New Roman" w:cs="Times New Roman"/>
          <w:sz w:val="20"/>
          <w:szCs w:val="20"/>
        </w:rPr>
      </w:pPr>
    </w:p>
    <w:p w:rsidR="006447E6" w:rsidRDefault="006447E6" w:rsidP="00D424E6">
      <w:pPr>
        <w:rPr>
          <w:rFonts w:ascii="Times New Roman" w:hAnsi="Times New Roman" w:cs="Times New Roman"/>
          <w:sz w:val="20"/>
          <w:szCs w:val="20"/>
        </w:rPr>
      </w:pPr>
    </w:p>
    <w:p w:rsidR="006447E6" w:rsidRDefault="006447E6" w:rsidP="00D424E6">
      <w:pPr>
        <w:rPr>
          <w:rFonts w:ascii="Times New Roman" w:hAnsi="Times New Roman" w:cs="Times New Roman"/>
          <w:sz w:val="20"/>
          <w:szCs w:val="20"/>
        </w:rPr>
      </w:pPr>
    </w:p>
    <w:p w:rsidR="006447E6" w:rsidRDefault="006447E6" w:rsidP="00D424E6">
      <w:pPr>
        <w:rPr>
          <w:rFonts w:ascii="Times New Roman" w:hAnsi="Times New Roman" w:cs="Times New Roman"/>
          <w:sz w:val="20"/>
          <w:szCs w:val="20"/>
        </w:rPr>
      </w:pPr>
    </w:p>
    <w:p w:rsidR="006447E6" w:rsidRDefault="006447E6" w:rsidP="00D424E6">
      <w:pPr>
        <w:rPr>
          <w:rFonts w:ascii="Times New Roman" w:hAnsi="Times New Roman" w:cs="Times New Roman"/>
          <w:sz w:val="20"/>
          <w:szCs w:val="20"/>
        </w:rPr>
      </w:pPr>
    </w:p>
    <w:p w:rsidR="006447E6" w:rsidRDefault="006447E6" w:rsidP="00D424E6">
      <w:pPr>
        <w:rPr>
          <w:rFonts w:ascii="Times New Roman" w:hAnsi="Times New Roman" w:cs="Times New Roman"/>
          <w:sz w:val="20"/>
          <w:szCs w:val="20"/>
        </w:rPr>
      </w:pPr>
    </w:p>
    <w:p w:rsidR="006447E6" w:rsidRDefault="006447E6" w:rsidP="00D424E6">
      <w:pPr>
        <w:rPr>
          <w:rFonts w:ascii="Times New Roman" w:hAnsi="Times New Roman" w:cs="Times New Roman"/>
          <w:sz w:val="20"/>
          <w:szCs w:val="20"/>
        </w:rPr>
      </w:pPr>
    </w:p>
    <w:p w:rsidR="006447E6" w:rsidRDefault="006447E6" w:rsidP="00D424E6">
      <w:pPr>
        <w:rPr>
          <w:rFonts w:ascii="Times New Roman" w:hAnsi="Times New Roman" w:cs="Times New Roman" w:hint="eastAsia"/>
          <w:sz w:val="20"/>
          <w:szCs w:val="20"/>
        </w:rPr>
      </w:pPr>
    </w:p>
    <w:p w:rsidR="006447E6" w:rsidRDefault="006447E6" w:rsidP="00D424E6">
      <w:pPr>
        <w:rPr>
          <w:rFonts w:ascii="Times New Roman" w:hAnsi="Times New Roman" w:cs="Times New Roman"/>
          <w:sz w:val="20"/>
          <w:szCs w:val="20"/>
        </w:rPr>
      </w:pPr>
    </w:p>
    <w:p w:rsidR="006447E6" w:rsidRDefault="006447E6" w:rsidP="00D424E6">
      <w:pPr>
        <w:rPr>
          <w:rFonts w:ascii="Times New Roman" w:hAnsi="Times New Roman" w:cs="Times New Roman"/>
          <w:sz w:val="20"/>
          <w:szCs w:val="20"/>
        </w:rPr>
      </w:pPr>
    </w:p>
    <w:p w:rsidR="006447E6" w:rsidRDefault="006447E6" w:rsidP="00D424E6">
      <w:pPr>
        <w:rPr>
          <w:rFonts w:ascii="Times New Roman" w:hAnsi="Times New Roman" w:cs="Times New Roman"/>
          <w:sz w:val="20"/>
          <w:szCs w:val="20"/>
        </w:rPr>
      </w:pPr>
    </w:p>
    <w:p w:rsidR="006447E6" w:rsidRDefault="006447E6" w:rsidP="00D424E6">
      <w:pPr>
        <w:rPr>
          <w:rFonts w:ascii="Times New Roman" w:hAnsi="Times New Roman" w:cs="Times New Roman"/>
          <w:sz w:val="20"/>
          <w:szCs w:val="20"/>
        </w:rPr>
      </w:pPr>
    </w:p>
    <w:p w:rsidR="006447E6" w:rsidRDefault="006447E6" w:rsidP="00D424E6">
      <w:pPr>
        <w:rPr>
          <w:rFonts w:ascii="Times New Roman" w:hAnsi="Times New Roman" w:cs="Times New Roman"/>
          <w:sz w:val="20"/>
          <w:szCs w:val="20"/>
        </w:rPr>
      </w:pPr>
    </w:p>
    <w:p w:rsidR="006447E6" w:rsidRDefault="006447E6" w:rsidP="00D424E6">
      <w:pPr>
        <w:rPr>
          <w:rFonts w:ascii="Times New Roman" w:hAnsi="Times New Roman" w:cs="Times New Roman" w:hint="eastAsia"/>
          <w:sz w:val="20"/>
          <w:szCs w:val="20"/>
        </w:rPr>
      </w:pPr>
    </w:p>
    <w:p w:rsidR="006447E6" w:rsidRPr="006447E6" w:rsidRDefault="006447E6" w:rsidP="006447E6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6447E6">
        <w:rPr>
          <w:rFonts w:ascii="Times New Roman" w:hAnsi="Times New Roman" w:cs="Times New Roman"/>
          <w:b/>
          <w:bCs/>
          <w:sz w:val="22"/>
          <w:szCs w:val="22"/>
        </w:rPr>
        <w:lastRenderedPageBreak/>
        <w:t>Supplementary</w:t>
      </w:r>
      <w:r w:rsidRPr="006447E6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6447E6">
        <w:rPr>
          <w:rFonts w:ascii="Times New Roman" w:hAnsi="Times New Roman" w:cs="Times New Roman"/>
          <w:b/>
          <w:bCs/>
          <w:sz w:val="22"/>
          <w:szCs w:val="22"/>
        </w:rPr>
        <w:t>Fig 1</w:t>
      </w:r>
      <w:r w:rsidRPr="006447E6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Pr="006447E6">
        <w:rPr>
          <w:rFonts w:ascii="Times New Roman" w:hAnsi="Times New Roman" w:cs="Times New Roman"/>
          <w:b/>
          <w:bCs/>
          <w:sz w:val="22"/>
          <w:szCs w:val="22"/>
        </w:rPr>
        <w:t xml:space="preserve"> Flowchart of genetic diagnosis</w:t>
      </w:r>
    </w:p>
    <w:p w:rsidR="006447E6" w:rsidRPr="006447E6" w:rsidRDefault="006447E6" w:rsidP="006447E6">
      <w:pPr>
        <w:jc w:val="center"/>
        <w:rPr>
          <w:rFonts w:ascii="Times New Roman" w:hAnsi="Times New Roman" w:cs="Times New Roman" w:hint="eastAsia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sz w:val="20"/>
          <w:szCs w:val="20"/>
        </w:rPr>
        <w:drawing>
          <wp:inline distT="0" distB="0" distL="0" distR="0">
            <wp:extent cx="7556500" cy="5029200"/>
            <wp:effectExtent l="0" t="0" r="0" b="0"/>
            <wp:docPr id="677050670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050670" name="図 67705067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47E6" w:rsidRPr="004C029C" w:rsidRDefault="006447E6" w:rsidP="006447E6">
      <w:pPr>
        <w:rPr>
          <w:rFonts w:ascii="Times New Roman" w:hAnsi="Times New Roman" w:cs="Times New Roman" w:hint="eastAsia"/>
          <w:sz w:val="20"/>
          <w:szCs w:val="20"/>
        </w:rPr>
      </w:pPr>
      <w:r w:rsidRPr="001230EA">
        <w:rPr>
          <w:rFonts w:ascii="Times New Roman" w:hAnsi="Times New Roman" w:cs="Times New Roman"/>
          <w:sz w:val="20"/>
          <w:szCs w:val="20"/>
        </w:rPr>
        <w:lastRenderedPageBreak/>
        <w:t xml:space="preserve">In total, 3315 patients with IPNs, including 865 cases with disease onset before 10 years of age, were genetically analyzed. From 2007 to 2012, DNA microarray analysis targeted 28 IPN-related genes, excluding the </w:t>
      </w:r>
      <w:r w:rsidRPr="001230EA">
        <w:rPr>
          <w:rFonts w:ascii="Times New Roman" w:hAnsi="Times New Roman" w:cs="Times New Roman"/>
          <w:iCs/>
          <w:sz w:val="20"/>
          <w:szCs w:val="20"/>
        </w:rPr>
        <w:t>GAN</w:t>
      </w:r>
      <w:r w:rsidRPr="001230EA">
        <w:rPr>
          <w:rFonts w:ascii="Times New Roman" w:hAnsi="Times New Roman" w:cs="Times New Roman"/>
          <w:sz w:val="20"/>
          <w:szCs w:val="20"/>
        </w:rPr>
        <w:t xml:space="preserve"> gene. Whole-exome sequencing was subsequently performed in 273 patients in whom no causative gene was identified, leading to the detection of </w:t>
      </w:r>
      <w:r>
        <w:rPr>
          <w:rFonts w:ascii="Times New Roman" w:hAnsi="Times New Roman" w:cs="Times New Roman"/>
          <w:sz w:val="20"/>
          <w:szCs w:val="20"/>
        </w:rPr>
        <w:t>biallelic</w:t>
      </w:r>
      <w:r w:rsidRPr="001230EA">
        <w:rPr>
          <w:rFonts w:ascii="Times New Roman" w:hAnsi="Times New Roman" w:cs="Times New Roman"/>
          <w:i/>
          <w:iCs/>
          <w:sz w:val="20"/>
          <w:szCs w:val="20"/>
        </w:rPr>
        <w:t xml:space="preserve"> GAN </w:t>
      </w:r>
      <w:r w:rsidRPr="001230EA">
        <w:rPr>
          <w:rFonts w:ascii="Times New Roman" w:hAnsi="Times New Roman" w:cs="Times New Roman"/>
          <w:sz w:val="20"/>
          <w:szCs w:val="20"/>
        </w:rPr>
        <w:t xml:space="preserve">variants in two patients. Since 2012, genetic screening has been conducted using an in-house IPN-related gene panel, which includes the </w:t>
      </w:r>
      <w:r w:rsidRPr="001230EA">
        <w:rPr>
          <w:rFonts w:ascii="Times New Roman" w:hAnsi="Times New Roman" w:cs="Times New Roman"/>
          <w:iCs/>
          <w:sz w:val="20"/>
          <w:szCs w:val="20"/>
        </w:rPr>
        <w:t xml:space="preserve">GAN </w:t>
      </w:r>
      <w:r w:rsidRPr="001230EA">
        <w:rPr>
          <w:rFonts w:ascii="Times New Roman" w:hAnsi="Times New Roman" w:cs="Times New Roman"/>
          <w:sz w:val="20"/>
          <w:szCs w:val="20"/>
        </w:rPr>
        <w:t xml:space="preserve">gene, via next-generation sequencing. This approach identified two additional patients with </w:t>
      </w:r>
      <w:r>
        <w:rPr>
          <w:rFonts w:ascii="Times New Roman" w:hAnsi="Times New Roman" w:cs="Times New Roman"/>
          <w:sz w:val="20"/>
          <w:szCs w:val="20"/>
        </w:rPr>
        <w:t>biallelic</w:t>
      </w:r>
      <w:r w:rsidRPr="001230EA">
        <w:rPr>
          <w:rFonts w:ascii="Times New Roman" w:hAnsi="Times New Roman" w:cs="Times New Roman"/>
          <w:i/>
          <w:iCs/>
          <w:sz w:val="20"/>
          <w:szCs w:val="20"/>
        </w:rPr>
        <w:t xml:space="preserve"> GAN</w:t>
      </w:r>
      <w:r w:rsidRPr="001230EA">
        <w:rPr>
          <w:rFonts w:ascii="Times New Roman" w:hAnsi="Times New Roman" w:cs="Times New Roman"/>
          <w:sz w:val="20"/>
          <w:szCs w:val="20"/>
        </w:rPr>
        <w:t xml:space="preserve"> variants.</w:t>
      </w:r>
    </w:p>
    <w:p w:rsidR="00F144B7" w:rsidRPr="00D424E6" w:rsidRDefault="00F144B7" w:rsidP="00D424E6">
      <w:pPr>
        <w:rPr>
          <w:rFonts w:ascii="Times New Roman" w:hAnsi="Times New Roman" w:cs="Times New Roman"/>
          <w:sz w:val="20"/>
          <w:szCs w:val="20"/>
        </w:rPr>
      </w:pPr>
    </w:p>
    <w:sectPr w:rsidR="00F144B7" w:rsidRPr="00D424E6" w:rsidSect="00D424E6">
      <w:pgSz w:w="16840" w:h="11900" w:orient="landscape"/>
      <w:pgMar w:top="1701" w:right="1701" w:bottom="1701" w:left="1985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oNotDisplayPageBoundaries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4E6"/>
    <w:rsid w:val="00360BEA"/>
    <w:rsid w:val="006447E6"/>
    <w:rsid w:val="007D64A4"/>
    <w:rsid w:val="00821EA6"/>
    <w:rsid w:val="00BC4A1D"/>
    <w:rsid w:val="00D424E6"/>
    <w:rsid w:val="00D91550"/>
    <w:rsid w:val="00E15EEC"/>
    <w:rsid w:val="00EC2867"/>
    <w:rsid w:val="00F14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D01EE8E"/>
  <w15:chartTrackingRefBased/>
  <w15:docId w15:val="{70A1DE7C-521D-9E4F-B3DB-BC432227B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424E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24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24E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24E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24E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24E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24E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24E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24E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424E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424E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424E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424E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424E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424E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424E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424E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424E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424E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424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424E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424E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424E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424E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424E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424E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424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424E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424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502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5" Type="http://schemas.openxmlformats.org/officeDocument/2006/relationships/package" Target="embeddings/Microsoft_Excel_______.xls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貴裕 穂原</dc:creator>
  <cp:keywords/>
  <dc:description/>
  <cp:lastModifiedBy>貴裕 穂原</cp:lastModifiedBy>
  <cp:revision>3</cp:revision>
  <dcterms:created xsi:type="dcterms:W3CDTF">2025-06-01T12:54:00Z</dcterms:created>
  <dcterms:modified xsi:type="dcterms:W3CDTF">2025-06-29T15:46:00Z</dcterms:modified>
</cp:coreProperties>
</file>