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E276" w14:textId="1A10957D" w:rsidR="00604B6A" w:rsidRDefault="00604B6A">
      <w:pPr>
        <w:rPr>
          <w:rFonts w:ascii="Times New Roman" w:hAnsi="Times New Roman" w:cs="Times New Roman"/>
          <w:b/>
          <w:bCs/>
        </w:rPr>
      </w:pPr>
      <w:r w:rsidRPr="00604B6A">
        <w:rPr>
          <w:rFonts w:ascii="Times New Roman" w:hAnsi="Times New Roman" w:cs="Times New Roman"/>
          <w:b/>
          <w:bCs/>
        </w:rPr>
        <w:t>Supplementary Material</w:t>
      </w:r>
    </w:p>
    <w:p w14:paraId="729552FF" w14:textId="77777777" w:rsidR="00CC1B3C" w:rsidRDefault="00CC1B3C">
      <w:pPr>
        <w:rPr>
          <w:rFonts w:ascii="Times New Roman" w:hAnsi="Times New Roman" w:cs="Times New Roman"/>
          <w:b/>
          <w:bCs/>
        </w:rPr>
      </w:pPr>
    </w:p>
    <w:p w14:paraId="1A9DEB5F" w14:textId="77777777" w:rsidR="00CC1B3C" w:rsidRPr="00E576C3" w:rsidRDefault="00CC1B3C" w:rsidP="00CC1B3C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bookmarkStart w:id="0" w:name="OLE_LINK2"/>
      <w:r w:rsidRPr="00E576C3">
        <w:rPr>
          <w:rFonts w:ascii="Times New Roman" w:hAnsi="Times New Roman" w:cs="Times New Roman"/>
          <w:b/>
          <w:bCs/>
          <w:lang w:val="en-GB"/>
        </w:rPr>
        <w:t>Is Parkinson’s disease getting older? Demographic and modifiable determinants of age at onset in a large Italian tertiary care cohort</w:t>
      </w:r>
    </w:p>
    <w:bookmarkEnd w:id="0"/>
    <w:p w14:paraId="4761D585" w14:textId="77777777" w:rsidR="00CC1B3C" w:rsidRPr="009C695D" w:rsidRDefault="00CC1B3C" w:rsidP="00CC1B3C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9C695D">
        <w:rPr>
          <w:rFonts w:ascii="Times New Roman" w:hAnsi="Times New Roman" w:cs="Times New Roman"/>
          <w:sz w:val="20"/>
          <w:szCs w:val="20"/>
          <w:lang w:val="en-GB"/>
        </w:rPr>
        <w:t>Elena Contaldi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Alice Bonomi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Daniela Calandrella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Giorgio Sacilotto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Michela Zini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Francesca Del Sorbo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Paola Soliveri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Anna Zecchinelli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Ioannis U. Isaias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1,4</w:t>
      </w:r>
      <w:r w:rsidRPr="009C695D">
        <w:rPr>
          <w:rFonts w:ascii="Times New Roman" w:hAnsi="Times New Roman" w:cs="Times New Roman"/>
          <w:sz w:val="20"/>
          <w:szCs w:val="20"/>
          <w:lang w:val="en-GB"/>
        </w:rPr>
        <w:t>, Gianni Pezzoli</w:t>
      </w:r>
      <w:r w:rsidRPr="009C695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1,3,*</w:t>
      </w:r>
    </w:p>
    <w:p w14:paraId="02E26A8C" w14:textId="77777777" w:rsidR="00CC1B3C" w:rsidRPr="00A4795F" w:rsidRDefault="00CC1B3C" w:rsidP="00CC1B3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1</w:t>
      </w:r>
      <w:r w:rsidRPr="00A4795F">
        <w:rPr>
          <w:rFonts w:ascii="Times New Roman" w:hAnsi="Times New Roman" w:cs="Times New Roman"/>
          <w:sz w:val="20"/>
          <w:szCs w:val="20"/>
          <w:lang w:val="en-GB"/>
        </w:rPr>
        <w:t xml:space="preserve">) Parkinson Institute of Milan, ASST G. Pini-CTO, Milan, Italy </w:t>
      </w:r>
    </w:p>
    <w:p w14:paraId="431E2552" w14:textId="77777777" w:rsidR="00CC1B3C" w:rsidRDefault="00CC1B3C" w:rsidP="00CC1B3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2</w:t>
      </w:r>
      <w:r w:rsidRPr="00A4795F">
        <w:rPr>
          <w:rFonts w:ascii="Times New Roman" w:hAnsi="Times New Roman" w:cs="Times New Roman"/>
          <w:sz w:val="20"/>
          <w:szCs w:val="20"/>
          <w:lang w:val="en-GB"/>
        </w:rPr>
        <w:t xml:space="preserve">) </w:t>
      </w:r>
      <w:r w:rsidRPr="007D55B5">
        <w:rPr>
          <w:rFonts w:ascii="Times New Roman" w:hAnsi="Times New Roman" w:cs="Times New Roman"/>
          <w:sz w:val="20"/>
          <w:szCs w:val="20"/>
          <w:lang w:val="en-GB"/>
        </w:rPr>
        <w:t>Monzino Cardiology Centre IRCCS, Milan, Italy</w:t>
      </w:r>
    </w:p>
    <w:p w14:paraId="768A97ED" w14:textId="77777777" w:rsidR="00CC1B3C" w:rsidRPr="00A4795F" w:rsidRDefault="00CC1B3C" w:rsidP="00CC1B3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3</w:t>
      </w:r>
      <w:r w:rsidRPr="00A4795F">
        <w:rPr>
          <w:rFonts w:ascii="Times New Roman" w:hAnsi="Times New Roman" w:cs="Times New Roman"/>
          <w:sz w:val="20"/>
          <w:szCs w:val="20"/>
          <w:lang w:val="en-GB"/>
        </w:rPr>
        <w:t xml:space="preserve">) Fondazione </w:t>
      </w:r>
      <w:r>
        <w:rPr>
          <w:rFonts w:ascii="Times New Roman" w:hAnsi="Times New Roman" w:cs="Times New Roman"/>
          <w:sz w:val="20"/>
          <w:szCs w:val="20"/>
          <w:lang w:val="en-GB"/>
        </w:rPr>
        <w:t>Pezzoli</w:t>
      </w:r>
      <w:r w:rsidRPr="00A4795F">
        <w:rPr>
          <w:rFonts w:ascii="Times New Roman" w:hAnsi="Times New Roman" w:cs="Times New Roman"/>
          <w:sz w:val="20"/>
          <w:szCs w:val="20"/>
          <w:lang w:val="en-GB"/>
        </w:rPr>
        <w:t xml:space="preserve"> per </w:t>
      </w:r>
      <w:r>
        <w:rPr>
          <w:rFonts w:ascii="Times New Roman" w:hAnsi="Times New Roman" w:cs="Times New Roman"/>
          <w:sz w:val="20"/>
          <w:szCs w:val="20"/>
          <w:lang w:val="en-GB"/>
        </w:rPr>
        <w:t>la Malattia</w:t>
      </w:r>
      <w:r w:rsidRPr="00A4795F">
        <w:rPr>
          <w:rFonts w:ascii="Times New Roman" w:hAnsi="Times New Roman" w:cs="Times New Roman"/>
          <w:sz w:val="20"/>
          <w:szCs w:val="20"/>
          <w:lang w:val="en-GB"/>
        </w:rPr>
        <w:t xml:space="preserve"> di Parkinson, Milan, Italy</w:t>
      </w:r>
    </w:p>
    <w:p w14:paraId="3DF34779" w14:textId="77777777" w:rsidR="00CC1B3C" w:rsidRPr="00A4795F" w:rsidRDefault="00CC1B3C" w:rsidP="00CC1B3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4</w:t>
      </w:r>
      <w:r w:rsidRPr="00A4795F">
        <w:rPr>
          <w:rFonts w:ascii="Times New Roman" w:hAnsi="Times New Roman" w:cs="Times New Roman"/>
          <w:sz w:val="20"/>
          <w:szCs w:val="20"/>
          <w:lang w:val="en-GB"/>
        </w:rPr>
        <w:t xml:space="preserve">) Department of Neurology, University Hospital of Würzburg and Julius-Maximilian-University of Würzburg, Würzburg, Germany </w:t>
      </w:r>
    </w:p>
    <w:p w14:paraId="76686E52" w14:textId="39A6788E" w:rsidR="00CC1B3C" w:rsidRDefault="00CC1B3C">
      <w:pPr>
        <w:rPr>
          <w:rFonts w:ascii="Times New Roman" w:hAnsi="Times New Roman" w:cs="Times New Roman"/>
          <w:b/>
          <w:bCs/>
        </w:rPr>
      </w:pPr>
    </w:p>
    <w:p w14:paraId="2EFDE06D" w14:textId="53895E9E" w:rsidR="00CC1B3C" w:rsidRDefault="00CC1B3C" w:rsidP="009C695D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Tables</w:t>
      </w:r>
    </w:p>
    <w:p w14:paraId="114DB1A0" w14:textId="2C540984" w:rsidR="001C7379" w:rsidRPr="00670517" w:rsidRDefault="001C7379" w:rsidP="009C695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70517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S1: </w:t>
      </w:r>
      <w:bookmarkStart w:id="1" w:name="_Hlk204960727"/>
      <w:r w:rsidRPr="00670517">
        <w:rPr>
          <w:rFonts w:ascii="Times New Roman" w:hAnsi="Times New Roman" w:cs="Times New Roman"/>
          <w:sz w:val="22"/>
          <w:szCs w:val="22"/>
        </w:rPr>
        <w:t>Occupational and environmental exposures among the PD cohort.</w:t>
      </w:r>
      <w:bookmarkEnd w:id="1"/>
    </w:p>
    <w:p w14:paraId="6CA3FC3F" w14:textId="77777777" w:rsidR="001C7379" w:rsidRDefault="001C7379" w:rsidP="001C7379">
      <w:pPr>
        <w:rPr>
          <w:rFonts w:ascii="Times New Roman" w:hAnsi="Times New Roman" w:cs="Times New Roman"/>
          <w:b/>
          <w:bCs/>
        </w:rPr>
      </w:pPr>
    </w:p>
    <w:tbl>
      <w:tblPr>
        <w:tblStyle w:val="Tabellasemplice-2"/>
        <w:tblW w:w="0" w:type="auto"/>
        <w:jc w:val="center"/>
        <w:tblLook w:val="04A0" w:firstRow="1" w:lastRow="0" w:firstColumn="1" w:lastColumn="0" w:noHBand="0" w:noVBand="1"/>
      </w:tblPr>
      <w:tblGrid>
        <w:gridCol w:w="2062"/>
        <w:gridCol w:w="3381"/>
        <w:gridCol w:w="1481"/>
      </w:tblGrid>
      <w:tr w:rsidR="001C7379" w:rsidRPr="00670517" w14:paraId="6E1A5E8A" w14:textId="77777777" w:rsidTr="00645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10F4C5" w14:textId="77777777" w:rsidR="001C7379" w:rsidRPr="00670517" w:rsidRDefault="001C7379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Exposure Category</w:t>
            </w:r>
          </w:p>
        </w:tc>
        <w:tc>
          <w:tcPr>
            <w:tcW w:w="0" w:type="auto"/>
            <w:hideMark/>
          </w:tcPr>
          <w:p w14:paraId="278B1B62" w14:textId="77777777" w:rsidR="001C7379" w:rsidRPr="00670517" w:rsidRDefault="001C7379" w:rsidP="00645D5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Examples</w:t>
            </w:r>
          </w:p>
        </w:tc>
        <w:tc>
          <w:tcPr>
            <w:tcW w:w="0" w:type="auto"/>
            <w:hideMark/>
          </w:tcPr>
          <w:p w14:paraId="1EA65512" w14:textId="77777777" w:rsidR="001C7379" w:rsidRPr="00670517" w:rsidRDefault="001C7379" w:rsidP="00645D5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 (%)</w:t>
            </w:r>
          </w:p>
        </w:tc>
      </w:tr>
      <w:tr w:rsidR="001C7379" w:rsidRPr="00670517" w14:paraId="7A230ED3" w14:textId="77777777" w:rsidTr="0064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A9CD85" w14:textId="77777777" w:rsidR="001C7379" w:rsidRPr="00670517" w:rsidRDefault="001C7379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bookmarkStart w:id="2" w:name="_Hlk205550976"/>
            <w:r w:rsidRPr="0067051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Industrial solvents</w:t>
            </w:r>
            <w:bookmarkEnd w:id="2"/>
          </w:p>
        </w:tc>
        <w:tc>
          <w:tcPr>
            <w:tcW w:w="0" w:type="auto"/>
            <w:hideMark/>
          </w:tcPr>
          <w:p w14:paraId="013E24B0" w14:textId="77777777" w:rsidR="001C7379" w:rsidRPr="00670517" w:rsidRDefault="001C7379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Trichloroethylene, benzene, toluene</w:t>
            </w:r>
          </w:p>
        </w:tc>
        <w:tc>
          <w:tcPr>
            <w:tcW w:w="0" w:type="auto"/>
            <w:hideMark/>
          </w:tcPr>
          <w:p w14:paraId="48121E59" w14:textId="77777777" w:rsidR="001C7379" w:rsidRPr="00670517" w:rsidRDefault="001C7379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582 </w:t>
            </w:r>
            <w:bookmarkStart w:id="3" w:name="_Hlk205550964"/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(35.1%)</w:t>
            </w:r>
            <w:bookmarkEnd w:id="3"/>
          </w:p>
        </w:tc>
      </w:tr>
      <w:tr w:rsidR="001C7379" w:rsidRPr="00670517" w14:paraId="4DB5035F" w14:textId="77777777" w:rsidTr="0064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FCBFCC" w14:textId="77777777" w:rsidR="001C7379" w:rsidRPr="00670517" w:rsidRDefault="001C7379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Pesticides/herbicides</w:t>
            </w:r>
          </w:p>
        </w:tc>
        <w:tc>
          <w:tcPr>
            <w:tcW w:w="0" w:type="auto"/>
            <w:hideMark/>
          </w:tcPr>
          <w:p w14:paraId="5456B46C" w14:textId="77777777" w:rsidR="001C7379" w:rsidRPr="00670517" w:rsidRDefault="001C7379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Glyphosate, organophosphates</w:t>
            </w:r>
          </w:p>
        </w:tc>
        <w:tc>
          <w:tcPr>
            <w:tcW w:w="0" w:type="auto"/>
            <w:hideMark/>
          </w:tcPr>
          <w:p w14:paraId="1D547FBC" w14:textId="77777777" w:rsidR="001C7379" w:rsidRPr="00670517" w:rsidRDefault="001C7379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412 (24.9%)</w:t>
            </w:r>
          </w:p>
        </w:tc>
      </w:tr>
      <w:tr w:rsidR="001C7379" w:rsidRPr="00670517" w14:paraId="65FFF74C" w14:textId="77777777" w:rsidTr="0064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4F3691" w14:textId="77777777" w:rsidR="001C7379" w:rsidRPr="00670517" w:rsidRDefault="001C7379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Heavy metals</w:t>
            </w:r>
          </w:p>
        </w:tc>
        <w:tc>
          <w:tcPr>
            <w:tcW w:w="0" w:type="auto"/>
            <w:hideMark/>
          </w:tcPr>
          <w:p w14:paraId="5DED3775" w14:textId="77777777" w:rsidR="001C7379" w:rsidRPr="00670517" w:rsidRDefault="001C7379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Lead, mercury, arsenic</w:t>
            </w:r>
          </w:p>
        </w:tc>
        <w:tc>
          <w:tcPr>
            <w:tcW w:w="0" w:type="auto"/>
            <w:hideMark/>
          </w:tcPr>
          <w:p w14:paraId="70757B16" w14:textId="77777777" w:rsidR="001C7379" w:rsidRPr="00670517" w:rsidRDefault="001C7379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367 (22.1%)</w:t>
            </w:r>
          </w:p>
        </w:tc>
      </w:tr>
      <w:tr w:rsidR="001C7379" w:rsidRPr="00670517" w14:paraId="3E421189" w14:textId="77777777" w:rsidTr="0064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BF05A3" w14:textId="77777777" w:rsidR="001C7379" w:rsidRPr="00670517" w:rsidRDefault="001C7379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Hydrocarbons</w:t>
            </w:r>
          </w:p>
        </w:tc>
        <w:tc>
          <w:tcPr>
            <w:tcW w:w="0" w:type="auto"/>
            <w:hideMark/>
          </w:tcPr>
          <w:p w14:paraId="66480EB0" w14:textId="77777777" w:rsidR="001C7379" w:rsidRPr="00670517" w:rsidRDefault="001C7379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Diesel fumes, gasoline, oil vapors</w:t>
            </w:r>
          </w:p>
        </w:tc>
        <w:tc>
          <w:tcPr>
            <w:tcW w:w="0" w:type="auto"/>
            <w:hideMark/>
          </w:tcPr>
          <w:p w14:paraId="756852EC" w14:textId="77777777" w:rsidR="001C7379" w:rsidRPr="00670517" w:rsidRDefault="001C7379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217 (13.1%)</w:t>
            </w:r>
          </w:p>
        </w:tc>
      </w:tr>
      <w:tr w:rsidR="001C7379" w:rsidRPr="00670517" w14:paraId="4A8CEE4E" w14:textId="77777777" w:rsidTr="0064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A77A88" w14:textId="77777777" w:rsidR="001C7379" w:rsidRPr="00670517" w:rsidRDefault="001C7379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Other exposures</w:t>
            </w:r>
          </w:p>
        </w:tc>
        <w:tc>
          <w:tcPr>
            <w:tcW w:w="0" w:type="auto"/>
            <w:hideMark/>
          </w:tcPr>
          <w:p w14:paraId="3F146B01" w14:textId="77777777" w:rsidR="001C7379" w:rsidRPr="00670517" w:rsidRDefault="001C7379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Cement dust, asbestos</w:t>
            </w:r>
          </w:p>
        </w:tc>
        <w:tc>
          <w:tcPr>
            <w:tcW w:w="0" w:type="auto"/>
            <w:hideMark/>
          </w:tcPr>
          <w:p w14:paraId="0D59D6AA" w14:textId="77777777" w:rsidR="001C7379" w:rsidRPr="00670517" w:rsidRDefault="001C7379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80 (4.8%)</w:t>
            </w:r>
          </w:p>
        </w:tc>
      </w:tr>
      <w:tr w:rsidR="001C7379" w:rsidRPr="00670517" w14:paraId="6547FCCF" w14:textId="77777777" w:rsidTr="0064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9F092B" w14:textId="77777777" w:rsidR="001C7379" w:rsidRPr="00670517" w:rsidRDefault="001C7379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Multiple exposures</w:t>
            </w:r>
          </w:p>
        </w:tc>
        <w:tc>
          <w:tcPr>
            <w:tcW w:w="0" w:type="auto"/>
            <w:hideMark/>
          </w:tcPr>
          <w:p w14:paraId="3F2F8080" w14:textId="2169926A" w:rsidR="001C7379" w:rsidRPr="00670517" w:rsidRDefault="001C7379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≥2 substances</w:t>
            </w:r>
          </w:p>
        </w:tc>
        <w:tc>
          <w:tcPr>
            <w:tcW w:w="0" w:type="auto"/>
            <w:hideMark/>
          </w:tcPr>
          <w:p w14:paraId="1C618C17" w14:textId="77777777" w:rsidR="001C7379" w:rsidRPr="00670517" w:rsidRDefault="001C7379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705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491 (29.6%) §</w:t>
            </w:r>
          </w:p>
        </w:tc>
      </w:tr>
    </w:tbl>
    <w:p w14:paraId="15BA82B8" w14:textId="77777777" w:rsidR="001C7379" w:rsidRPr="00AF08D3" w:rsidRDefault="001C7379" w:rsidP="00AF08D3">
      <w:pPr>
        <w:jc w:val="both"/>
        <w:rPr>
          <w:rFonts w:ascii="Times New Roman" w:hAnsi="Times New Roman" w:cs="Times New Roman"/>
          <w:sz w:val="20"/>
          <w:szCs w:val="20"/>
        </w:rPr>
      </w:pPr>
      <w:r w:rsidRPr="00AF08D3">
        <w:rPr>
          <w:rFonts w:ascii="Times New Roman" w:hAnsi="Times New Roman" w:cs="Times New Roman"/>
          <w:b/>
          <w:bCs/>
          <w:sz w:val="20"/>
          <w:szCs w:val="20"/>
        </w:rPr>
        <w:t>§</w:t>
      </w:r>
      <w:r w:rsidRPr="00AF08D3">
        <w:rPr>
          <w:rFonts w:ascii="Times New Roman" w:hAnsi="Times New Roman" w:cs="Times New Roman"/>
          <w:sz w:val="20"/>
          <w:szCs w:val="20"/>
        </w:rPr>
        <w:t xml:space="preserve"> Percentage calculated within the exposed subgroup (n = 1,658). Multiple exposures reflect self-reported contact with more than one substance category.</w:t>
      </w:r>
    </w:p>
    <w:p w14:paraId="3399AF2D" w14:textId="77777777" w:rsidR="001C7379" w:rsidRDefault="001C7379" w:rsidP="00122507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3609076" w14:textId="77777777" w:rsidR="001C7379" w:rsidRDefault="001C73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6430604" w14:textId="5FE278C6" w:rsidR="00122507" w:rsidRPr="00AF08D3" w:rsidRDefault="00634F8F" w:rsidP="00B331B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F08D3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Table S</w:t>
      </w:r>
      <w:r w:rsidR="001C7379" w:rsidRPr="00AF08D3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AF08D3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AF08D3">
        <w:rPr>
          <w:rFonts w:ascii="Times New Roman" w:hAnsi="Times New Roman" w:cs="Times New Roman"/>
          <w:sz w:val="22"/>
          <w:szCs w:val="22"/>
        </w:rPr>
        <w:t>Counts and percentages of patients reporting specific demographic, cardiovascular</w:t>
      </w:r>
      <w:r w:rsidR="00442B70">
        <w:rPr>
          <w:rFonts w:ascii="Times New Roman" w:hAnsi="Times New Roman" w:cs="Times New Roman"/>
          <w:sz w:val="22"/>
          <w:szCs w:val="22"/>
        </w:rPr>
        <w:t>/</w:t>
      </w:r>
      <w:r w:rsidR="00A722D0">
        <w:rPr>
          <w:rFonts w:ascii="Times New Roman" w:hAnsi="Times New Roman" w:cs="Times New Roman"/>
          <w:sz w:val="22"/>
          <w:szCs w:val="22"/>
        </w:rPr>
        <w:t>dys</w:t>
      </w:r>
      <w:r w:rsidR="00442B70">
        <w:rPr>
          <w:rFonts w:ascii="Times New Roman" w:hAnsi="Times New Roman" w:cs="Times New Roman"/>
          <w:sz w:val="22"/>
          <w:szCs w:val="22"/>
        </w:rPr>
        <w:t>metabolic</w:t>
      </w:r>
      <w:r w:rsidRPr="00AF08D3">
        <w:rPr>
          <w:rFonts w:ascii="Times New Roman" w:hAnsi="Times New Roman" w:cs="Times New Roman"/>
          <w:sz w:val="22"/>
          <w:szCs w:val="22"/>
        </w:rPr>
        <w:t xml:space="preserve">, lifestyle, and environmental </w:t>
      </w:r>
      <w:r w:rsidR="0023521D" w:rsidRPr="00AF08D3">
        <w:rPr>
          <w:rFonts w:ascii="Times New Roman" w:hAnsi="Times New Roman" w:cs="Times New Roman"/>
          <w:sz w:val="22"/>
          <w:szCs w:val="22"/>
        </w:rPr>
        <w:t>factors.</w:t>
      </w:r>
      <w:r w:rsidR="00B331BE" w:rsidRPr="00AF08D3">
        <w:rPr>
          <w:rFonts w:ascii="Times New Roman" w:hAnsi="Times New Roman" w:cs="Times New Roman"/>
          <w:sz w:val="22"/>
          <w:szCs w:val="22"/>
        </w:rPr>
        <w:t xml:space="preserve"> Percentages </w:t>
      </w:r>
      <w:r w:rsidR="0032255C" w:rsidRPr="00AF08D3">
        <w:rPr>
          <w:rFonts w:ascii="Times New Roman" w:hAnsi="Times New Roman" w:cs="Times New Roman"/>
          <w:sz w:val="22"/>
          <w:szCs w:val="22"/>
        </w:rPr>
        <w:t>were calculated based on available data for each variable; denominators are indicated in the table footnotes.</w:t>
      </w:r>
    </w:p>
    <w:tbl>
      <w:tblPr>
        <w:tblStyle w:val="Tabellasemplice-2"/>
        <w:tblW w:w="8744" w:type="dxa"/>
        <w:jc w:val="center"/>
        <w:tblLook w:val="04A0" w:firstRow="1" w:lastRow="0" w:firstColumn="1" w:lastColumn="0" w:noHBand="0" w:noVBand="1"/>
      </w:tblPr>
      <w:tblGrid>
        <w:gridCol w:w="5225"/>
        <w:gridCol w:w="3519"/>
      </w:tblGrid>
      <w:tr w:rsidR="00122507" w:rsidRPr="00AF08D3" w14:paraId="0B97E091" w14:textId="77777777" w:rsidTr="00884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1FD32" w14:textId="0772845C" w:rsidR="00122507" w:rsidRPr="00AF08D3" w:rsidRDefault="004C63CD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Variables</w:t>
            </w:r>
          </w:p>
        </w:tc>
        <w:tc>
          <w:tcPr>
            <w:tcW w:w="0" w:type="auto"/>
            <w:hideMark/>
          </w:tcPr>
          <w:p w14:paraId="4CE86C84" w14:textId="77777777" w:rsidR="00122507" w:rsidRPr="00AF08D3" w:rsidRDefault="00122507" w:rsidP="00645D5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 (%)</w:t>
            </w:r>
          </w:p>
        </w:tc>
      </w:tr>
      <w:tr w:rsidR="00122507" w:rsidRPr="00AF08D3" w14:paraId="4DAC2F28" w14:textId="77777777" w:rsidTr="0088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8EE1A2" w14:textId="3C7820DA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Sex, male</w:t>
            </w:r>
          </w:p>
        </w:tc>
        <w:tc>
          <w:tcPr>
            <w:tcW w:w="0" w:type="auto"/>
          </w:tcPr>
          <w:p w14:paraId="01C3C012" w14:textId="5B5E8FC7" w:rsidR="00122507" w:rsidRPr="00AF08D3" w:rsidRDefault="00122507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7726 (58.4%)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1</w:t>
            </w:r>
          </w:p>
        </w:tc>
      </w:tr>
      <w:tr w:rsidR="00122507" w:rsidRPr="00AF08D3" w14:paraId="56C2936A" w14:textId="77777777" w:rsidTr="008844E8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99E959" w14:textId="20E4168B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Positive family history</w:t>
            </w:r>
          </w:p>
        </w:tc>
        <w:tc>
          <w:tcPr>
            <w:tcW w:w="0" w:type="auto"/>
          </w:tcPr>
          <w:p w14:paraId="7359CAB6" w14:textId="55BEBE27" w:rsidR="00122507" w:rsidRPr="00AF08D3" w:rsidRDefault="00122507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1884 (14.</w:t>
            </w:r>
            <w:r w:rsidR="00A70B85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2</w:t>
            </w:r>
          </w:p>
        </w:tc>
      </w:tr>
      <w:tr w:rsidR="00122507" w:rsidRPr="00AF08D3" w14:paraId="70EE0B31" w14:textId="77777777" w:rsidTr="0088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9E278C" w14:textId="086FD6A8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Smoking history</w:t>
            </w:r>
          </w:p>
        </w:tc>
        <w:tc>
          <w:tcPr>
            <w:tcW w:w="0" w:type="auto"/>
          </w:tcPr>
          <w:p w14:paraId="16E52CA2" w14:textId="4AB53AE0" w:rsidR="00122507" w:rsidRPr="00AF08D3" w:rsidRDefault="00122507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3575</w:t>
            </w:r>
            <w:r w:rsidR="008844E8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(30.2%)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3</w:t>
            </w:r>
          </w:p>
        </w:tc>
      </w:tr>
      <w:tr w:rsidR="00122507" w:rsidRPr="00AF08D3" w14:paraId="409D0040" w14:textId="77777777" w:rsidTr="008844E8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30522B" w14:textId="15A07B52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Coffee consumption</w:t>
            </w:r>
          </w:p>
        </w:tc>
        <w:tc>
          <w:tcPr>
            <w:tcW w:w="0" w:type="auto"/>
          </w:tcPr>
          <w:p w14:paraId="410A3B98" w14:textId="1624530F" w:rsidR="00122507" w:rsidRPr="00AF08D3" w:rsidRDefault="00122507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8116 (68.2%)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4</w:t>
            </w:r>
          </w:p>
        </w:tc>
      </w:tr>
      <w:tr w:rsidR="00122507" w:rsidRPr="00AF08D3" w14:paraId="0CD2F117" w14:textId="77777777" w:rsidTr="0088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1F5C68" w14:textId="7B94E672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Exposure to pollutants</w:t>
            </w:r>
          </w:p>
        </w:tc>
        <w:tc>
          <w:tcPr>
            <w:tcW w:w="0" w:type="auto"/>
          </w:tcPr>
          <w:p w14:paraId="0641291D" w14:textId="295EC50F" w:rsidR="00122507" w:rsidRPr="00AF08D3" w:rsidRDefault="00122507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1658 (</w:t>
            </w:r>
            <w:r w:rsidR="00A7722F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24.1</w:t>
            </w: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5</w:t>
            </w:r>
          </w:p>
        </w:tc>
      </w:tr>
      <w:tr w:rsidR="00122507" w:rsidRPr="00AF08D3" w14:paraId="68041E97" w14:textId="77777777" w:rsidTr="008844E8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77B1A3" w14:textId="564672BF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 xml:space="preserve">T2DM </w:t>
            </w:r>
          </w:p>
        </w:tc>
        <w:tc>
          <w:tcPr>
            <w:tcW w:w="0" w:type="auto"/>
          </w:tcPr>
          <w:p w14:paraId="2F5B98DD" w14:textId="228EFFDA" w:rsidR="00122507" w:rsidRPr="00AF08D3" w:rsidRDefault="00122507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505 (3.8%)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6</w:t>
            </w:r>
          </w:p>
        </w:tc>
      </w:tr>
      <w:tr w:rsidR="00122507" w:rsidRPr="00AF08D3" w14:paraId="7E399387" w14:textId="77777777" w:rsidTr="00884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AB4D17" w14:textId="6F2F3698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Hypertension</w:t>
            </w:r>
          </w:p>
        </w:tc>
        <w:tc>
          <w:tcPr>
            <w:tcW w:w="0" w:type="auto"/>
          </w:tcPr>
          <w:p w14:paraId="74B927D2" w14:textId="73E614E8" w:rsidR="00122507" w:rsidRPr="00AF08D3" w:rsidRDefault="00122507" w:rsidP="00645D5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1552 (11.7%)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7</w:t>
            </w:r>
          </w:p>
        </w:tc>
      </w:tr>
      <w:tr w:rsidR="00122507" w:rsidRPr="00AF08D3" w14:paraId="1BF2D587" w14:textId="77777777" w:rsidTr="008844E8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DDA625" w14:textId="46DC8288" w:rsidR="00122507" w:rsidRPr="00AF08D3" w:rsidRDefault="00122507" w:rsidP="00645D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2"/>
                <w:szCs w:val="22"/>
                <w:lang w:eastAsia="it-IT"/>
                <w14:ligatures w14:val="none"/>
              </w:rPr>
              <w:t>Dyslipidemia</w:t>
            </w:r>
          </w:p>
        </w:tc>
        <w:tc>
          <w:tcPr>
            <w:tcW w:w="0" w:type="auto"/>
          </w:tcPr>
          <w:p w14:paraId="2F3B95E9" w14:textId="5CBCF41A" w:rsidR="00122507" w:rsidRPr="00AF08D3" w:rsidRDefault="00122507" w:rsidP="00645D5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</w:pPr>
            <w:r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153 (1.2%)</w:t>
            </w:r>
            <w:r w:rsidR="0032255C" w:rsidRPr="00AF08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t>8</w:t>
            </w:r>
          </w:p>
        </w:tc>
      </w:tr>
    </w:tbl>
    <w:p w14:paraId="170E3A5F" w14:textId="43CECD08" w:rsidR="00835EFB" w:rsidRDefault="00835EFB" w:rsidP="00B331B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E38D74E" w14:textId="6D30A0F8" w:rsidR="0032255C" w:rsidRPr="0032255C" w:rsidRDefault="0032255C" w:rsidP="00B331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Based on N=13,220</w:t>
      </w:r>
    </w:p>
    <w:p w14:paraId="76164268" w14:textId="188B5D13" w:rsidR="0032255C" w:rsidRPr="0032255C" w:rsidRDefault="0032255C" w:rsidP="00B331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Based on N=13,220</w:t>
      </w:r>
    </w:p>
    <w:p w14:paraId="5E5E3389" w14:textId="19AE301F" w:rsidR="00A70B85" w:rsidRPr="00B331BE" w:rsidRDefault="0032255C" w:rsidP="00B331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A70B85" w:rsidRPr="00B331BE">
        <w:rPr>
          <w:rFonts w:ascii="Times New Roman" w:hAnsi="Times New Roman" w:cs="Times New Roman"/>
          <w:sz w:val="20"/>
          <w:szCs w:val="20"/>
        </w:rPr>
        <w:t>Based on N=</w:t>
      </w:r>
      <w:r w:rsidR="008844E8" w:rsidRPr="00B331BE">
        <w:rPr>
          <w:rFonts w:ascii="Times New Roman" w:hAnsi="Times New Roman" w:cs="Times New Roman"/>
          <w:sz w:val="20"/>
          <w:szCs w:val="20"/>
        </w:rPr>
        <w:t>11,856 (missing 1364)</w:t>
      </w:r>
    </w:p>
    <w:p w14:paraId="6072F071" w14:textId="4BA384BF" w:rsidR="00B331BE" w:rsidRPr="00B331BE" w:rsidRDefault="0032255C" w:rsidP="00B331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B331BE" w:rsidRPr="00B331BE">
        <w:rPr>
          <w:rFonts w:ascii="Times New Roman" w:hAnsi="Times New Roman" w:cs="Times New Roman"/>
          <w:sz w:val="20"/>
          <w:szCs w:val="20"/>
        </w:rPr>
        <w:t>Based on N=11,903 (missing 1317)</w:t>
      </w:r>
    </w:p>
    <w:p w14:paraId="50616E22" w14:textId="1E58D7EA" w:rsidR="00B331BE" w:rsidRDefault="0032255C" w:rsidP="00B331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B331BE" w:rsidRPr="00B331BE">
        <w:rPr>
          <w:rFonts w:ascii="Times New Roman" w:hAnsi="Times New Roman" w:cs="Times New Roman"/>
          <w:sz w:val="20"/>
          <w:szCs w:val="20"/>
        </w:rPr>
        <w:t>Based on N=</w:t>
      </w:r>
      <w:r w:rsidR="00D87C84">
        <w:rPr>
          <w:rFonts w:ascii="Times New Roman" w:hAnsi="Times New Roman" w:cs="Times New Roman"/>
          <w:sz w:val="20"/>
          <w:szCs w:val="20"/>
        </w:rPr>
        <w:t>6,867</w:t>
      </w:r>
      <w:r w:rsidR="00B331BE" w:rsidRPr="00B331BE">
        <w:rPr>
          <w:rFonts w:ascii="Times New Roman" w:hAnsi="Times New Roman" w:cs="Times New Roman"/>
          <w:sz w:val="20"/>
          <w:szCs w:val="20"/>
        </w:rPr>
        <w:t xml:space="preserve"> (missing </w:t>
      </w:r>
      <w:r w:rsidR="00D87C84">
        <w:rPr>
          <w:rFonts w:ascii="Times New Roman" w:hAnsi="Times New Roman" w:cs="Times New Roman"/>
          <w:sz w:val="20"/>
          <w:szCs w:val="20"/>
        </w:rPr>
        <w:t>6353</w:t>
      </w:r>
      <w:r w:rsidR="00B331BE" w:rsidRPr="00B331BE">
        <w:rPr>
          <w:rFonts w:ascii="Times New Roman" w:hAnsi="Times New Roman" w:cs="Times New Roman"/>
          <w:sz w:val="20"/>
          <w:szCs w:val="20"/>
        </w:rPr>
        <w:t>)</w:t>
      </w:r>
    </w:p>
    <w:p w14:paraId="5B4A3CE1" w14:textId="4C0DC6E4" w:rsidR="0032255C" w:rsidRDefault="0032255C" w:rsidP="003225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hAnsi="Times New Roman" w:cs="Times New Roman"/>
          <w:sz w:val="20"/>
          <w:szCs w:val="20"/>
        </w:rPr>
        <w:t>Based on N=13,220</w:t>
      </w:r>
    </w:p>
    <w:p w14:paraId="6496191F" w14:textId="1252B5FA" w:rsidR="0032255C" w:rsidRDefault="0032255C" w:rsidP="003225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hAnsi="Times New Roman" w:cs="Times New Roman"/>
          <w:sz w:val="20"/>
          <w:szCs w:val="20"/>
        </w:rPr>
        <w:t>Based on N=13,220</w:t>
      </w:r>
    </w:p>
    <w:p w14:paraId="3EFD9D79" w14:textId="6D01AA10" w:rsidR="0032255C" w:rsidRPr="0032255C" w:rsidRDefault="0032255C" w:rsidP="003225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hAnsi="Times New Roman" w:cs="Times New Roman"/>
          <w:sz w:val="20"/>
          <w:szCs w:val="20"/>
        </w:rPr>
        <w:t>Based on N=13,220</w:t>
      </w:r>
    </w:p>
    <w:p w14:paraId="7A919B3E" w14:textId="77777777" w:rsidR="0032255C" w:rsidRPr="0032255C" w:rsidRDefault="0032255C" w:rsidP="003225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F45CBA" w14:textId="77777777" w:rsidR="0032255C" w:rsidRPr="0032255C" w:rsidRDefault="0032255C" w:rsidP="003225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9451BDA" w14:textId="2F272167" w:rsidR="004C63CD" w:rsidRDefault="004C63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780F3E5" w14:textId="3AED24E4" w:rsidR="004C63CD" w:rsidRPr="004C63CD" w:rsidRDefault="004C63CD" w:rsidP="004C63CD">
      <w:pPr>
        <w:spacing w:line="480" w:lineRule="auto"/>
        <w:rPr>
          <w:rFonts w:ascii="Times New Roman" w:hAnsi="Times New Roman" w:cs="Times New Roman"/>
          <w:color w:val="EE0000"/>
          <w:sz w:val="20"/>
          <w:szCs w:val="20"/>
        </w:rPr>
      </w:pPr>
      <w:r w:rsidRPr="004C63CD">
        <w:rPr>
          <w:rFonts w:ascii="Times New Roman" w:hAnsi="Times New Roman" w:cs="Times New Roman"/>
          <w:b/>
          <w:bCs/>
          <w:color w:val="EE0000"/>
          <w:sz w:val="22"/>
          <w:szCs w:val="22"/>
        </w:rPr>
        <w:lastRenderedPageBreak/>
        <w:t>Supplementary Table S</w:t>
      </w:r>
      <w:r w:rsidRPr="004C63CD">
        <w:rPr>
          <w:rFonts w:ascii="Times New Roman" w:hAnsi="Times New Roman" w:cs="Times New Roman"/>
          <w:b/>
          <w:bCs/>
          <w:color w:val="EE0000"/>
          <w:sz w:val="22"/>
          <w:szCs w:val="22"/>
        </w:rPr>
        <w:t>3</w:t>
      </w:r>
      <w:r w:rsidRPr="004C63CD">
        <w:rPr>
          <w:rFonts w:ascii="Times New Roman" w:hAnsi="Times New Roman" w:cs="Times New Roman"/>
          <w:b/>
          <w:bCs/>
          <w:color w:val="EE0000"/>
          <w:sz w:val="22"/>
          <w:szCs w:val="22"/>
        </w:rPr>
        <w:t xml:space="preserve">: </w:t>
      </w:r>
      <w:r w:rsidRPr="004C63CD">
        <w:rPr>
          <w:rFonts w:ascii="Times New Roman" w:hAnsi="Times New Roman" w:cs="Times New Roman"/>
          <w:color w:val="EE0000"/>
          <w:sz w:val="22"/>
          <w:szCs w:val="22"/>
        </w:rPr>
        <w:t>Counts</w:t>
      </w:r>
      <w:r w:rsidR="00BA34DE">
        <w:rPr>
          <w:rFonts w:ascii="Times New Roman" w:hAnsi="Times New Roman" w:cs="Times New Roman"/>
          <w:color w:val="EE0000"/>
          <w:sz w:val="22"/>
          <w:szCs w:val="22"/>
        </w:rPr>
        <w:t xml:space="preserve"> (</w:t>
      </w:r>
      <w:r w:rsidRPr="004C63CD">
        <w:rPr>
          <w:rFonts w:ascii="Times New Roman" w:hAnsi="Times New Roman" w:cs="Times New Roman"/>
          <w:color w:val="EE0000"/>
          <w:sz w:val="22"/>
          <w:szCs w:val="22"/>
        </w:rPr>
        <w:t>percentages</w:t>
      </w:r>
      <w:r w:rsidR="00BA34DE">
        <w:rPr>
          <w:rFonts w:ascii="Times New Roman" w:hAnsi="Times New Roman" w:cs="Times New Roman"/>
          <w:color w:val="EE0000"/>
          <w:sz w:val="22"/>
          <w:szCs w:val="22"/>
        </w:rPr>
        <w:t>)</w:t>
      </w:r>
      <w:r w:rsidRPr="004C63CD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r w:rsidR="00BA34DE">
        <w:rPr>
          <w:rFonts w:ascii="Times New Roman" w:hAnsi="Times New Roman" w:cs="Times New Roman"/>
          <w:color w:val="EE0000"/>
          <w:sz w:val="22"/>
          <w:szCs w:val="22"/>
        </w:rPr>
        <w:t xml:space="preserve">and </w:t>
      </w:r>
      <w:r w:rsidRPr="004C63CD">
        <w:rPr>
          <w:rFonts w:ascii="Times New Roman" w:hAnsi="Times New Roman" w:cs="Times New Roman"/>
          <w:color w:val="EE0000"/>
          <w:sz w:val="22"/>
          <w:szCs w:val="22"/>
        </w:rPr>
        <w:t xml:space="preserve">means </w:t>
      </w:r>
      <w:r w:rsidRPr="004C63CD">
        <w:rPr>
          <w:rFonts w:ascii="Times New Roman" w:hAnsi="Times New Roman" w:cs="Times New Roman"/>
          <w:color w:val="EE0000"/>
          <w:sz w:val="22"/>
          <w:szCs w:val="22"/>
          <w:lang w:val="en-GB"/>
        </w:rPr>
        <w:t xml:space="preserve">± </w:t>
      </w:r>
      <w:r w:rsidRPr="004C63CD">
        <w:rPr>
          <w:rFonts w:ascii="Times New Roman" w:hAnsi="Times New Roman" w:cs="Times New Roman"/>
          <w:color w:val="EE0000"/>
          <w:sz w:val="22"/>
          <w:szCs w:val="22"/>
          <w:lang w:val="en-GB"/>
        </w:rPr>
        <w:t xml:space="preserve">standard deviations of </w:t>
      </w:r>
      <w:r w:rsidRPr="004C63CD">
        <w:rPr>
          <w:rFonts w:ascii="Times New Roman" w:hAnsi="Times New Roman" w:cs="Times New Roman"/>
          <w:color w:val="EE0000"/>
          <w:sz w:val="22"/>
          <w:szCs w:val="22"/>
          <w:lang w:val="en-GB"/>
        </w:rPr>
        <w:t>specific demographic, cardiovascular/dysmetabolic, lifestyle, and environmental factors</w:t>
      </w:r>
      <w:r w:rsidRPr="004C63CD">
        <w:rPr>
          <w:rFonts w:ascii="Times New Roman" w:hAnsi="Times New Roman" w:cs="Times New Roman"/>
          <w:color w:val="EE0000"/>
          <w:sz w:val="22"/>
          <w:szCs w:val="22"/>
          <w:lang w:val="en-GB"/>
        </w:rPr>
        <w:t xml:space="preserve"> in</w:t>
      </w:r>
      <w:r w:rsidRPr="004C63CD">
        <w:rPr>
          <w:rFonts w:ascii="Times New Roman" w:hAnsi="Times New Roman" w:cs="Times New Roman"/>
          <w:color w:val="EE0000"/>
          <w:sz w:val="22"/>
          <w:szCs w:val="22"/>
        </w:rPr>
        <w:t xml:space="preserve"> the complete case and imputed datasets.</w:t>
      </w:r>
    </w:p>
    <w:p w14:paraId="6E69A366" w14:textId="77777777" w:rsidR="004C63CD" w:rsidRPr="004C63CD" w:rsidRDefault="004C63CD" w:rsidP="00B331BE">
      <w:pPr>
        <w:spacing w:line="240" w:lineRule="auto"/>
        <w:rPr>
          <w:rFonts w:ascii="Times New Roman" w:hAnsi="Times New Roman" w:cs="Times New Roman"/>
          <w:color w:val="EE0000"/>
          <w:sz w:val="20"/>
          <w:szCs w:val="20"/>
        </w:rPr>
      </w:pPr>
    </w:p>
    <w:tbl>
      <w:tblPr>
        <w:tblStyle w:val="Tabellasemplice-2"/>
        <w:tblW w:w="9700" w:type="dxa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2425"/>
      </w:tblGrid>
      <w:tr w:rsidR="00B511EA" w:rsidRPr="004C63CD" w14:paraId="26E8133A" w14:textId="71FB1774" w:rsidTr="00B51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4D42CD2" w14:textId="77777777" w:rsidR="00B511EA" w:rsidRPr="004C63CD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Variables</w:t>
            </w:r>
          </w:p>
        </w:tc>
        <w:tc>
          <w:tcPr>
            <w:tcW w:w="2425" w:type="dxa"/>
          </w:tcPr>
          <w:p w14:paraId="3AC852A0" w14:textId="5453C331" w:rsidR="00B511EA" w:rsidRPr="004C63CD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Complete case dataset</w:t>
            </w:r>
          </w:p>
        </w:tc>
        <w:tc>
          <w:tcPr>
            <w:tcW w:w="2425" w:type="dxa"/>
          </w:tcPr>
          <w:p w14:paraId="321691E7" w14:textId="1FA7213B" w:rsidR="00B511EA" w:rsidRPr="004C63CD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Imputed </w:t>
            </w: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d</w:t>
            </w: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ataset</w:t>
            </w:r>
          </w:p>
        </w:tc>
        <w:tc>
          <w:tcPr>
            <w:tcW w:w="2425" w:type="dxa"/>
          </w:tcPr>
          <w:p w14:paraId="48BFA67D" w14:textId="4B7CFCCA" w:rsidR="00B511EA" w:rsidRPr="00B511EA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B511EA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SMD</w:t>
            </w:r>
          </w:p>
        </w:tc>
      </w:tr>
      <w:tr w:rsidR="00B511EA" w:rsidRPr="004C63CD" w14:paraId="64DF82BC" w14:textId="7B62F23B" w:rsidTr="00B51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0365669" w14:textId="77777777" w:rsidR="00B511EA" w:rsidRPr="004C63CD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Sex, male</w:t>
            </w:r>
          </w:p>
        </w:tc>
        <w:tc>
          <w:tcPr>
            <w:tcW w:w="2425" w:type="dxa"/>
          </w:tcPr>
          <w:p w14:paraId="2F9DD8C8" w14:textId="77777777" w:rsidR="00B511EA" w:rsidRPr="004C63CD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7726 (58.4%)</w:t>
            </w:r>
          </w:p>
        </w:tc>
        <w:tc>
          <w:tcPr>
            <w:tcW w:w="2425" w:type="dxa"/>
          </w:tcPr>
          <w:p w14:paraId="559233F1" w14:textId="77777777" w:rsidR="00B511EA" w:rsidRPr="004C63CD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7726 (58.4%)</w:t>
            </w:r>
          </w:p>
        </w:tc>
        <w:tc>
          <w:tcPr>
            <w:tcW w:w="2425" w:type="dxa"/>
          </w:tcPr>
          <w:p w14:paraId="1DF3C60F" w14:textId="2A5A9DE0" w:rsidR="00B511EA" w:rsidRPr="004C63CD" w:rsidRDefault="00B511EA" w:rsidP="004C63CD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B511EA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4598659C" w14:textId="2C01F468" w:rsidTr="00B511E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DA74C7F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Education level</w:t>
            </w:r>
          </w:p>
        </w:tc>
        <w:tc>
          <w:tcPr>
            <w:tcW w:w="2425" w:type="dxa"/>
          </w:tcPr>
          <w:p w14:paraId="462E9B0C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10.65 ± 4.58</w:t>
            </w:r>
          </w:p>
        </w:tc>
        <w:tc>
          <w:tcPr>
            <w:tcW w:w="2425" w:type="dxa"/>
          </w:tcPr>
          <w:p w14:paraId="04FEFF64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10.61± 4.58</w:t>
            </w:r>
          </w:p>
        </w:tc>
        <w:tc>
          <w:tcPr>
            <w:tcW w:w="2425" w:type="dxa"/>
          </w:tcPr>
          <w:p w14:paraId="620A1425" w14:textId="6487C453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4B740B7F" w14:textId="37B3AB87" w:rsidTr="00B51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27EFA0D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Positive family history</w:t>
            </w:r>
          </w:p>
        </w:tc>
        <w:tc>
          <w:tcPr>
            <w:tcW w:w="2425" w:type="dxa"/>
          </w:tcPr>
          <w:p w14:paraId="5C4B792C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1884 (14.2%)</w:t>
            </w:r>
          </w:p>
        </w:tc>
        <w:tc>
          <w:tcPr>
            <w:tcW w:w="2425" w:type="dxa"/>
          </w:tcPr>
          <w:p w14:paraId="56746C85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1884 (14.2%)</w:t>
            </w:r>
          </w:p>
        </w:tc>
        <w:tc>
          <w:tcPr>
            <w:tcW w:w="2425" w:type="dxa"/>
          </w:tcPr>
          <w:p w14:paraId="02C83CF4" w14:textId="47838170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4A4A3D84" w14:textId="56D70720" w:rsidTr="00B511E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E9F788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  <w:t>Smoking history</w:t>
            </w:r>
          </w:p>
        </w:tc>
        <w:tc>
          <w:tcPr>
            <w:tcW w:w="2425" w:type="dxa"/>
          </w:tcPr>
          <w:p w14:paraId="53C9E190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3575 (30.2%)</w:t>
            </w:r>
          </w:p>
        </w:tc>
        <w:tc>
          <w:tcPr>
            <w:tcW w:w="2425" w:type="dxa"/>
          </w:tcPr>
          <w:p w14:paraId="02DF4442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3961 (30%)</w:t>
            </w:r>
          </w:p>
        </w:tc>
        <w:tc>
          <w:tcPr>
            <w:tcW w:w="2425" w:type="dxa"/>
          </w:tcPr>
          <w:p w14:paraId="12393018" w14:textId="1B098500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216C1647" w14:textId="36F6CE8E" w:rsidTr="00B51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26CADF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Coffee consumption</w:t>
            </w:r>
          </w:p>
        </w:tc>
        <w:tc>
          <w:tcPr>
            <w:tcW w:w="2425" w:type="dxa"/>
          </w:tcPr>
          <w:p w14:paraId="7441964A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8116 (68.2%)</w:t>
            </w:r>
          </w:p>
        </w:tc>
        <w:tc>
          <w:tcPr>
            <w:tcW w:w="2425" w:type="dxa"/>
          </w:tcPr>
          <w:p w14:paraId="132F8774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8984 (68.1%)</w:t>
            </w:r>
          </w:p>
        </w:tc>
        <w:tc>
          <w:tcPr>
            <w:tcW w:w="2425" w:type="dxa"/>
          </w:tcPr>
          <w:p w14:paraId="355EDC27" w14:textId="57400646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0AC668C6" w14:textId="13309159" w:rsidTr="00B511E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A9F70EB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Exposure to pollutants</w:t>
            </w:r>
          </w:p>
        </w:tc>
        <w:tc>
          <w:tcPr>
            <w:tcW w:w="2425" w:type="dxa"/>
          </w:tcPr>
          <w:p w14:paraId="61BBBA04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1658 (24.1%)</w:t>
            </w:r>
          </w:p>
        </w:tc>
        <w:tc>
          <w:tcPr>
            <w:tcW w:w="2425" w:type="dxa"/>
          </w:tcPr>
          <w:p w14:paraId="79DC12B3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3215 (24.4%)</w:t>
            </w:r>
          </w:p>
        </w:tc>
        <w:tc>
          <w:tcPr>
            <w:tcW w:w="2425" w:type="dxa"/>
          </w:tcPr>
          <w:p w14:paraId="4944BA41" w14:textId="4E3D8AE3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08B707E6" w14:textId="6CAA2EEB" w:rsidTr="00B51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8AE1E43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T2DM</w:t>
            </w:r>
          </w:p>
        </w:tc>
        <w:tc>
          <w:tcPr>
            <w:tcW w:w="2425" w:type="dxa"/>
          </w:tcPr>
          <w:p w14:paraId="4ACBE23B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505 (3.8%)</w:t>
            </w:r>
          </w:p>
        </w:tc>
        <w:tc>
          <w:tcPr>
            <w:tcW w:w="2425" w:type="dxa"/>
          </w:tcPr>
          <w:p w14:paraId="0AB2CEDF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505 (3.8%)</w:t>
            </w:r>
          </w:p>
        </w:tc>
        <w:tc>
          <w:tcPr>
            <w:tcW w:w="2425" w:type="dxa"/>
          </w:tcPr>
          <w:p w14:paraId="57D6EF5F" w14:textId="2A06100A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14EA1852" w14:textId="6BA9EF0B" w:rsidTr="00B511E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0B6AF95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Hypertension</w:t>
            </w:r>
          </w:p>
        </w:tc>
        <w:tc>
          <w:tcPr>
            <w:tcW w:w="2425" w:type="dxa"/>
          </w:tcPr>
          <w:p w14:paraId="2B7AEDB4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it-IT"/>
                <w14:ligatures w14:val="none"/>
              </w:rPr>
              <w:t>1552 (11.7%)</w:t>
            </w:r>
          </w:p>
        </w:tc>
        <w:tc>
          <w:tcPr>
            <w:tcW w:w="2425" w:type="dxa"/>
          </w:tcPr>
          <w:p w14:paraId="25FDCE8F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it-IT"/>
                <w14:ligatures w14:val="none"/>
              </w:rPr>
              <w:t>1552 (11.7%)</w:t>
            </w:r>
          </w:p>
        </w:tc>
        <w:tc>
          <w:tcPr>
            <w:tcW w:w="2425" w:type="dxa"/>
          </w:tcPr>
          <w:p w14:paraId="71446989" w14:textId="45A226D9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  <w:tr w:rsidR="00B511EA" w:rsidRPr="004C63CD" w14:paraId="0FD57CAE" w14:textId="6891A660" w:rsidTr="00B51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3B3C97E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  <w:lang w:val="en-GB"/>
              </w:rPr>
              <w:t>Dyslipidemia</w:t>
            </w:r>
          </w:p>
        </w:tc>
        <w:tc>
          <w:tcPr>
            <w:tcW w:w="2425" w:type="dxa"/>
          </w:tcPr>
          <w:p w14:paraId="5345E075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153 (1.2%)</w:t>
            </w:r>
          </w:p>
        </w:tc>
        <w:tc>
          <w:tcPr>
            <w:tcW w:w="2425" w:type="dxa"/>
          </w:tcPr>
          <w:p w14:paraId="3AC0C1BF" w14:textId="7777777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4C63CD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153 (1.2%)</w:t>
            </w:r>
          </w:p>
        </w:tc>
        <w:tc>
          <w:tcPr>
            <w:tcW w:w="2425" w:type="dxa"/>
          </w:tcPr>
          <w:p w14:paraId="36A8A996" w14:textId="78B93D27" w:rsidR="00B511EA" w:rsidRPr="004C63CD" w:rsidRDefault="00B511EA" w:rsidP="00B511EA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</w:pPr>
            <w:r w:rsidRPr="00D8354F">
              <w:rPr>
                <w:rFonts w:ascii="Times New Roman" w:hAnsi="Times New Roman" w:cs="Times New Roman"/>
                <w:color w:val="EE0000"/>
                <w:sz w:val="22"/>
                <w:szCs w:val="22"/>
                <w:lang w:val="en-GB"/>
              </w:rPr>
              <w:t>&lt;0.01</w:t>
            </w:r>
          </w:p>
        </w:tc>
      </w:tr>
    </w:tbl>
    <w:p w14:paraId="363F7C27" w14:textId="77777777" w:rsidR="00B511EA" w:rsidRDefault="00B511EA" w:rsidP="00B511EA">
      <w:pPr>
        <w:spacing w:line="480" w:lineRule="auto"/>
        <w:rPr>
          <w:rFonts w:ascii="Times New Roman" w:hAnsi="Times New Roman" w:cs="Times New Roman"/>
          <w:color w:val="EE0000"/>
          <w:sz w:val="20"/>
          <w:szCs w:val="20"/>
        </w:rPr>
      </w:pPr>
    </w:p>
    <w:p w14:paraId="6E5C451C" w14:textId="50610D13" w:rsidR="004C63CD" w:rsidRPr="00B511EA" w:rsidRDefault="00B511EA" w:rsidP="00B511EA">
      <w:pPr>
        <w:spacing w:line="480" w:lineRule="auto"/>
        <w:rPr>
          <w:rFonts w:ascii="Times New Roman" w:hAnsi="Times New Roman" w:cs="Times New Roman"/>
          <w:color w:val="EE0000"/>
          <w:sz w:val="20"/>
          <w:szCs w:val="20"/>
        </w:rPr>
      </w:pPr>
      <w:r w:rsidRPr="00B511EA">
        <w:rPr>
          <w:rFonts w:ascii="Times New Roman" w:hAnsi="Times New Roman" w:cs="Times New Roman"/>
          <w:color w:val="EE0000"/>
          <w:sz w:val="20"/>
          <w:szCs w:val="20"/>
        </w:rPr>
        <w:t>SMD = standardized mean difference. Values &lt;0.1 indicate negligible differences between datasets.</w:t>
      </w:r>
    </w:p>
    <w:sectPr w:rsidR="004C63CD" w:rsidRPr="00B511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0tLQwMzEyN7QwtDRU0lEKTi0uzszPAymwqAUACQnULSwAAAA="/>
  </w:docVars>
  <w:rsids>
    <w:rsidRoot w:val="00604B6A"/>
    <w:rsid w:val="00122507"/>
    <w:rsid w:val="00173B21"/>
    <w:rsid w:val="001C7379"/>
    <w:rsid w:val="0023521D"/>
    <w:rsid w:val="00274245"/>
    <w:rsid w:val="0032255C"/>
    <w:rsid w:val="00442B70"/>
    <w:rsid w:val="00471743"/>
    <w:rsid w:val="004C63CD"/>
    <w:rsid w:val="005133AC"/>
    <w:rsid w:val="00577155"/>
    <w:rsid w:val="005E053A"/>
    <w:rsid w:val="00604B6A"/>
    <w:rsid w:val="00634F8F"/>
    <w:rsid w:val="00670517"/>
    <w:rsid w:val="00792FE7"/>
    <w:rsid w:val="008268CE"/>
    <w:rsid w:val="00835EFB"/>
    <w:rsid w:val="008844E8"/>
    <w:rsid w:val="00922793"/>
    <w:rsid w:val="009C695D"/>
    <w:rsid w:val="009D6C33"/>
    <w:rsid w:val="00A31BE2"/>
    <w:rsid w:val="00A70B85"/>
    <w:rsid w:val="00A722D0"/>
    <w:rsid w:val="00A7722F"/>
    <w:rsid w:val="00AF08D3"/>
    <w:rsid w:val="00B331BE"/>
    <w:rsid w:val="00B511EA"/>
    <w:rsid w:val="00BA34DE"/>
    <w:rsid w:val="00CC08DE"/>
    <w:rsid w:val="00CC1B3C"/>
    <w:rsid w:val="00CF0BDF"/>
    <w:rsid w:val="00D87C84"/>
    <w:rsid w:val="00EC0DA9"/>
    <w:rsid w:val="00FC76BB"/>
    <w:rsid w:val="00F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362D4"/>
  <w15:chartTrackingRefBased/>
  <w15:docId w15:val="{7131BA71-BBDC-4541-B6E6-22093D4B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4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4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4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4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4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4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4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4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4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4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4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B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4B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4B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4B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4B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4B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4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4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4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4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4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4B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4B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4B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4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4B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4B6A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604B6A"/>
    <w:rPr>
      <w:b/>
      <w:bCs/>
    </w:rPr>
  </w:style>
  <w:style w:type="table" w:styleId="Tabellasemplice-2">
    <w:name w:val="Plain Table 2"/>
    <w:basedOn w:val="Tabellanormale"/>
    <w:uiPriority w:val="42"/>
    <w:rsid w:val="00604B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C63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Contaldi</dc:creator>
  <cp:keywords/>
  <dc:description/>
  <cp:lastModifiedBy>Elena Contaldi</cp:lastModifiedBy>
  <cp:revision>2</cp:revision>
  <dcterms:created xsi:type="dcterms:W3CDTF">2025-12-19T14:59:00Z</dcterms:created>
  <dcterms:modified xsi:type="dcterms:W3CDTF">2025-12-19T14:59:00Z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f9e55316-8e52-4814-a1be-45bbe8e774e3</vt:lpwstr>
  </property>
</Properties>
</file>