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70D68" w14:textId="0E923607" w:rsidR="007A6675" w:rsidRPr="000E4A8E" w:rsidRDefault="00D0001B">
      <w:r w:rsidRPr="000E4A8E">
        <w:t>Supplementa</w:t>
      </w:r>
      <w:r w:rsidR="006E5909" w:rsidRPr="000E4A8E">
        <w:t>ry</w:t>
      </w:r>
      <w:r w:rsidRPr="000E4A8E">
        <w:t xml:space="preserve"> material</w:t>
      </w:r>
    </w:p>
    <w:p w14:paraId="0DAB09AF" w14:textId="765E7941" w:rsidR="00D0001B" w:rsidRPr="000E4A8E" w:rsidRDefault="00D0001B"/>
    <w:p w14:paraId="07CB9B31" w14:textId="3E7B6C28" w:rsidR="00D0001B" w:rsidRPr="000E4A8E" w:rsidRDefault="00D0001B" w:rsidP="00D0001B">
      <w:pPr>
        <w:keepNext/>
        <w:keepLines/>
        <w:widowControl w:val="0"/>
        <w:rPr>
          <w:b/>
          <w:bCs/>
        </w:rPr>
      </w:pPr>
      <w:r w:rsidRPr="000E4A8E">
        <w:rPr>
          <w:b/>
          <w:bCs/>
        </w:rPr>
        <w:t>Supplementa</w:t>
      </w:r>
      <w:r w:rsidR="006E5909" w:rsidRPr="000E4A8E">
        <w:rPr>
          <w:b/>
          <w:bCs/>
        </w:rPr>
        <w:t>ry</w:t>
      </w:r>
      <w:r w:rsidRPr="000E4A8E">
        <w:rPr>
          <w:b/>
          <w:bCs/>
        </w:rPr>
        <w:t xml:space="preserve"> Table </w:t>
      </w:r>
      <w:r w:rsidR="0022084F" w:rsidRPr="000E4A8E">
        <w:rPr>
          <w:b/>
          <w:bCs/>
        </w:rPr>
        <w:t>1</w:t>
      </w:r>
      <w:r w:rsidRPr="000E4A8E">
        <w:rPr>
          <w:b/>
          <w:bCs/>
        </w:rPr>
        <w:t>: Inclusion and Exclusion criteria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016"/>
      </w:tblGrid>
      <w:tr w:rsidR="00AE4864" w:rsidRPr="000E4A8E" w14:paraId="2DF506CC" w14:textId="77777777" w:rsidTr="00AE4864">
        <w:trPr>
          <w:trHeight w:val="32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CA57B" w14:textId="77777777" w:rsidR="00AE4864" w:rsidRPr="000E4A8E" w:rsidRDefault="00AE4864" w:rsidP="00AE4864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Inclusion Criteria:</w:t>
            </w:r>
          </w:p>
        </w:tc>
      </w:tr>
      <w:tr w:rsidR="00AE4864" w:rsidRPr="000E4A8E" w14:paraId="5F9A9D1B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92E8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 A diagnosis of Parkinson’s disease (in accordance with the MDS diagnostic criteria*) within 7 years of the screening visit confirmed</w:t>
            </w:r>
            <w:r w:rsidRPr="000E4A8E">
              <w:rPr>
                <w:rFonts w:ascii="Arial" w:eastAsia="Calibri" w:hAnsi="Arial" w:cs="Arial"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by year of diagnosis.</w:t>
            </w:r>
          </w:p>
        </w:tc>
      </w:tr>
      <w:tr w:rsidR="00AE4864" w:rsidRPr="000E4A8E" w14:paraId="4C13A249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9F1F2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2. Adults aged ≥ 35 and ≤ 75 years. </w:t>
            </w:r>
          </w:p>
        </w:tc>
      </w:tr>
      <w:tr w:rsidR="00AE4864" w:rsidRPr="000E4A8E" w14:paraId="14405DC4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5AE67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 Hoehn and Yahr stage between 1-2.5, inclusive (in ON state) at screening visit.</w:t>
            </w:r>
          </w:p>
        </w:tc>
      </w:tr>
      <w:tr w:rsidR="00AE4864" w:rsidRPr="000E4A8E" w14:paraId="09B74C92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9F276" w14:textId="28AC70A2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4. Known glucocerebrosidase gene (GBA1) status, mutant or wildtype, confirmed prior to the screening visit. </w:t>
            </w:r>
          </w:p>
        </w:tc>
      </w:tr>
      <w:tr w:rsidR="00AE4864" w:rsidRPr="000E4A8E" w14:paraId="4297B3A4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13D40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5. On stable dopaminergic treatment for at least 3 months before enrolment.</w:t>
            </w:r>
          </w:p>
        </w:tc>
      </w:tr>
      <w:tr w:rsidR="00AE4864" w:rsidRPr="000E4A8E" w14:paraId="599390A6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69ED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6. Able and willing to provide informed consent prior to any study related assessments and/or procedures.</w:t>
            </w:r>
          </w:p>
        </w:tc>
      </w:tr>
      <w:tr w:rsidR="00AE4864" w:rsidRPr="000E4A8E" w14:paraId="47B73D4D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0B32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7. Able and willing to attend trial visits and comply with all study procedures for the duration of the trial.</w:t>
            </w:r>
          </w:p>
        </w:tc>
      </w:tr>
      <w:tr w:rsidR="00AE4864" w:rsidRPr="000E4A8E" w14:paraId="2E6AB92A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79F64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8. Willing and able to self-administer oral ambroxol medication or placebo. </w:t>
            </w:r>
          </w:p>
        </w:tc>
      </w:tr>
      <w:tr w:rsidR="00AE4864" w:rsidRPr="000E4A8E" w14:paraId="08232DF4" w14:textId="77777777" w:rsidTr="00AE4864">
        <w:trPr>
          <w:trHeight w:val="36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E4112" w14:textId="77777777" w:rsidR="00AE4864" w:rsidRPr="000E4A8E" w:rsidRDefault="00AE4864" w:rsidP="00AE4864">
            <w:pPr>
              <w:ind w:firstLineChars="600" w:firstLine="1680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AE4864" w:rsidRPr="000E4A8E" w14:paraId="2837AC38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7119" w14:textId="77777777" w:rsidR="00AE4864" w:rsidRPr="000E4A8E" w:rsidRDefault="00AE4864" w:rsidP="00AE4864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Exclusion Criteria: </w:t>
            </w:r>
          </w:p>
        </w:tc>
      </w:tr>
      <w:tr w:rsidR="00AE4864" w:rsidRPr="000E4A8E" w14:paraId="1533CDFD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6958A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 Participation in another interventional clinical trial of an Investigational Medicinal Product (IMP) within 90 days prior to the first dose of trial treatment.</w:t>
            </w:r>
          </w:p>
        </w:tc>
      </w:tr>
      <w:tr w:rsidR="00AE4864" w:rsidRPr="000E4A8E" w14:paraId="59CE433C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22A50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 Use of an Investigational Medicinal Product (IMP) within 90 days prior to the first dose of trial treatment.</w:t>
            </w:r>
          </w:p>
        </w:tc>
      </w:tr>
      <w:tr w:rsidR="00AE4864" w:rsidRPr="000E4A8E" w14:paraId="79C95977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3E85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 Participation in another clinical trial of an Investigational New Drug being tested for PD disease modifying potential within 12 months prior to the first dose of trial treatment.</w:t>
            </w:r>
          </w:p>
        </w:tc>
      </w:tr>
      <w:tr w:rsidR="00AE4864" w:rsidRPr="000E4A8E" w14:paraId="36F6E7D9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A32AD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4. Past surgical history of deep brain stimulation. </w:t>
            </w:r>
          </w:p>
        </w:tc>
      </w:tr>
      <w:tr w:rsidR="00AE4864" w:rsidRPr="000E4A8E" w14:paraId="7C44A7F6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930DF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5. Use of ambroxol in the past 12 months.</w:t>
            </w:r>
          </w:p>
        </w:tc>
      </w:tr>
      <w:tr w:rsidR="00AE4864" w:rsidRPr="000E4A8E" w14:paraId="3AA258D8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771C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6. Exposure to Exenatide or other GLP-1/GIP receptor agonist within 12 months prior to the first dose in this current trial. </w:t>
            </w:r>
          </w:p>
        </w:tc>
      </w:tr>
      <w:tr w:rsidR="00AE4864" w:rsidRPr="000E4A8E" w14:paraId="3D61D714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3110" w14:textId="4F379BAA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7. </w:t>
            </w:r>
            <w:r w:rsidR="001165A0" w:rsidRPr="000E4A8E">
              <w:rPr>
                <w:sz w:val="22"/>
                <w:szCs w:val="22"/>
              </w:rPr>
              <w:t>Concomitant medications that are in the list of prohibited medications or that in the opinion of the Investigator would preclude participation in the study</w:t>
            </w:r>
          </w:p>
        </w:tc>
      </w:tr>
      <w:tr w:rsidR="00AE4864" w:rsidRPr="000E4A8E" w14:paraId="201712A3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4F0CE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8. Confirmed dysphagia that would preclude self-administration of ambroxol.</w:t>
            </w:r>
          </w:p>
        </w:tc>
      </w:tr>
      <w:tr w:rsidR="00AE4864" w:rsidRPr="000E4A8E" w14:paraId="25B6785A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BE2C" w14:textId="68326C08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9. History of known sensitivity to the study medication, ambroxol or its excipients </w:t>
            </w:r>
            <w:r w:rsidR="0022084F"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</w:t>
            </w: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microcrystalline cellulose, colloidal anhydrous silica, denatonium benzoate and magnesium stearate)</w:t>
            </w:r>
            <w:r w:rsidR="0022084F"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that</w:t>
            </w: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in the opinion of the investigator contraindicates their participation. </w:t>
            </w:r>
          </w:p>
        </w:tc>
      </w:tr>
      <w:tr w:rsidR="00AE4864" w:rsidRPr="000E4A8E" w14:paraId="31E94DC7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CA6B" w14:textId="77777777" w:rsidR="00AE4864" w:rsidRPr="000E4A8E" w:rsidRDefault="00AE4864" w:rsidP="00AE4864">
            <w:pPr>
              <w:ind w:firstLineChars="600" w:firstLine="13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E4864" w:rsidRPr="000E4A8E" w14:paraId="2EC7EA8B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9C24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10. History of known rare hereditary disorders of galactose intolerance, Lapp lactase deficiency or glucose-galactose malabsorption.</w:t>
            </w:r>
          </w:p>
        </w:tc>
      </w:tr>
      <w:tr w:rsidR="00AE4864" w:rsidRPr="000E4A8E" w14:paraId="5E306CEE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ABB1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11. Presence of the LRRK2 G2019S mutation (please see section 3.2.6 for further details).</w:t>
            </w:r>
          </w:p>
        </w:tc>
      </w:tr>
      <w:tr w:rsidR="00AE4864" w:rsidRPr="000E4A8E" w14:paraId="7ACB70B4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FD92E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12. History of drug abuse or alcoholism in the opinion of the Investigator that would preclude participation in the trial. </w:t>
            </w:r>
          </w:p>
        </w:tc>
      </w:tr>
      <w:tr w:rsidR="00AE4864" w:rsidRPr="000E4A8E" w14:paraId="14E73F6E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B608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13. Pregnant or planned pregnancy during the trial and/or breastfeeding.</w:t>
            </w:r>
          </w:p>
        </w:tc>
      </w:tr>
      <w:tr w:rsidR="00AE4864" w:rsidRPr="000E4A8E" w14:paraId="6D4F49A9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90F5E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14. Women of childbearing potential (WOCBP) and male participants with a partner of childbearing potential not willing to use highly effective contraception or abstinence (as described in section 3.2.1) for the duration of the trial treatment and for 2 weeks following the last dose of the study drug. </w:t>
            </w:r>
          </w:p>
        </w:tc>
      </w:tr>
      <w:tr w:rsidR="00AE4864" w:rsidRPr="000E4A8E" w14:paraId="78093F79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9C14C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15. Any clinically significant or unstable medical or surgical condition that in the opinion of the Investigator may; put the participant at risk when participating in the study, influence the results of the study or affect the participants ability to take part in the study, as </w:t>
            </w: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determined by medical history, physical examinations, electrocardiogram (ECG) or laboratory tests. Such conditions may include:</w:t>
            </w:r>
          </w:p>
        </w:tc>
      </w:tr>
      <w:tr w:rsidR="00AE4864" w:rsidRPr="000E4A8E" w14:paraId="24BB8F88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EE02" w14:textId="77777777" w:rsidR="00AE4864" w:rsidRPr="000E4A8E" w:rsidRDefault="00AE4864" w:rsidP="00AE4864">
            <w:pPr>
              <w:ind w:firstLineChars="900" w:firstLine="1980"/>
              <w:rPr>
                <w:rFonts w:ascii="Symbol" w:eastAsia="Times New Roman" w:hAnsi="Symbol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Symbol" w:eastAsia="Symbol" w:hAnsi="Symbol" w:cs="Symbo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</w:t>
            </w:r>
            <w:r w:rsidRPr="000E4A8E">
              <w:rPr>
                <w:rFonts w:ascii="Times New Roman" w:eastAsia="Symbol" w:hAnsi="Times New Roman" w:cs="Times New Roman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       </w:t>
            </w:r>
            <w:r w:rsidRPr="000E4A8E">
              <w:rPr>
                <w:rFonts w:ascii="Arial" w:eastAsia="Symbol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Impaired renal function with creatinine clearance &lt;50ml/min at screening visit.</w:t>
            </w:r>
          </w:p>
        </w:tc>
      </w:tr>
      <w:tr w:rsidR="00AE4864" w:rsidRPr="000E4A8E" w14:paraId="610C8EBF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0EDA" w14:textId="77777777" w:rsidR="00AE4864" w:rsidRPr="000E4A8E" w:rsidRDefault="00AE4864" w:rsidP="00AE4864">
            <w:pPr>
              <w:ind w:firstLineChars="900" w:firstLine="1980"/>
              <w:rPr>
                <w:rFonts w:ascii="Symbol" w:eastAsia="Times New Roman" w:hAnsi="Symbol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Symbol" w:eastAsia="Symbol" w:hAnsi="Symbol" w:cs="Symbo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</w:t>
            </w:r>
            <w:r w:rsidRPr="000E4A8E">
              <w:rPr>
                <w:rFonts w:ascii="Times New Roman" w:eastAsia="Symbol" w:hAnsi="Times New Roman" w:cs="Times New Roman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       </w:t>
            </w:r>
            <w:r w:rsidRPr="000E4A8E">
              <w:rPr>
                <w:rFonts w:ascii="Arial" w:eastAsia="Symbol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Moderate or Severe hepatic impairment </w:t>
            </w:r>
          </w:p>
        </w:tc>
      </w:tr>
      <w:tr w:rsidR="00AE4864" w:rsidRPr="000E4A8E" w14:paraId="0ACB15E0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D0F27" w14:textId="03B0A316" w:rsidR="00AE4864" w:rsidRPr="000E4A8E" w:rsidRDefault="00AE4864" w:rsidP="00AE4864">
            <w:pPr>
              <w:ind w:firstLineChars="900" w:firstLine="1980"/>
              <w:rPr>
                <w:rFonts w:ascii="Symbol" w:eastAsia="Times New Roman" w:hAnsi="Symbol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Symbol" w:eastAsia="Symbol" w:hAnsi="Symbol" w:cs="Symbo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</w:t>
            </w:r>
            <w:r w:rsidRPr="000E4A8E">
              <w:rPr>
                <w:rFonts w:ascii="Times New Roman" w:eastAsia="Symbol" w:hAnsi="Times New Roman" w:cs="Times New Roman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       </w:t>
            </w:r>
            <w:r w:rsidRPr="000E4A8E">
              <w:rPr>
                <w:rFonts w:ascii="Arial" w:eastAsia="Symbol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 major cardiovascular event (e.g., myocardial infarction, acute coronary syndrome, </w:t>
            </w:r>
            <w:r w:rsidR="001C545D" w:rsidRPr="000E4A8E">
              <w:rPr>
                <w:rFonts w:ascii="Arial" w:eastAsia="Symbol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</w:t>
            </w:r>
            <w:r w:rsidRPr="000E4A8E">
              <w:rPr>
                <w:rFonts w:ascii="Arial" w:eastAsia="Symbol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compensated congestive heart failure, pulmonary embolism, coronary revascularisation) that occurred within 6 months prior to the screening visit. </w:t>
            </w:r>
          </w:p>
        </w:tc>
      </w:tr>
      <w:tr w:rsidR="00AE4864" w:rsidRPr="000E4A8E" w14:paraId="6C958787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E986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16. Severe depression defined by a score &gt;20 on the Beck Depression Inventory-II (BDI-II) at screening.</w:t>
            </w:r>
          </w:p>
        </w:tc>
      </w:tr>
      <w:tr w:rsidR="00AE4864" w:rsidRPr="000E4A8E" w14:paraId="426762CB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3BAE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17. Significant cognitive impairment defined by a score &lt;20 on the Montreal Cognitive Assessment (MoCA) at screening.</w:t>
            </w:r>
          </w:p>
        </w:tc>
      </w:tr>
      <w:tr w:rsidR="00AE4864" w:rsidRPr="000E4A8E" w14:paraId="7B65A63D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5E4C2" w14:textId="77777777" w:rsidR="00AE4864" w:rsidRPr="000E4A8E" w:rsidRDefault="00AE4864" w:rsidP="00AE4864">
            <w:pPr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18. Use of trihexyphenidyl or benztropine within 30 days prior to the first dose of trial treatment.</w:t>
            </w:r>
          </w:p>
        </w:tc>
      </w:tr>
      <w:tr w:rsidR="00AE4864" w:rsidRPr="000E4A8E" w14:paraId="016B6786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7621B" w14:textId="77777777" w:rsidR="00AE4864" w:rsidRPr="000E4A8E" w:rsidRDefault="00AE4864" w:rsidP="00AE4864">
            <w:pPr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19. Only applicable for those patients consenting to the optional CSF sub-study:</w:t>
            </w: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Evidence or history of hypersensitivity to lidocaine or its derivatives. </w:t>
            </w:r>
          </w:p>
        </w:tc>
      </w:tr>
      <w:tr w:rsidR="00AE4864" w:rsidRPr="000E4A8E" w14:paraId="16C2236C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F3E9F" w14:textId="77777777" w:rsidR="00AE4864" w:rsidRPr="000E4A8E" w:rsidRDefault="00AE4864" w:rsidP="00AE4864">
            <w:pPr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20. Only applicable for those patients consenting to the optional CSF sub-study:</w:t>
            </w: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Current treatment with anti-coagulants (e.g., warfarin) that might preclude safe completion of the lumbar puncture in the opinion of the Investigator. Aspirin will be permitted.  </w:t>
            </w:r>
          </w:p>
        </w:tc>
      </w:tr>
      <w:tr w:rsidR="00AE4864" w:rsidRPr="000E4A8E" w14:paraId="0C9DA68E" w14:textId="77777777" w:rsidTr="00AE4864">
        <w:trPr>
          <w:trHeight w:val="32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5940E" w14:textId="77777777" w:rsidR="00AE4864" w:rsidRPr="000E4A8E" w:rsidRDefault="00AE4864" w:rsidP="00AE4864">
            <w:pPr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E4A8E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21. Only applicable for those patients consenting to the optional CSF sub-study</w:t>
            </w:r>
            <w:r w:rsidRPr="000E4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: Significant known lower spinal malformations or other spinal abnormalities that would preclude a lumbar puncture.</w:t>
            </w:r>
          </w:p>
        </w:tc>
      </w:tr>
    </w:tbl>
    <w:p w14:paraId="19BCAE70" w14:textId="26BEC2A5" w:rsidR="00DE19FC" w:rsidRPr="000E4A8E" w:rsidRDefault="00DE19FC" w:rsidP="00DE19FC">
      <w:pPr>
        <w:pStyle w:val="Default"/>
        <w:rPr>
          <w:sz w:val="18"/>
          <w:szCs w:val="18"/>
        </w:rPr>
      </w:pPr>
      <w:r w:rsidRPr="000E4A8E">
        <w:t>*</w:t>
      </w:r>
      <w:r w:rsidRPr="000E4A8E">
        <w:rPr>
          <w:i/>
          <w:iCs/>
          <w:sz w:val="18"/>
          <w:szCs w:val="18"/>
        </w:rPr>
        <w:t xml:space="preserve"> The MDS diagnostic criteria for probable or established PD may be used to help assist in the diagnosis</w:t>
      </w:r>
    </w:p>
    <w:p w14:paraId="433C643D" w14:textId="1AFC24C3" w:rsidR="003123C8" w:rsidRPr="000E4A8E" w:rsidRDefault="003123C8" w:rsidP="00D0001B">
      <w:pPr>
        <w:keepNext/>
        <w:keepLines/>
        <w:widowControl w:val="0"/>
      </w:pPr>
    </w:p>
    <w:p w14:paraId="6B6191A9" w14:textId="77777777" w:rsidR="00A423BC" w:rsidRPr="000E4A8E" w:rsidRDefault="00A423BC" w:rsidP="00D0001B">
      <w:pPr>
        <w:keepNext/>
        <w:keepLines/>
        <w:widowControl w:val="0"/>
      </w:pPr>
    </w:p>
    <w:p w14:paraId="656CB276" w14:textId="0A6CE4B5" w:rsidR="00A423BC" w:rsidRPr="000E4A8E" w:rsidRDefault="00A423BC" w:rsidP="00D0001B">
      <w:pPr>
        <w:keepNext/>
        <w:keepLines/>
        <w:widowControl w:val="0"/>
        <w:rPr>
          <w:b/>
          <w:bCs/>
        </w:rPr>
      </w:pPr>
      <w:r w:rsidRPr="000E4A8E">
        <w:rPr>
          <w:b/>
          <w:bCs/>
        </w:rPr>
        <w:t>Supplementary Table 2: prohibited medications</w:t>
      </w:r>
    </w:p>
    <w:tbl>
      <w:tblPr>
        <w:tblW w:w="9016" w:type="dxa"/>
        <w:tblLook w:val="04A0" w:firstRow="1" w:lastRow="0" w:firstColumn="1" w:lastColumn="0" w:noHBand="0" w:noVBand="1"/>
      </w:tblPr>
      <w:tblGrid>
        <w:gridCol w:w="9016"/>
      </w:tblGrid>
      <w:tr w:rsidR="00A423BC" w:rsidRPr="000E4A8E" w14:paraId="24A82B5F" w14:textId="77777777" w:rsidTr="00A423BC">
        <w:trPr>
          <w:trHeight w:val="320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CCB83" w14:textId="77777777" w:rsidR="00A423BC" w:rsidRPr="000E4A8E" w:rsidRDefault="00A423BC" w:rsidP="00A423B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Exenatide</w:t>
            </w:r>
          </w:p>
        </w:tc>
      </w:tr>
      <w:tr w:rsidR="00A423BC" w:rsidRPr="000E4A8E" w14:paraId="79D67F37" w14:textId="77777777" w:rsidTr="00A423BC">
        <w:trPr>
          <w:trHeight w:val="320"/>
        </w:trPr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499A0" w14:textId="77777777" w:rsidR="00A423BC" w:rsidRPr="000E4A8E" w:rsidRDefault="00A423BC" w:rsidP="00A423B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Dulaglutide</w:t>
            </w:r>
          </w:p>
        </w:tc>
      </w:tr>
      <w:tr w:rsidR="00A423BC" w:rsidRPr="000E4A8E" w14:paraId="5DA52B68" w14:textId="77777777" w:rsidTr="00A423BC">
        <w:trPr>
          <w:trHeight w:val="320"/>
        </w:trPr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B56FE" w14:textId="77777777" w:rsidR="00A423BC" w:rsidRPr="000E4A8E" w:rsidRDefault="00A423BC" w:rsidP="00A423B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Exenatide extended release</w:t>
            </w:r>
          </w:p>
        </w:tc>
      </w:tr>
      <w:tr w:rsidR="00A423BC" w:rsidRPr="000E4A8E" w14:paraId="3DDBA7D5" w14:textId="77777777" w:rsidTr="00A423BC">
        <w:trPr>
          <w:trHeight w:val="320"/>
        </w:trPr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F2C85" w14:textId="77777777" w:rsidR="00A423BC" w:rsidRPr="000E4A8E" w:rsidRDefault="00A423BC" w:rsidP="00A423B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Semaglutide</w:t>
            </w:r>
            <w:proofErr w:type="spellEnd"/>
          </w:p>
        </w:tc>
      </w:tr>
      <w:tr w:rsidR="00A423BC" w:rsidRPr="000E4A8E" w14:paraId="7512BD9B" w14:textId="77777777" w:rsidTr="00A423BC">
        <w:trPr>
          <w:trHeight w:val="320"/>
        </w:trPr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27517" w14:textId="77777777" w:rsidR="00A423BC" w:rsidRPr="000E4A8E" w:rsidRDefault="00A423BC" w:rsidP="00A423B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Liraglutide</w:t>
            </w:r>
          </w:p>
        </w:tc>
      </w:tr>
      <w:tr w:rsidR="00A423BC" w:rsidRPr="000E4A8E" w14:paraId="1C2D89E0" w14:textId="77777777" w:rsidTr="00A423BC">
        <w:trPr>
          <w:trHeight w:val="320"/>
        </w:trPr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0E3BC" w14:textId="77777777" w:rsidR="00A423BC" w:rsidRPr="000E4A8E" w:rsidRDefault="00A423BC" w:rsidP="00A423B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Lixisenatide</w:t>
            </w:r>
            <w:proofErr w:type="spellEnd"/>
          </w:p>
        </w:tc>
      </w:tr>
      <w:tr w:rsidR="00A423BC" w:rsidRPr="000E4A8E" w14:paraId="51D0D5A3" w14:textId="77777777" w:rsidTr="00A423BC">
        <w:trPr>
          <w:trHeight w:val="320"/>
        </w:trPr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F237B" w14:textId="77777777" w:rsidR="00A423BC" w:rsidRPr="000E4A8E" w:rsidRDefault="00A423BC" w:rsidP="00A423B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Chlorpromazine </w:t>
            </w:r>
          </w:p>
        </w:tc>
      </w:tr>
      <w:tr w:rsidR="00A423BC" w:rsidRPr="000E4A8E" w14:paraId="56CBE234" w14:textId="77777777" w:rsidTr="00A423BC">
        <w:trPr>
          <w:trHeight w:val="320"/>
        </w:trPr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0B1A5" w14:textId="77777777" w:rsidR="00A423BC" w:rsidRPr="000E4A8E" w:rsidRDefault="00A423BC" w:rsidP="00A423B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Metoclopramide</w:t>
            </w:r>
          </w:p>
        </w:tc>
      </w:tr>
      <w:tr w:rsidR="00A423BC" w:rsidRPr="000E4A8E" w14:paraId="4D4D8DD4" w14:textId="77777777" w:rsidTr="00A423BC">
        <w:trPr>
          <w:trHeight w:val="320"/>
        </w:trPr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1C7DE" w14:textId="77777777" w:rsidR="00A423BC" w:rsidRPr="000E4A8E" w:rsidRDefault="00A423BC" w:rsidP="00A423B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Promethazine</w:t>
            </w:r>
          </w:p>
        </w:tc>
      </w:tr>
      <w:tr w:rsidR="00A423BC" w:rsidRPr="000E4A8E" w14:paraId="3F2745FE" w14:textId="77777777" w:rsidTr="00A423BC">
        <w:trPr>
          <w:trHeight w:val="320"/>
        </w:trPr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6D35C" w14:textId="77777777" w:rsidR="00A423BC" w:rsidRPr="000E4A8E" w:rsidRDefault="00A423BC" w:rsidP="00A423B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Paliperidone</w:t>
            </w:r>
          </w:p>
        </w:tc>
      </w:tr>
      <w:tr w:rsidR="00A423BC" w:rsidRPr="000E4A8E" w14:paraId="16D0BEB7" w14:textId="77777777" w:rsidTr="00A423BC">
        <w:trPr>
          <w:trHeight w:val="320"/>
        </w:trPr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4E562" w14:textId="77777777" w:rsidR="00A423BC" w:rsidRPr="000E4A8E" w:rsidRDefault="00A423BC" w:rsidP="00A423B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Risperidone</w:t>
            </w:r>
          </w:p>
        </w:tc>
      </w:tr>
      <w:tr w:rsidR="00A423BC" w:rsidRPr="000E4A8E" w14:paraId="3658F05D" w14:textId="77777777" w:rsidTr="00A423BC">
        <w:trPr>
          <w:trHeight w:val="320"/>
        </w:trPr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12B59" w14:textId="34F65EB1" w:rsidR="00A423BC" w:rsidRPr="000E4A8E" w:rsidRDefault="00A423BC" w:rsidP="00A423B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Que</w:t>
            </w:r>
            <w:r w:rsidR="00650B82"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</w:t>
            </w:r>
            <w:r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iapine</w:t>
            </w:r>
          </w:p>
        </w:tc>
      </w:tr>
      <w:tr w:rsidR="00A423BC" w:rsidRPr="000E4A8E" w14:paraId="542FEFFC" w14:textId="77777777" w:rsidTr="00A423BC">
        <w:trPr>
          <w:trHeight w:val="320"/>
        </w:trPr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A035E" w14:textId="77777777" w:rsidR="00A423BC" w:rsidRPr="000E4A8E" w:rsidRDefault="00A423BC" w:rsidP="00A423B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Clozapine</w:t>
            </w:r>
          </w:p>
        </w:tc>
      </w:tr>
      <w:tr w:rsidR="00A423BC" w:rsidRPr="000E4A8E" w14:paraId="4E04D616" w14:textId="77777777" w:rsidTr="00A423BC">
        <w:trPr>
          <w:trHeight w:val="320"/>
        </w:trPr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67149" w14:textId="77777777" w:rsidR="00A423BC" w:rsidRPr="000E4A8E" w:rsidRDefault="00A423BC" w:rsidP="00A423B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Trihexyphenidyl and benztropine</w:t>
            </w:r>
          </w:p>
        </w:tc>
      </w:tr>
      <w:tr w:rsidR="000216F4" w:rsidRPr="000E4A8E" w14:paraId="12576DB8" w14:textId="77777777" w:rsidTr="00A423BC">
        <w:trPr>
          <w:trHeight w:val="320"/>
        </w:trPr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E1FD1" w14:textId="19004EDA" w:rsidR="000216F4" w:rsidRPr="000E4A8E" w:rsidRDefault="000216F4" w:rsidP="00A423B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Tirzepatide</w:t>
            </w:r>
            <w:proofErr w:type="spellEnd"/>
            <w:r w:rsidR="008274A8"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</w:tr>
      <w:tr w:rsidR="000216F4" w:rsidRPr="000E4A8E" w14:paraId="6F80D0D0" w14:textId="77777777" w:rsidTr="00A423BC">
        <w:trPr>
          <w:trHeight w:val="320"/>
        </w:trPr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61140" w14:textId="61E869CB" w:rsidR="000216F4" w:rsidRPr="000E4A8E" w:rsidRDefault="000216F4" w:rsidP="00A423B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Mucuna Pruriens</w:t>
            </w:r>
            <w:r w:rsidR="008274A8"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</w:tr>
      <w:tr w:rsidR="00A423BC" w:rsidRPr="000E4A8E" w14:paraId="519787F7" w14:textId="77777777" w:rsidTr="00A423BC">
        <w:trPr>
          <w:trHeight w:val="320"/>
        </w:trPr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5D84B" w14:textId="77777777" w:rsidR="00A423BC" w:rsidRPr="000E4A8E" w:rsidRDefault="00A423BC" w:rsidP="00A423BC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E4A8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Any other medication that in the opinion of the Investigator should preclude participation in the trial</w:t>
            </w:r>
          </w:p>
        </w:tc>
      </w:tr>
    </w:tbl>
    <w:p w14:paraId="3B9B037E" w14:textId="05C37BA7" w:rsidR="00A423BC" w:rsidRPr="000E4A8E" w:rsidRDefault="008274A8" w:rsidP="00D0001B">
      <w:pPr>
        <w:keepNext/>
        <w:keepLines/>
        <w:widowControl w:val="0"/>
        <w:rPr>
          <w:rFonts w:ascii="Arial" w:hAnsi="Arial" w:cs="Arial"/>
          <w:i/>
          <w:iCs/>
          <w:sz w:val="18"/>
          <w:szCs w:val="18"/>
        </w:rPr>
      </w:pPr>
      <w:r w:rsidRPr="000E4A8E">
        <w:rPr>
          <w:rFonts w:ascii="Arial" w:hAnsi="Arial" w:cs="Arial"/>
          <w:i/>
          <w:iCs/>
          <w:sz w:val="18"/>
          <w:szCs w:val="18"/>
        </w:rPr>
        <w:t>*this medication has been added in an amendment that is pending approval</w:t>
      </w:r>
      <w:bookmarkStart w:id="0" w:name="_GoBack"/>
      <w:bookmarkEnd w:id="0"/>
    </w:p>
    <w:sectPr w:rsidR="00A423BC" w:rsidRPr="000E4A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1B"/>
    <w:rsid w:val="000216F4"/>
    <w:rsid w:val="000E4A8E"/>
    <w:rsid w:val="00112169"/>
    <w:rsid w:val="001165A0"/>
    <w:rsid w:val="00180D4F"/>
    <w:rsid w:val="001C545D"/>
    <w:rsid w:val="0022084F"/>
    <w:rsid w:val="003123C8"/>
    <w:rsid w:val="004A4189"/>
    <w:rsid w:val="005F6F44"/>
    <w:rsid w:val="00637657"/>
    <w:rsid w:val="00650B82"/>
    <w:rsid w:val="006B27FF"/>
    <w:rsid w:val="006B2E14"/>
    <w:rsid w:val="006C2130"/>
    <w:rsid w:val="006E5909"/>
    <w:rsid w:val="007A6675"/>
    <w:rsid w:val="008274A8"/>
    <w:rsid w:val="008343B8"/>
    <w:rsid w:val="009B0CB1"/>
    <w:rsid w:val="00A423BC"/>
    <w:rsid w:val="00AE4864"/>
    <w:rsid w:val="00BF0466"/>
    <w:rsid w:val="00C04153"/>
    <w:rsid w:val="00CB6082"/>
    <w:rsid w:val="00CC2705"/>
    <w:rsid w:val="00D0001B"/>
    <w:rsid w:val="00D410C3"/>
    <w:rsid w:val="00D97589"/>
    <w:rsid w:val="00DA4AB8"/>
    <w:rsid w:val="00DE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43482"/>
  <w15:chartTrackingRefBased/>
  <w15:docId w15:val="{1260BABB-0F98-784F-9D5E-20C84C2F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0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0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0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0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0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0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0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0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0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0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0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0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0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0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0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0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0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0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0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01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001B"/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000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01B"/>
    <w:pPr>
      <w:spacing w:after="160"/>
    </w:pPr>
    <w:rPr>
      <w:rFonts w:eastAsiaTheme="minorEastAsia"/>
      <w:kern w:val="0"/>
      <w:sz w:val="20"/>
      <w:szCs w:val="20"/>
      <w:lang w:eastAsia="ja-JP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01B"/>
    <w:rPr>
      <w:rFonts w:eastAsiaTheme="minorEastAsia"/>
      <w:kern w:val="0"/>
      <w:sz w:val="20"/>
      <w:szCs w:val="20"/>
      <w:lang w:eastAsia="ja-JP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E4864"/>
    <w:rPr>
      <w:color w:val="467886"/>
      <w:u w:val="single"/>
    </w:rPr>
  </w:style>
  <w:style w:type="paragraph" w:customStyle="1" w:styleId="Default">
    <w:name w:val="Default"/>
    <w:rsid w:val="003123C8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  <w:style w:type="paragraph" w:styleId="Revision">
    <w:name w:val="Revision"/>
    <w:hidden/>
    <w:uiPriority w:val="99"/>
    <w:semiHidden/>
    <w:rsid w:val="00DE19FC"/>
  </w:style>
  <w:style w:type="paragraph" w:styleId="BalloonText">
    <w:name w:val="Balloon Text"/>
    <w:basedOn w:val="Normal"/>
    <w:link w:val="BalloonTextChar"/>
    <w:uiPriority w:val="99"/>
    <w:semiHidden/>
    <w:unhideWhenUsed/>
    <w:rsid w:val="000E4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2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Toffoli, Marco</dc:creator>
  <cp:keywords/>
  <dc:description/>
  <cp:lastModifiedBy>Yuvaraj E R</cp:lastModifiedBy>
  <cp:revision>17</cp:revision>
  <dcterms:created xsi:type="dcterms:W3CDTF">2024-11-27T11:51:00Z</dcterms:created>
  <dcterms:modified xsi:type="dcterms:W3CDTF">2026-02-10T08:46:00Z</dcterms:modified>
</cp:coreProperties>
</file>