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AAE58" w14:textId="0BDAEFA2" w:rsidR="00031BFE" w:rsidRPr="00B10849" w:rsidRDefault="007A1CBC" w:rsidP="00D86979">
      <w:pPr>
        <w:jc w:val="center"/>
      </w:pPr>
      <w:bookmarkStart w:id="0" w:name="_GoBack"/>
      <w:r w:rsidRPr="00B10849">
        <w:t>Supplementary material for:</w:t>
      </w:r>
    </w:p>
    <w:p w14:paraId="3C4AC29B" w14:textId="77777777" w:rsidR="007A1CBC" w:rsidRPr="00B10849" w:rsidRDefault="007A1CBC" w:rsidP="007A1CBC">
      <w:pPr>
        <w:spacing w:after="0" w:line="240" w:lineRule="auto"/>
        <w:jc w:val="center"/>
        <w:rPr>
          <w:rFonts w:ascii="Arial" w:hAnsi="Arial" w:cs="Arial"/>
          <w:b/>
          <w:bCs/>
          <w:sz w:val="26"/>
          <w:szCs w:val="28"/>
        </w:rPr>
      </w:pPr>
      <w:r w:rsidRPr="00B10849">
        <w:rPr>
          <w:rFonts w:ascii="Arial" w:hAnsi="Arial" w:cs="Arial"/>
          <w:b/>
          <w:bCs/>
          <w:sz w:val="26"/>
          <w:szCs w:val="28"/>
        </w:rPr>
        <w:t>Personality Change After Traumatic Brain Injury:</w:t>
      </w:r>
    </w:p>
    <w:p w14:paraId="1B1888AE" w14:textId="77777777" w:rsidR="007A1CBC" w:rsidRPr="00B10849" w:rsidRDefault="007A1CBC" w:rsidP="007A1CBC">
      <w:pPr>
        <w:spacing w:after="0" w:line="240" w:lineRule="auto"/>
        <w:jc w:val="center"/>
        <w:rPr>
          <w:rFonts w:ascii="Times New Roman" w:hAnsi="Times New Roman" w:cs="Times New Roman"/>
          <w:b/>
          <w:bCs/>
          <w:sz w:val="26"/>
          <w:szCs w:val="28"/>
        </w:rPr>
      </w:pPr>
      <w:r w:rsidRPr="00B10849">
        <w:rPr>
          <w:rFonts w:ascii="Arial" w:hAnsi="Arial" w:cs="Arial"/>
          <w:b/>
          <w:bCs/>
          <w:sz w:val="26"/>
          <w:szCs w:val="28"/>
        </w:rPr>
        <w:t>A Systematic Review and Meta-analysis</w:t>
      </w:r>
    </w:p>
    <w:p w14:paraId="69C1CAB0" w14:textId="0F248E8E" w:rsidR="00E10F3C" w:rsidRPr="00B10849" w:rsidRDefault="00E10F3C" w:rsidP="00DA5445"/>
    <w:p w14:paraId="2366550A" w14:textId="77777777" w:rsidR="007916CE" w:rsidRPr="00B10849" w:rsidRDefault="007916CE" w:rsidP="007916CE">
      <w:pPr>
        <w:jc w:val="center"/>
        <w:rPr>
          <w:rFonts w:ascii="Times New Roman" w:hAnsi="Times New Roman" w:cs="Times New Roman"/>
          <w:b/>
          <w:bCs/>
        </w:rPr>
      </w:pPr>
    </w:p>
    <w:p w14:paraId="63A1B5BF" w14:textId="77777777" w:rsidR="00013D89" w:rsidRPr="00B10849" w:rsidRDefault="00013D89"/>
    <w:p w14:paraId="06A3DDB7" w14:textId="6E732418" w:rsidR="005F4497" w:rsidRPr="00B10849" w:rsidRDefault="005F4497" w:rsidP="005F4497">
      <w:pPr>
        <w:jc w:val="center"/>
        <w:rPr>
          <w:rFonts w:ascii="Times New Roman" w:hAnsi="Times New Roman" w:cs="Times New Roman"/>
          <w:b/>
          <w:bCs/>
        </w:rPr>
      </w:pPr>
      <w:r w:rsidRPr="00B10849">
        <w:rPr>
          <w:rFonts w:ascii="Times New Roman" w:hAnsi="Times New Roman" w:cs="Times New Roman"/>
          <w:b/>
          <w:bCs/>
        </w:rPr>
        <w:t xml:space="preserve">Figure S1. </w:t>
      </w:r>
      <w:r w:rsidRPr="00B10849">
        <w:rPr>
          <w:rFonts w:ascii="Times New Roman" w:hAnsi="Times New Roman" w:cs="Times New Roman"/>
        </w:rPr>
        <w:t>Variable importance for MetaForest analysis identifying contributors to heterogeneity</w:t>
      </w:r>
    </w:p>
    <w:p w14:paraId="40799110" w14:textId="53FF1B45" w:rsidR="005F4497" w:rsidRPr="00B10849" w:rsidRDefault="005F4497" w:rsidP="00063DD5">
      <w:pPr>
        <w:jc w:val="center"/>
        <w:rPr>
          <w:rFonts w:ascii="Times New Roman" w:hAnsi="Times New Roman" w:cs="Times New Roman"/>
          <w:b/>
          <w:bCs/>
        </w:rPr>
      </w:pPr>
      <w:r w:rsidRPr="00B10849">
        <w:rPr>
          <w:noProof/>
          <w:lang w:val="en-IN" w:eastAsia="en-IN"/>
        </w:rPr>
        <w:drawing>
          <wp:inline distT="0" distB="0" distL="0" distR="0" wp14:anchorId="7CC60BAA" wp14:editId="13FADFB2">
            <wp:extent cx="5324475" cy="3549650"/>
            <wp:effectExtent l="0" t="0" r="9525" b="0"/>
            <wp:docPr id="485259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24475" cy="3549650"/>
                    </a:xfrm>
                    <a:prstGeom prst="rect">
                      <a:avLst/>
                    </a:prstGeom>
                    <a:noFill/>
                    <a:ln>
                      <a:noFill/>
                    </a:ln>
                  </pic:spPr>
                </pic:pic>
              </a:graphicData>
            </a:graphic>
          </wp:inline>
        </w:drawing>
      </w:r>
    </w:p>
    <w:p w14:paraId="42052EC7" w14:textId="77777777" w:rsidR="005F4497" w:rsidRPr="00B10849" w:rsidRDefault="005F4497" w:rsidP="00063DD5">
      <w:pPr>
        <w:jc w:val="center"/>
        <w:rPr>
          <w:rFonts w:ascii="Times New Roman" w:hAnsi="Times New Roman" w:cs="Times New Roman"/>
          <w:b/>
          <w:bCs/>
        </w:rPr>
      </w:pPr>
    </w:p>
    <w:p w14:paraId="01CE6991" w14:textId="77777777" w:rsidR="005F4497" w:rsidRPr="00B10849" w:rsidRDefault="005F4497" w:rsidP="00063DD5">
      <w:pPr>
        <w:jc w:val="center"/>
        <w:rPr>
          <w:rFonts w:ascii="Times New Roman" w:hAnsi="Times New Roman" w:cs="Times New Roman"/>
          <w:b/>
          <w:bCs/>
        </w:rPr>
      </w:pPr>
    </w:p>
    <w:p w14:paraId="1FF4CAB0" w14:textId="77777777" w:rsidR="005F4497" w:rsidRPr="00B10849" w:rsidRDefault="005F4497">
      <w:pPr>
        <w:rPr>
          <w:rFonts w:ascii="Times New Roman" w:hAnsi="Times New Roman" w:cs="Times New Roman"/>
          <w:b/>
          <w:bCs/>
        </w:rPr>
      </w:pPr>
      <w:r w:rsidRPr="00B10849">
        <w:rPr>
          <w:rFonts w:ascii="Times New Roman" w:hAnsi="Times New Roman" w:cs="Times New Roman"/>
          <w:b/>
          <w:bCs/>
        </w:rPr>
        <w:br w:type="page"/>
      </w:r>
    </w:p>
    <w:p w14:paraId="3AFD5E86" w14:textId="1AB5A1B7" w:rsidR="00461563" w:rsidRPr="00B10849" w:rsidRDefault="00461563" w:rsidP="00063DD5">
      <w:pPr>
        <w:jc w:val="center"/>
        <w:rPr>
          <w:rFonts w:ascii="Times New Roman" w:hAnsi="Times New Roman" w:cs="Times New Roman"/>
        </w:rPr>
      </w:pPr>
      <w:r w:rsidRPr="00B10849">
        <w:rPr>
          <w:rFonts w:ascii="Times New Roman" w:hAnsi="Times New Roman" w:cs="Times New Roman"/>
          <w:b/>
          <w:bCs/>
        </w:rPr>
        <w:t>Figure S</w:t>
      </w:r>
      <w:r w:rsidR="005F4497" w:rsidRPr="00B10849">
        <w:rPr>
          <w:rFonts w:ascii="Times New Roman" w:hAnsi="Times New Roman" w:cs="Times New Roman"/>
          <w:b/>
          <w:bCs/>
        </w:rPr>
        <w:t>2</w:t>
      </w:r>
      <w:r w:rsidR="00EF7982" w:rsidRPr="00B10849">
        <w:rPr>
          <w:rFonts w:ascii="Times New Roman" w:hAnsi="Times New Roman" w:cs="Times New Roman"/>
          <w:b/>
          <w:bCs/>
        </w:rPr>
        <w:t>a</w:t>
      </w:r>
      <w:r w:rsidRPr="00B10849">
        <w:rPr>
          <w:rFonts w:ascii="Times New Roman" w:hAnsi="Times New Roman" w:cs="Times New Roman"/>
          <w:b/>
          <w:bCs/>
        </w:rPr>
        <w:t>.</w:t>
      </w:r>
      <w:r w:rsidRPr="00B10849">
        <w:rPr>
          <w:rFonts w:ascii="Times New Roman" w:hAnsi="Times New Roman" w:cs="Times New Roman"/>
        </w:rPr>
        <w:t xml:space="preserve"> Doi plot for broad personality change studies</w:t>
      </w:r>
    </w:p>
    <w:p w14:paraId="59F2ED51" w14:textId="7EC89E2C" w:rsidR="00461563" w:rsidRPr="00B10849" w:rsidRDefault="00461563" w:rsidP="00063DD5">
      <w:pPr>
        <w:jc w:val="center"/>
        <w:rPr>
          <w:rFonts w:ascii="Times New Roman" w:hAnsi="Times New Roman" w:cs="Times New Roman"/>
        </w:rPr>
      </w:pPr>
      <w:r w:rsidRPr="00B10849">
        <w:rPr>
          <w:noProof/>
          <w:lang w:val="en-IN" w:eastAsia="en-IN"/>
        </w:rPr>
        <w:drawing>
          <wp:inline distT="0" distB="0" distL="0" distR="0" wp14:anchorId="18226270" wp14:editId="5964A204">
            <wp:extent cx="3674745" cy="2337292"/>
            <wp:effectExtent l="0" t="0" r="1905" b="6350"/>
            <wp:docPr id="6944349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0910"/>
                    <a:stretch>
                      <a:fillRect/>
                    </a:stretch>
                  </pic:blipFill>
                  <pic:spPr bwMode="auto">
                    <a:xfrm>
                      <a:off x="0" y="0"/>
                      <a:ext cx="3680238" cy="2340786"/>
                    </a:xfrm>
                    <a:prstGeom prst="rect">
                      <a:avLst/>
                    </a:prstGeom>
                    <a:noFill/>
                    <a:ln>
                      <a:noFill/>
                    </a:ln>
                    <a:extLst>
                      <a:ext uri="{53640926-AAD7-44D8-BBD7-CCE9431645EC}">
                        <a14:shadowObscured xmlns:a14="http://schemas.microsoft.com/office/drawing/2010/main"/>
                      </a:ext>
                    </a:extLst>
                  </pic:spPr>
                </pic:pic>
              </a:graphicData>
            </a:graphic>
          </wp:inline>
        </w:drawing>
      </w:r>
    </w:p>
    <w:p w14:paraId="7B1B655F" w14:textId="77777777" w:rsidR="00601E75" w:rsidRPr="00B10849" w:rsidRDefault="00601E75" w:rsidP="00461563">
      <w:pPr>
        <w:rPr>
          <w:rFonts w:ascii="Times New Roman" w:hAnsi="Times New Roman" w:cs="Times New Roman"/>
          <w:b/>
          <w:bCs/>
        </w:rPr>
      </w:pPr>
    </w:p>
    <w:p w14:paraId="661F8601" w14:textId="1FD99205" w:rsidR="00461563" w:rsidRPr="00B10849" w:rsidRDefault="00461563" w:rsidP="00063DD5">
      <w:pPr>
        <w:jc w:val="center"/>
        <w:rPr>
          <w:rFonts w:ascii="Times New Roman" w:hAnsi="Times New Roman" w:cs="Times New Roman"/>
        </w:rPr>
      </w:pPr>
      <w:r w:rsidRPr="00B10849">
        <w:rPr>
          <w:rFonts w:ascii="Times New Roman" w:hAnsi="Times New Roman" w:cs="Times New Roman"/>
          <w:b/>
          <w:bCs/>
        </w:rPr>
        <w:t>Figure S</w:t>
      </w:r>
      <w:r w:rsidR="005F4497" w:rsidRPr="00B10849">
        <w:rPr>
          <w:rFonts w:ascii="Times New Roman" w:hAnsi="Times New Roman" w:cs="Times New Roman"/>
          <w:b/>
          <w:bCs/>
        </w:rPr>
        <w:t>2</w:t>
      </w:r>
      <w:r w:rsidR="00EF7982" w:rsidRPr="00B10849">
        <w:rPr>
          <w:rFonts w:ascii="Times New Roman" w:hAnsi="Times New Roman" w:cs="Times New Roman"/>
          <w:b/>
          <w:bCs/>
        </w:rPr>
        <w:t>b</w:t>
      </w:r>
      <w:r w:rsidRPr="00B10849">
        <w:rPr>
          <w:rFonts w:ascii="Times New Roman" w:hAnsi="Times New Roman" w:cs="Times New Roman"/>
          <w:b/>
          <w:bCs/>
        </w:rPr>
        <w:t>.</w:t>
      </w:r>
      <w:r w:rsidRPr="00B10849">
        <w:rPr>
          <w:rFonts w:ascii="Times New Roman" w:hAnsi="Times New Roman" w:cs="Times New Roman"/>
        </w:rPr>
        <w:t xml:space="preserve"> Doi plot for secondary personality disorder studies</w:t>
      </w:r>
    </w:p>
    <w:p w14:paraId="765CEDE6" w14:textId="40ADC002" w:rsidR="00461563" w:rsidRPr="00B10849" w:rsidRDefault="00461563" w:rsidP="00063DD5">
      <w:pPr>
        <w:jc w:val="center"/>
        <w:rPr>
          <w:rFonts w:ascii="Times New Roman" w:hAnsi="Times New Roman" w:cs="Times New Roman"/>
        </w:rPr>
      </w:pPr>
      <w:r w:rsidRPr="00B10849">
        <w:rPr>
          <w:noProof/>
          <w:lang w:val="en-IN" w:eastAsia="en-IN"/>
        </w:rPr>
        <w:drawing>
          <wp:inline distT="0" distB="0" distL="0" distR="0" wp14:anchorId="7AD5DA3C" wp14:editId="4590A707">
            <wp:extent cx="3674745" cy="2316684"/>
            <wp:effectExtent l="0" t="0" r="1905" b="7620"/>
            <wp:docPr id="3959289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696"/>
                    <a:stretch>
                      <a:fillRect/>
                    </a:stretch>
                  </pic:blipFill>
                  <pic:spPr bwMode="auto">
                    <a:xfrm>
                      <a:off x="0" y="0"/>
                      <a:ext cx="3687203" cy="2324538"/>
                    </a:xfrm>
                    <a:prstGeom prst="rect">
                      <a:avLst/>
                    </a:prstGeom>
                    <a:noFill/>
                    <a:ln>
                      <a:noFill/>
                    </a:ln>
                    <a:extLst>
                      <a:ext uri="{53640926-AAD7-44D8-BBD7-CCE9431645EC}">
                        <a14:shadowObscured xmlns:a14="http://schemas.microsoft.com/office/drawing/2010/main"/>
                      </a:ext>
                    </a:extLst>
                  </pic:spPr>
                </pic:pic>
              </a:graphicData>
            </a:graphic>
          </wp:inline>
        </w:drawing>
      </w:r>
    </w:p>
    <w:p w14:paraId="7FCFAAB9" w14:textId="77777777" w:rsidR="00EF7982" w:rsidRPr="00B10849" w:rsidRDefault="00EF7982" w:rsidP="00063DD5">
      <w:pPr>
        <w:jc w:val="center"/>
        <w:rPr>
          <w:rFonts w:ascii="Times New Roman" w:hAnsi="Times New Roman" w:cs="Times New Roman"/>
          <w:b/>
          <w:bCs/>
        </w:rPr>
      </w:pPr>
    </w:p>
    <w:p w14:paraId="051A3AD3" w14:textId="77777777" w:rsidR="00EF7982" w:rsidRPr="00B10849" w:rsidRDefault="00EF7982">
      <w:pPr>
        <w:rPr>
          <w:rFonts w:ascii="Times New Roman" w:hAnsi="Times New Roman" w:cs="Times New Roman"/>
          <w:b/>
          <w:bCs/>
        </w:rPr>
      </w:pPr>
      <w:r w:rsidRPr="00B10849">
        <w:rPr>
          <w:rFonts w:ascii="Times New Roman" w:hAnsi="Times New Roman" w:cs="Times New Roman"/>
          <w:b/>
          <w:bCs/>
        </w:rPr>
        <w:br w:type="page"/>
      </w:r>
    </w:p>
    <w:p w14:paraId="56B053EE" w14:textId="5CD57C9B" w:rsidR="00461563" w:rsidRPr="00B10849" w:rsidRDefault="00E24480" w:rsidP="00063DD5">
      <w:pPr>
        <w:jc w:val="center"/>
        <w:rPr>
          <w:rFonts w:ascii="Times New Roman" w:hAnsi="Times New Roman" w:cs="Times New Roman"/>
        </w:rPr>
      </w:pPr>
      <w:r w:rsidRPr="00B10849">
        <w:rPr>
          <w:rFonts w:ascii="Times New Roman" w:hAnsi="Times New Roman" w:cs="Times New Roman"/>
          <w:b/>
          <w:bCs/>
        </w:rPr>
        <w:t>Figures S</w:t>
      </w:r>
      <w:r w:rsidR="005F4497" w:rsidRPr="00B10849">
        <w:rPr>
          <w:rFonts w:ascii="Times New Roman" w:hAnsi="Times New Roman" w:cs="Times New Roman"/>
          <w:b/>
          <w:bCs/>
        </w:rPr>
        <w:t>3</w:t>
      </w:r>
      <w:r w:rsidRPr="00B10849">
        <w:rPr>
          <w:rFonts w:ascii="Times New Roman" w:hAnsi="Times New Roman" w:cs="Times New Roman"/>
          <w:b/>
          <w:bCs/>
        </w:rPr>
        <w:t>a.</w:t>
      </w:r>
      <w:r w:rsidRPr="00B10849">
        <w:rPr>
          <w:rFonts w:ascii="Times New Roman" w:hAnsi="Times New Roman" w:cs="Times New Roman"/>
        </w:rPr>
        <w:t xml:space="preserve"> Risk of bias ratings and risk of bias summary for cross-sectional studies</w:t>
      </w:r>
    </w:p>
    <w:p w14:paraId="09C130D2" w14:textId="137BDB66" w:rsidR="00E24480" w:rsidRPr="00B10849" w:rsidRDefault="00E24480" w:rsidP="00063DD5">
      <w:pPr>
        <w:jc w:val="center"/>
        <w:rPr>
          <w:rFonts w:ascii="Times New Roman" w:hAnsi="Times New Roman" w:cs="Times New Roman"/>
        </w:rPr>
      </w:pPr>
      <w:r w:rsidRPr="00B10849">
        <w:rPr>
          <w:rFonts w:ascii="Times New Roman" w:hAnsi="Times New Roman" w:cs="Times New Roman"/>
          <w:noProof/>
          <w:lang w:val="en-IN" w:eastAsia="en-IN"/>
        </w:rPr>
        <w:drawing>
          <wp:inline distT="0" distB="0" distL="0" distR="0" wp14:anchorId="4456F664" wp14:editId="63EBB50F">
            <wp:extent cx="3526111" cy="7855888"/>
            <wp:effectExtent l="0" t="0" r="0" b="0"/>
            <wp:docPr id="6471322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28576" cy="7861381"/>
                    </a:xfrm>
                    <a:prstGeom prst="rect">
                      <a:avLst/>
                    </a:prstGeom>
                    <a:noFill/>
                    <a:ln>
                      <a:noFill/>
                    </a:ln>
                  </pic:spPr>
                </pic:pic>
              </a:graphicData>
            </a:graphic>
          </wp:inline>
        </w:drawing>
      </w:r>
    </w:p>
    <w:p w14:paraId="55F128A6" w14:textId="77777777" w:rsidR="00461563" w:rsidRPr="00B10849" w:rsidRDefault="00461563"/>
    <w:p w14:paraId="7355699C" w14:textId="77777777" w:rsidR="00013D89" w:rsidRPr="00B10849" w:rsidRDefault="00013D89"/>
    <w:p w14:paraId="5FF891D0" w14:textId="4CF06609" w:rsidR="00461563" w:rsidRPr="00B10849" w:rsidRDefault="00461563">
      <w:r w:rsidRPr="00B10849">
        <w:br w:type="page"/>
      </w:r>
      <w:r w:rsidR="000A1DEA" w:rsidRPr="00B10849">
        <w:rPr>
          <w:rFonts w:ascii="Times New Roman" w:hAnsi="Times New Roman" w:cs="Times New Roman"/>
          <w:noProof/>
          <w:lang w:val="en-IN" w:eastAsia="en-IN"/>
        </w:rPr>
        <w:drawing>
          <wp:inline distT="0" distB="0" distL="0" distR="0" wp14:anchorId="3D8748D4" wp14:editId="2593972A">
            <wp:extent cx="5725160" cy="1725295"/>
            <wp:effectExtent l="0" t="0" r="8890" b="8255"/>
            <wp:docPr id="9254711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5160" cy="1725295"/>
                    </a:xfrm>
                    <a:prstGeom prst="rect">
                      <a:avLst/>
                    </a:prstGeom>
                    <a:noFill/>
                    <a:ln>
                      <a:noFill/>
                    </a:ln>
                  </pic:spPr>
                </pic:pic>
              </a:graphicData>
            </a:graphic>
          </wp:inline>
        </w:drawing>
      </w:r>
    </w:p>
    <w:p w14:paraId="3CBC7645" w14:textId="77777777" w:rsidR="00496A6F" w:rsidRPr="00B10849" w:rsidRDefault="00496A6F"/>
    <w:p w14:paraId="3FCD82BD" w14:textId="77777777" w:rsidR="00496A6F" w:rsidRPr="00B10849" w:rsidRDefault="00496A6F">
      <w:pPr>
        <w:rPr>
          <w:rFonts w:ascii="Times New Roman" w:hAnsi="Times New Roman" w:cs="Times New Roman"/>
          <w:b/>
          <w:bCs/>
        </w:rPr>
      </w:pPr>
      <w:r w:rsidRPr="00B10849">
        <w:rPr>
          <w:rFonts w:ascii="Times New Roman" w:hAnsi="Times New Roman" w:cs="Times New Roman"/>
          <w:b/>
          <w:bCs/>
        </w:rPr>
        <w:br w:type="page"/>
      </w:r>
    </w:p>
    <w:p w14:paraId="526BE671" w14:textId="594E58F7" w:rsidR="00496A6F" w:rsidRPr="00B10849" w:rsidRDefault="00496A6F" w:rsidP="00063DD5">
      <w:pPr>
        <w:jc w:val="center"/>
        <w:rPr>
          <w:rFonts w:ascii="Times New Roman" w:hAnsi="Times New Roman" w:cs="Times New Roman"/>
        </w:rPr>
      </w:pPr>
      <w:r w:rsidRPr="00B10849">
        <w:rPr>
          <w:rFonts w:ascii="Times New Roman" w:hAnsi="Times New Roman" w:cs="Times New Roman"/>
          <w:b/>
          <w:bCs/>
        </w:rPr>
        <w:t>Figures S</w:t>
      </w:r>
      <w:r w:rsidR="007443BA" w:rsidRPr="00B10849">
        <w:rPr>
          <w:rFonts w:ascii="Times New Roman" w:hAnsi="Times New Roman" w:cs="Times New Roman"/>
          <w:b/>
          <w:bCs/>
        </w:rPr>
        <w:t>3</w:t>
      </w:r>
      <w:r w:rsidRPr="00B10849">
        <w:rPr>
          <w:rFonts w:ascii="Times New Roman" w:hAnsi="Times New Roman" w:cs="Times New Roman"/>
          <w:b/>
          <w:bCs/>
        </w:rPr>
        <w:t>b.</w:t>
      </w:r>
      <w:r w:rsidRPr="00B10849">
        <w:rPr>
          <w:rFonts w:ascii="Times New Roman" w:hAnsi="Times New Roman" w:cs="Times New Roman"/>
        </w:rPr>
        <w:t xml:space="preserve"> Risk of bias ratings and risk of bias summary for cross-sectional studies</w:t>
      </w:r>
    </w:p>
    <w:p w14:paraId="0F0F0B3D" w14:textId="388E2228" w:rsidR="00496A6F" w:rsidRPr="00B10849" w:rsidRDefault="00496A6F" w:rsidP="00496A6F">
      <w:pPr>
        <w:jc w:val="center"/>
      </w:pPr>
      <w:r w:rsidRPr="00B10849">
        <w:rPr>
          <w:noProof/>
          <w:lang w:val="en-IN" w:eastAsia="en-IN"/>
        </w:rPr>
        <w:drawing>
          <wp:inline distT="0" distB="0" distL="0" distR="0" wp14:anchorId="38332C7F" wp14:editId="500B7DF3">
            <wp:extent cx="3923446" cy="6170212"/>
            <wp:effectExtent l="0" t="0" r="1270" b="2540"/>
            <wp:docPr id="7661308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3089" cy="6185377"/>
                    </a:xfrm>
                    <a:prstGeom prst="rect">
                      <a:avLst/>
                    </a:prstGeom>
                    <a:noFill/>
                    <a:ln>
                      <a:noFill/>
                    </a:ln>
                  </pic:spPr>
                </pic:pic>
              </a:graphicData>
            </a:graphic>
          </wp:inline>
        </w:drawing>
      </w:r>
    </w:p>
    <w:p w14:paraId="1C9989E4" w14:textId="588363C6" w:rsidR="00496A6F" w:rsidRPr="00B10849" w:rsidRDefault="00496A6F">
      <w:r w:rsidRPr="00B10849">
        <w:rPr>
          <w:noProof/>
          <w:lang w:val="en-IN" w:eastAsia="en-IN"/>
        </w:rPr>
        <w:drawing>
          <wp:inline distT="0" distB="0" distL="0" distR="0" wp14:anchorId="3FFBF0F1" wp14:editId="64349380">
            <wp:extent cx="5725160" cy="1725295"/>
            <wp:effectExtent l="0" t="0" r="8890" b="8255"/>
            <wp:docPr id="16813979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5160" cy="1725295"/>
                    </a:xfrm>
                    <a:prstGeom prst="rect">
                      <a:avLst/>
                    </a:prstGeom>
                    <a:noFill/>
                    <a:ln>
                      <a:noFill/>
                    </a:ln>
                  </pic:spPr>
                </pic:pic>
              </a:graphicData>
            </a:graphic>
          </wp:inline>
        </w:drawing>
      </w:r>
    </w:p>
    <w:p w14:paraId="288001E0" w14:textId="12CD953D" w:rsidR="00496A6F" w:rsidRPr="00B10849" w:rsidRDefault="00496A6F">
      <w:r w:rsidRPr="00B10849">
        <w:br w:type="page"/>
      </w:r>
    </w:p>
    <w:p w14:paraId="26D19502" w14:textId="032F7532" w:rsidR="00496A6F" w:rsidRPr="00B10849" w:rsidRDefault="00496A6F" w:rsidP="00063DD5">
      <w:pPr>
        <w:jc w:val="center"/>
        <w:rPr>
          <w:rFonts w:ascii="Times New Roman" w:hAnsi="Times New Roman" w:cs="Times New Roman"/>
        </w:rPr>
      </w:pPr>
      <w:r w:rsidRPr="00B10849">
        <w:rPr>
          <w:rFonts w:ascii="Times New Roman" w:hAnsi="Times New Roman" w:cs="Times New Roman"/>
          <w:b/>
          <w:bCs/>
        </w:rPr>
        <w:t>Figure S</w:t>
      </w:r>
      <w:r w:rsidR="007443BA" w:rsidRPr="00B10849">
        <w:rPr>
          <w:rFonts w:ascii="Times New Roman" w:hAnsi="Times New Roman" w:cs="Times New Roman"/>
          <w:b/>
          <w:bCs/>
        </w:rPr>
        <w:t>3</w:t>
      </w:r>
      <w:r w:rsidR="002E0739" w:rsidRPr="00B10849">
        <w:rPr>
          <w:rFonts w:ascii="Times New Roman" w:hAnsi="Times New Roman" w:cs="Times New Roman"/>
          <w:b/>
          <w:bCs/>
        </w:rPr>
        <w:t>c</w:t>
      </w:r>
      <w:r w:rsidRPr="00B10849">
        <w:rPr>
          <w:rFonts w:ascii="Times New Roman" w:hAnsi="Times New Roman" w:cs="Times New Roman"/>
          <w:b/>
          <w:bCs/>
        </w:rPr>
        <w:t>.</w:t>
      </w:r>
      <w:r w:rsidRPr="00B10849">
        <w:rPr>
          <w:rFonts w:ascii="Times New Roman" w:hAnsi="Times New Roman" w:cs="Times New Roman"/>
        </w:rPr>
        <w:t xml:space="preserve"> Risk of bias ratings and risk of bias summary for retrospective observational studies</w:t>
      </w:r>
    </w:p>
    <w:p w14:paraId="28A84E03" w14:textId="3B26DFB8" w:rsidR="00496A6F" w:rsidRPr="00B10849" w:rsidRDefault="00496A6F" w:rsidP="00496A6F">
      <w:pPr>
        <w:jc w:val="center"/>
        <w:rPr>
          <w:rFonts w:ascii="Times New Roman" w:hAnsi="Times New Roman" w:cs="Times New Roman"/>
        </w:rPr>
      </w:pPr>
      <w:r w:rsidRPr="00B10849">
        <w:rPr>
          <w:rFonts w:ascii="Times New Roman" w:hAnsi="Times New Roman" w:cs="Times New Roman"/>
          <w:noProof/>
          <w:lang w:val="en-IN" w:eastAsia="en-IN"/>
        </w:rPr>
        <w:drawing>
          <wp:inline distT="0" distB="0" distL="0" distR="0" wp14:anchorId="445D543C" wp14:editId="08A2AF87">
            <wp:extent cx="5017273" cy="3749043"/>
            <wp:effectExtent l="0" t="0" r="0" b="3810"/>
            <wp:docPr id="774504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23697" cy="3753843"/>
                    </a:xfrm>
                    <a:prstGeom prst="rect">
                      <a:avLst/>
                    </a:prstGeom>
                    <a:noFill/>
                    <a:ln>
                      <a:noFill/>
                    </a:ln>
                  </pic:spPr>
                </pic:pic>
              </a:graphicData>
            </a:graphic>
          </wp:inline>
        </w:drawing>
      </w:r>
      <w:r w:rsidRPr="00B10849">
        <w:rPr>
          <w:rFonts w:ascii="Times New Roman" w:hAnsi="Times New Roman" w:cs="Times New Roman"/>
          <w:noProof/>
          <w:lang w:val="en-IN" w:eastAsia="en-IN"/>
        </w:rPr>
        <w:drawing>
          <wp:inline distT="0" distB="0" distL="0" distR="0" wp14:anchorId="41E38E5A" wp14:editId="35DA0947">
            <wp:extent cx="5725160" cy="1725295"/>
            <wp:effectExtent l="0" t="0" r="8890" b="8255"/>
            <wp:docPr id="14612504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5160" cy="1725295"/>
                    </a:xfrm>
                    <a:prstGeom prst="rect">
                      <a:avLst/>
                    </a:prstGeom>
                    <a:noFill/>
                    <a:ln>
                      <a:noFill/>
                    </a:ln>
                  </pic:spPr>
                </pic:pic>
              </a:graphicData>
            </a:graphic>
          </wp:inline>
        </w:drawing>
      </w:r>
    </w:p>
    <w:p w14:paraId="73E2FD6E" w14:textId="77777777" w:rsidR="00496A6F" w:rsidRPr="00B10849" w:rsidRDefault="00496A6F"/>
    <w:p w14:paraId="78039F24" w14:textId="34876742" w:rsidR="002E0739" w:rsidRPr="00B10849" w:rsidRDefault="002E0739">
      <w:r w:rsidRPr="00B10849">
        <w:br w:type="page"/>
      </w:r>
    </w:p>
    <w:p w14:paraId="5F67BC26" w14:textId="434E674F" w:rsidR="002E0739" w:rsidRPr="00B10849" w:rsidRDefault="002E0739" w:rsidP="00063DD5">
      <w:pPr>
        <w:jc w:val="center"/>
        <w:rPr>
          <w:rFonts w:ascii="Times New Roman" w:hAnsi="Times New Roman" w:cs="Times New Roman"/>
        </w:rPr>
      </w:pPr>
      <w:r w:rsidRPr="00B10849">
        <w:rPr>
          <w:rFonts w:ascii="Times New Roman" w:hAnsi="Times New Roman" w:cs="Times New Roman"/>
          <w:b/>
          <w:bCs/>
        </w:rPr>
        <w:t>Figure S</w:t>
      </w:r>
      <w:r w:rsidR="007443BA" w:rsidRPr="00B10849">
        <w:rPr>
          <w:rFonts w:ascii="Times New Roman" w:hAnsi="Times New Roman" w:cs="Times New Roman"/>
          <w:b/>
          <w:bCs/>
        </w:rPr>
        <w:t>3</w:t>
      </w:r>
      <w:r w:rsidRPr="00B10849">
        <w:rPr>
          <w:rFonts w:ascii="Times New Roman" w:hAnsi="Times New Roman" w:cs="Times New Roman"/>
          <w:b/>
          <w:bCs/>
        </w:rPr>
        <w:t>d.</w:t>
      </w:r>
      <w:r w:rsidRPr="00B10849">
        <w:rPr>
          <w:rFonts w:ascii="Times New Roman" w:hAnsi="Times New Roman" w:cs="Times New Roman"/>
        </w:rPr>
        <w:t xml:space="preserve"> Risk of bias ratings and risk of bias summary for case control studies</w:t>
      </w:r>
    </w:p>
    <w:p w14:paraId="49911F39" w14:textId="77856A60" w:rsidR="00496A6F" w:rsidRPr="00B10849" w:rsidRDefault="00CC1670" w:rsidP="00CC1670">
      <w:pPr>
        <w:jc w:val="center"/>
      </w:pPr>
      <w:r w:rsidRPr="00B10849">
        <w:rPr>
          <w:noProof/>
          <w:lang w:val="en-IN" w:eastAsia="en-IN"/>
        </w:rPr>
        <w:drawing>
          <wp:inline distT="0" distB="0" distL="0" distR="0" wp14:anchorId="38EDDE1D" wp14:editId="1F20BA15">
            <wp:extent cx="4643562" cy="2289334"/>
            <wp:effectExtent l="0" t="0" r="5080" b="0"/>
            <wp:docPr id="14328601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7752" cy="2291400"/>
                    </a:xfrm>
                    <a:prstGeom prst="rect">
                      <a:avLst/>
                    </a:prstGeom>
                    <a:noFill/>
                    <a:ln>
                      <a:noFill/>
                    </a:ln>
                  </pic:spPr>
                </pic:pic>
              </a:graphicData>
            </a:graphic>
          </wp:inline>
        </w:drawing>
      </w:r>
    </w:p>
    <w:p w14:paraId="0D7DB8C7" w14:textId="4AE0783F" w:rsidR="00CC1670" w:rsidRPr="00B10849" w:rsidRDefault="00CC1670" w:rsidP="00CC1670">
      <w:pPr>
        <w:jc w:val="center"/>
      </w:pPr>
      <w:r w:rsidRPr="00B10849">
        <w:rPr>
          <w:noProof/>
          <w:lang w:val="en-IN" w:eastAsia="en-IN"/>
        </w:rPr>
        <w:drawing>
          <wp:inline distT="0" distB="0" distL="0" distR="0" wp14:anchorId="2071EEDE" wp14:editId="76F7E533">
            <wp:extent cx="5725160" cy="1725295"/>
            <wp:effectExtent l="0" t="0" r="8890" b="8255"/>
            <wp:docPr id="3465521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5160" cy="1725295"/>
                    </a:xfrm>
                    <a:prstGeom prst="rect">
                      <a:avLst/>
                    </a:prstGeom>
                    <a:noFill/>
                    <a:ln>
                      <a:noFill/>
                    </a:ln>
                  </pic:spPr>
                </pic:pic>
              </a:graphicData>
            </a:graphic>
          </wp:inline>
        </w:drawing>
      </w:r>
    </w:p>
    <w:p w14:paraId="7CEA7D93" w14:textId="77777777" w:rsidR="00CC1670" w:rsidRPr="00B10849" w:rsidRDefault="00CC1670" w:rsidP="00CC1670">
      <w:pPr>
        <w:jc w:val="center"/>
      </w:pPr>
    </w:p>
    <w:p w14:paraId="387774E1" w14:textId="30F56C94" w:rsidR="00461563" w:rsidRPr="00B10849" w:rsidRDefault="00461563">
      <w:r w:rsidRPr="00B10849">
        <w:br w:type="page"/>
      </w:r>
    </w:p>
    <w:p w14:paraId="26B7C339" w14:textId="77777777" w:rsidR="00A72141" w:rsidRPr="00B10849" w:rsidRDefault="00A72141" w:rsidP="00461563">
      <w:pPr>
        <w:jc w:val="center"/>
        <w:rPr>
          <w:rFonts w:ascii="Times New Roman" w:hAnsi="Times New Roman" w:cs="Times New Roman"/>
          <w:b/>
          <w:bCs/>
        </w:rPr>
      </w:pPr>
    </w:p>
    <w:p w14:paraId="6E12887E" w14:textId="7F3EC926" w:rsidR="00461563" w:rsidRPr="00B10849" w:rsidRDefault="00461563" w:rsidP="00461563">
      <w:pPr>
        <w:jc w:val="center"/>
        <w:rPr>
          <w:rFonts w:ascii="Times New Roman" w:hAnsi="Times New Roman" w:cs="Times New Roman"/>
        </w:rPr>
      </w:pPr>
      <w:r w:rsidRPr="00B10849">
        <w:rPr>
          <w:rFonts w:ascii="Times New Roman" w:hAnsi="Times New Roman" w:cs="Times New Roman"/>
          <w:b/>
          <w:bCs/>
        </w:rPr>
        <w:t>Table S1</w:t>
      </w:r>
      <w:r w:rsidRPr="00B10849">
        <w:rPr>
          <w:rFonts w:ascii="Times New Roman" w:hAnsi="Times New Roman" w:cs="Times New Roman"/>
        </w:rPr>
        <w:t>. Search strategy for the systematic review</w:t>
      </w:r>
    </w:p>
    <w:tbl>
      <w:tblPr>
        <w:tblStyle w:val="TableGrid"/>
        <w:tblW w:w="0" w:type="auto"/>
        <w:tblLook w:val="04A0" w:firstRow="1" w:lastRow="0" w:firstColumn="1" w:lastColumn="0" w:noHBand="0" w:noVBand="1"/>
      </w:tblPr>
      <w:tblGrid>
        <w:gridCol w:w="9016"/>
      </w:tblGrid>
      <w:tr w:rsidR="00B10849" w:rsidRPr="00B10849" w14:paraId="43D15130" w14:textId="77777777" w:rsidTr="004C6109">
        <w:tc>
          <w:tcPr>
            <w:tcW w:w="9016" w:type="dxa"/>
          </w:tcPr>
          <w:p w14:paraId="580B47E0" w14:textId="77777777" w:rsidR="00461563" w:rsidRPr="00B10849" w:rsidRDefault="00461563" w:rsidP="004C6109">
            <w:pPr>
              <w:rPr>
                <w:rFonts w:ascii="Calibri" w:hAnsi="Calibri" w:cs="Calibri"/>
                <w:sz w:val="22"/>
                <w:szCs w:val="22"/>
                <w:lang w:val="en-GB"/>
              </w:rPr>
            </w:pPr>
            <w:r w:rsidRPr="00B10849">
              <w:rPr>
                <w:rFonts w:ascii="Calibri" w:hAnsi="Calibri" w:cs="Calibri"/>
                <w:sz w:val="22"/>
                <w:szCs w:val="22"/>
                <w:lang w:val="en-GB"/>
              </w:rPr>
              <w:t>S1 – Search Strategy</w:t>
            </w:r>
          </w:p>
        </w:tc>
      </w:tr>
      <w:tr w:rsidR="00B10849" w:rsidRPr="00B10849" w14:paraId="07808F71" w14:textId="77777777" w:rsidTr="004C6109">
        <w:tc>
          <w:tcPr>
            <w:tcW w:w="9016" w:type="dxa"/>
          </w:tcPr>
          <w:p w14:paraId="50247F18" w14:textId="77777777" w:rsidR="00461563" w:rsidRPr="00B10849" w:rsidRDefault="00461563" w:rsidP="004C6109">
            <w:pPr>
              <w:rPr>
                <w:rFonts w:ascii="Calibri" w:hAnsi="Calibri" w:cs="Calibri"/>
                <w:sz w:val="22"/>
                <w:szCs w:val="22"/>
                <w:lang w:val="en-GB"/>
              </w:rPr>
            </w:pPr>
            <w:r w:rsidRPr="00B10849">
              <w:rPr>
                <w:rFonts w:ascii="Calibri" w:hAnsi="Calibri" w:cs="Calibri"/>
                <w:sz w:val="22"/>
                <w:szCs w:val="22"/>
                <w:lang w:val="en-GB"/>
              </w:rPr>
              <w:t xml:space="preserve">("traumatic brain injury" OR "TBI" or "craniocerebral trauma") AND ("personality" OR "personality change" OR "personality disorder" OR "personality syndrome" OR "frontal lobe syndrome" OR "prefrontal syndrome" OR "comportmental learning disabilities" OR "comportmental learning disability" OR "behavior disorder" OR "behaviour disorder" OR "behavioral disorder" OR "behavioural disorder" OR neurobehavi* OR antisocial OR dissocial* OR borderline OR histrionic OR narcissis* OR psychopath* OR sociopath* OR anankast* OR schizoid OR paranoid OR schizotyp* OR disinhibit*) </w:t>
            </w:r>
          </w:p>
          <w:p w14:paraId="232CA1B3" w14:textId="77777777" w:rsidR="00461563" w:rsidRPr="00B10849" w:rsidRDefault="00461563" w:rsidP="004C6109">
            <w:pPr>
              <w:rPr>
                <w:rFonts w:ascii="Calibri" w:hAnsi="Calibri" w:cs="Calibri"/>
                <w:sz w:val="22"/>
                <w:szCs w:val="22"/>
                <w:lang w:val="en-GB"/>
              </w:rPr>
            </w:pPr>
          </w:p>
          <w:p w14:paraId="02440BAD" w14:textId="77777777" w:rsidR="00461563" w:rsidRPr="00B10849" w:rsidRDefault="00461563" w:rsidP="004C6109">
            <w:pPr>
              <w:rPr>
                <w:rFonts w:ascii="Calibri" w:hAnsi="Calibri" w:cs="Calibri"/>
                <w:sz w:val="22"/>
                <w:szCs w:val="22"/>
                <w:lang w:val="en-GB"/>
              </w:rPr>
            </w:pPr>
            <w:r w:rsidRPr="00B10849">
              <w:rPr>
                <w:rFonts w:ascii="Calibri" w:hAnsi="Calibri" w:cs="Calibri"/>
                <w:sz w:val="22"/>
                <w:szCs w:val="22"/>
                <w:lang w:val="en-GB"/>
              </w:rPr>
              <w:t>MeSH Terms: Brain Injuries OR Craniocerebral Trauma AND Personality</w:t>
            </w:r>
          </w:p>
        </w:tc>
      </w:tr>
    </w:tbl>
    <w:p w14:paraId="76246A64" w14:textId="77777777" w:rsidR="00013D89" w:rsidRPr="00B10849" w:rsidRDefault="00013D89">
      <w:pPr>
        <w:sectPr w:rsidR="00013D89" w:rsidRPr="00B10849" w:rsidSect="00B10849">
          <w:footerReference w:type="default" r:id="rId17"/>
          <w:type w:val="continuous"/>
          <w:pgSz w:w="11906" w:h="16838"/>
          <w:pgMar w:top="1440" w:right="1440" w:bottom="1440" w:left="1440" w:header="708" w:footer="708" w:gutter="0"/>
          <w:cols w:space="708"/>
          <w:docGrid w:linePitch="360"/>
        </w:sectPr>
      </w:pPr>
    </w:p>
    <w:p w14:paraId="648C7FEB" w14:textId="088320EF" w:rsidR="007916CE" w:rsidRPr="00B10849" w:rsidRDefault="007916CE" w:rsidP="00B305CA">
      <w:pPr>
        <w:jc w:val="center"/>
        <w:rPr>
          <w:rFonts w:ascii="Times New Roman" w:hAnsi="Times New Roman" w:cs="Times New Roman"/>
        </w:rPr>
      </w:pPr>
      <w:r w:rsidRPr="00B10849">
        <w:rPr>
          <w:rFonts w:ascii="Times New Roman" w:hAnsi="Times New Roman" w:cs="Times New Roman"/>
          <w:b/>
          <w:bCs/>
        </w:rPr>
        <w:t>Table S2</w:t>
      </w:r>
      <w:r w:rsidRPr="00B10849">
        <w:rPr>
          <w:rFonts w:ascii="Times New Roman" w:hAnsi="Times New Roman" w:cs="Times New Roman"/>
        </w:rPr>
        <w:t xml:space="preserve">. </w:t>
      </w:r>
      <w:r w:rsidR="00626573" w:rsidRPr="00B10849">
        <w:rPr>
          <w:rFonts w:ascii="Times New Roman" w:hAnsi="Times New Roman" w:cs="Times New Roman"/>
        </w:rPr>
        <w:t>S</w:t>
      </w:r>
      <w:r w:rsidRPr="00B10849">
        <w:rPr>
          <w:rFonts w:ascii="Times New Roman" w:hAnsi="Times New Roman" w:cs="Times New Roman"/>
        </w:rPr>
        <w:t xml:space="preserve">tudies </w:t>
      </w:r>
      <w:r w:rsidR="00626573" w:rsidRPr="00B10849">
        <w:rPr>
          <w:rFonts w:ascii="Times New Roman" w:hAnsi="Times New Roman" w:cs="Times New Roman"/>
        </w:rPr>
        <w:t xml:space="preserve">included </w:t>
      </w:r>
      <w:r w:rsidRPr="00B10849">
        <w:rPr>
          <w:rFonts w:ascii="Times New Roman" w:hAnsi="Times New Roman" w:cs="Times New Roman"/>
        </w:rPr>
        <w:t>in the systematic review</w:t>
      </w:r>
    </w:p>
    <w:p w14:paraId="0884E367" w14:textId="77777777" w:rsidR="007916CE" w:rsidRPr="00B10849" w:rsidRDefault="007916CE"/>
    <w:tbl>
      <w:tblPr>
        <w:tblW w:w="15168" w:type="dxa"/>
        <w:tblBorders>
          <w:top w:val="single" w:sz="4" w:space="0" w:color="auto"/>
          <w:bottom w:val="single" w:sz="4" w:space="0" w:color="auto"/>
        </w:tblBorders>
        <w:tblLook w:val="04A0" w:firstRow="1" w:lastRow="0" w:firstColumn="1" w:lastColumn="0" w:noHBand="0" w:noVBand="1"/>
      </w:tblPr>
      <w:tblGrid>
        <w:gridCol w:w="490"/>
        <w:gridCol w:w="1330"/>
        <w:gridCol w:w="719"/>
        <w:gridCol w:w="1205"/>
        <w:gridCol w:w="2170"/>
        <w:gridCol w:w="1052"/>
        <w:gridCol w:w="1892"/>
        <w:gridCol w:w="2444"/>
        <w:gridCol w:w="2036"/>
        <w:gridCol w:w="1840"/>
      </w:tblGrid>
      <w:tr w:rsidR="00B10849" w:rsidRPr="00B10849" w14:paraId="1914FCB3" w14:textId="77777777" w:rsidTr="00E611F1">
        <w:tc>
          <w:tcPr>
            <w:tcW w:w="490" w:type="dxa"/>
            <w:tcBorders>
              <w:top w:val="single" w:sz="4" w:space="0" w:color="auto"/>
              <w:bottom w:val="single" w:sz="4" w:space="0" w:color="auto"/>
            </w:tcBorders>
            <w:noWrap/>
            <w:hideMark/>
          </w:tcPr>
          <w:p w14:paraId="5F85E9D4" w14:textId="77777777" w:rsidR="00E8789B" w:rsidRPr="00B10849" w:rsidRDefault="00E8789B" w:rsidP="00E611F1">
            <w:pPr>
              <w:spacing w:after="0" w:line="240" w:lineRule="auto"/>
              <w:jc w:val="right"/>
              <w:rPr>
                <w:rFonts w:ascii="Aptos Narrow" w:eastAsia="Times New Roman" w:hAnsi="Aptos Narrow" w:cs="Times New Roman"/>
                <w:b/>
                <w:bCs/>
                <w:kern w:val="0"/>
                <w:sz w:val="18"/>
                <w:szCs w:val="18"/>
                <w:lang w:eastAsia="en-GB"/>
                <w14:ligatures w14:val="none"/>
              </w:rPr>
            </w:pPr>
            <w:r w:rsidRPr="00B10849">
              <w:rPr>
                <w:rFonts w:ascii="Aptos Narrow" w:eastAsia="Times New Roman" w:hAnsi="Aptos Narrow" w:cs="Times New Roman"/>
                <w:b/>
                <w:bCs/>
                <w:kern w:val="0"/>
                <w:sz w:val="18"/>
                <w:szCs w:val="18"/>
                <w:lang w:eastAsia="en-GB"/>
                <w14:ligatures w14:val="none"/>
              </w:rPr>
              <w:t>No.</w:t>
            </w:r>
          </w:p>
        </w:tc>
        <w:tc>
          <w:tcPr>
            <w:tcW w:w="1320" w:type="dxa"/>
            <w:tcBorders>
              <w:top w:val="single" w:sz="4" w:space="0" w:color="auto"/>
              <w:bottom w:val="single" w:sz="4" w:space="0" w:color="auto"/>
            </w:tcBorders>
            <w:noWrap/>
            <w:hideMark/>
          </w:tcPr>
          <w:p w14:paraId="2F686640" w14:textId="77777777" w:rsidR="00E8789B" w:rsidRPr="00B10849" w:rsidRDefault="00E8789B" w:rsidP="00E611F1">
            <w:pPr>
              <w:spacing w:after="0" w:line="240" w:lineRule="auto"/>
              <w:rPr>
                <w:rFonts w:ascii="Aptos Narrow" w:eastAsia="Times New Roman" w:hAnsi="Aptos Narrow" w:cs="Times New Roman"/>
                <w:b/>
                <w:bCs/>
                <w:kern w:val="0"/>
                <w:sz w:val="18"/>
                <w:szCs w:val="18"/>
                <w:lang w:eastAsia="en-GB"/>
                <w14:ligatures w14:val="none"/>
              </w:rPr>
            </w:pPr>
            <w:r w:rsidRPr="00B10849">
              <w:rPr>
                <w:rFonts w:ascii="Aptos Narrow" w:eastAsia="Times New Roman" w:hAnsi="Aptos Narrow" w:cs="Times New Roman"/>
                <w:b/>
                <w:bCs/>
                <w:kern w:val="0"/>
                <w:sz w:val="18"/>
                <w:szCs w:val="18"/>
                <w:lang w:eastAsia="en-GB"/>
                <w14:ligatures w14:val="none"/>
              </w:rPr>
              <w:t>Author</w:t>
            </w:r>
          </w:p>
        </w:tc>
        <w:tc>
          <w:tcPr>
            <w:tcW w:w="719" w:type="dxa"/>
            <w:tcBorders>
              <w:top w:val="single" w:sz="4" w:space="0" w:color="auto"/>
              <w:bottom w:val="single" w:sz="4" w:space="0" w:color="auto"/>
            </w:tcBorders>
            <w:noWrap/>
            <w:hideMark/>
          </w:tcPr>
          <w:p w14:paraId="53275EDE" w14:textId="77777777" w:rsidR="00E8789B" w:rsidRPr="00B10849" w:rsidRDefault="00E8789B" w:rsidP="00E611F1">
            <w:pPr>
              <w:spacing w:after="0" w:line="240" w:lineRule="auto"/>
              <w:rPr>
                <w:rFonts w:ascii="Aptos Narrow" w:eastAsia="Times New Roman" w:hAnsi="Aptos Narrow" w:cs="Times New Roman"/>
                <w:b/>
                <w:bCs/>
                <w:kern w:val="0"/>
                <w:sz w:val="18"/>
                <w:szCs w:val="18"/>
                <w:lang w:eastAsia="en-GB"/>
                <w14:ligatures w14:val="none"/>
              </w:rPr>
            </w:pPr>
            <w:r w:rsidRPr="00B10849">
              <w:rPr>
                <w:rFonts w:ascii="Aptos Narrow" w:eastAsia="Times New Roman" w:hAnsi="Aptos Narrow" w:cs="Times New Roman"/>
                <w:b/>
                <w:bCs/>
                <w:kern w:val="0"/>
                <w:sz w:val="18"/>
                <w:szCs w:val="18"/>
                <w:lang w:eastAsia="en-GB"/>
                <w14:ligatures w14:val="none"/>
              </w:rPr>
              <w:t>Year</w:t>
            </w:r>
          </w:p>
        </w:tc>
        <w:tc>
          <w:tcPr>
            <w:tcW w:w="1205" w:type="dxa"/>
            <w:tcBorders>
              <w:top w:val="single" w:sz="4" w:space="0" w:color="auto"/>
              <w:bottom w:val="single" w:sz="4" w:space="0" w:color="auto"/>
            </w:tcBorders>
            <w:noWrap/>
            <w:hideMark/>
          </w:tcPr>
          <w:p w14:paraId="286F5EA4" w14:textId="77777777" w:rsidR="00E8789B" w:rsidRPr="00B10849" w:rsidRDefault="00E8789B" w:rsidP="00E611F1">
            <w:pPr>
              <w:spacing w:after="0" w:line="240" w:lineRule="auto"/>
              <w:rPr>
                <w:rFonts w:ascii="Aptos Narrow" w:eastAsia="Times New Roman" w:hAnsi="Aptos Narrow" w:cs="Times New Roman"/>
                <w:b/>
                <w:bCs/>
                <w:kern w:val="0"/>
                <w:sz w:val="18"/>
                <w:szCs w:val="18"/>
                <w:lang w:eastAsia="en-GB"/>
                <w14:ligatures w14:val="none"/>
              </w:rPr>
            </w:pPr>
            <w:r w:rsidRPr="00B10849">
              <w:rPr>
                <w:rFonts w:ascii="Aptos Narrow" w:eastAsia="Times New Roman" w:hAnsi="Aptos Narrow" w:cs="Times New Roman"/>
                <w:b/>
                <w:bCs/>
                <w:kern w:val="0"/>
                <w:sz w:val="18"/>
                <w:szCs w:val="18"/>
                <w:lang w:eastAsia="en-GB"/>
                <w14:ligatures w14:val="none"/>
              </w:rPr>
              <w:t>Study Type</w:t>
            </w:r>
          </w:p>
        </w:tc>
        <w:tc>
          <w:tcPr>
            <w:tcW w:w="2170" w:type="dxa"/>
            <w:tcBorders>
              <w:top w:val="single" w:sz="4" w:space="0" w:color="auto"/>
              <w:bottom w:val="single" w:sz="4" w:space="0" w:color="auto"/>
            </w:tcBorders>
            <w:noWrap/>
            <w:hideMark/>
          </w:tcPr>
          <w:p w14:paraId="538E73F2" w14:textId="77777777" w:rsidR="00E8789B" w:rsidRPr="00B10849" w:rsidRDefault="00E8789B" w:rsidP="00E611F1">
            <w:pPr>
              <w:spacing w:after="0" w:line="240" w:lineRule="auto"/>
              <w:rPr>
                <w:rFonts w:ascii="Aptos Narrow" w:eastAsia="Times New Roman" w:hAnsi="Aptos Narrow" w:cs="Times New Roman"/>
                <w:b/>
                <w:bCs/>
                <w:kern w:val="0"/>
                <w:sz w:val="18"/>
                <w:szCs w:val="18"/>
                <w:lang w:eastAsia="en-GB"/>
                <w14:ligatures w14:val="none"/>
              </w:rPr>
            </w:pPr>
            <w:r w:rsidRPr="00B10849">
              <w:rPr>
                <w:rFonts w:ascii="Aptos Narrow" w:eastAsia="Times New Roman" w:hAnsi="Aptos Narrow" w:cs="Times New Roman"/>
                <w:b/>
                <w:bCs/>
                <w:kern w:val="0"/>
                <w:sz w:val="18"/>
                <w:szCs w:val="18"/>
                <w:lang w:eastAsia="en-GB"/>
                <w14:ligatures w14:val="none"/>
              </w:rPr>
              <w:t>Participants</w:t>
            </w:r>
          </w:p>
        </w:tc>
        <w:tc>
          <w:tcPr>
            <w:tcW w:w="1052" w:type="dxa"/>
            <w:tcBorders>
              <w:top w:val="single" w:sz="4" w:space="0" w:color="auto"/>
              <w:bottom w:val="single" w:sz="4" w:space="0" w:color="auto"/>
            </w:tcBorders>
            <w:noWrap/>
            <w:hideMark/>
          </w:tcPr>
          <w:p w14:paraId="1B02F7DD" w14:textId="77777777" w:rsidR="00E8789B" w:rsidRPr="00B10849" w:rsidRDefault="00E8789B" w:rsidP="00E611F1">
            <w:pPr>
              <w:spacing w:after="0" w:line="240" w:lineRule="auto"/>
              <w:rPr>
                <w:rFonts w:ascii="Aptos Narrow" w:eastAsia="Times New Roman" w:hAnsi="Aptos Narrow" w:cs="Times New Roman"/>
                <w:b/>
                <w:bCs/>
                <w:kern w:val="0"/>
                <w:sz w:val="18"/>
                <w:szCs w:val="18"/>
                <w:lang w:eastAsia="en-GB"/>
                <w14:ligatures w14:val="none"/>
              </w:rPr>
            </w:pPr>
            <w:r w:rsidRPr="00B10849">
              <w:rPr>
                <w:rFonts w:ascii="Aptos Narrow" w:eastAsia="Times New Roman" w:hAnsi="Aptos Narrow" w:cs="Times New Roman"/>
                <w:b/>
                <w:bCs/>
                <w:kern w:val="0"/>
                <w:sz w:val="18"/>
                <w:szCs w:val="18"/>
                <w:lang w:eastAsia="en-GB"/>
                <w14:ligatures w14:val="none"/>
              </w:rPr>
              <w:t>Country</w:t>
            </w:r>
          </w:p>
        </w:tc>
        <w:tc>
          <w:tcPr>
            <w:tcW w:w="1892" w:type="dxa"/>
            <w:tcBorders>
              <w:top w:val="single" w:sz="4" w:space="0" w:color="auto"/>
              <w:bottom w:val="single" w:sz="4" w:space="0" w:color="auto"/>
            </w:tcBorders>
            <w:noWrap/>
            <w:hideMark/>
          </w:tcPr>
          <w:p w14:paraId="5BEB90CE" w14:textId="77777777" w:rsidR="00E8789B" w:rsidRPr="00B10849" w:rsidRDefault="00E8789B" w:rsidP="00E611F1">
            <w:pPr>
              <w:spacing w:after="0" w:line="240" w:lineRule="auto"/>
              <w:rPr>
                <w:rFonts w:ascii="Aptos Narrow" w:eastAsia="Times New Roman" w:hAnsi="Aptos Narrow" w:cs="Times New Roman"/>
                <w:b/>
                <w:bCs/>
                <w:kern w:val="0"/>
                <w:sz w:val="18"/>
                <w:szCs w:val="18"/>
                <w:lang w:eastAsia="en-GB"/>
                <w14:ligatures w14:val="none"/>
              </w:rPr>
            </w:pPr>
            <w:r w:rsidRPr="00B10849">
              <w:rPr>
                <w:rFonts w:ascii="Aptos Narrow" w:eastAsia="Times New Roman" w:hAnsi="Aptos Narrow" w:cs="Times New Roman"/>
                <w:b/>
                <w:bCs/>
                <w:kern w:val="0"/>
                <w:sz w:val="18"/>
                <w:szCs w:val="18"/>
                <w:lang w:eastAsia="en-GB"/>
                <w14:ligatures w14:val="none"/>
              </w:rPr>
              <w:t>TBI details</w:t>
            </w:r>
          </w:p>
        </w:tc>
        <w:tc>
          <w:tcPr>
            <w:tcW w:w="2444" w:type="dxa"/>
            <w:tcBorders>
              <w:top w:val="single" w:sz="4" w:space="0" w:color="auto"/>
              <w:bottom w:val="single" w:sz="4" w:space="0" w:color="auto"/>
            </w:tcBorders>
            <w:noWrap/>
            <w:hideMark/>
          </w:tcPr>
          <w:p w14:paraId="771F1F86" w14:textId="77777777" w:rsidR="00E8789B" w:rsidRPr="00B10849" w:rsidRDefault="00E8789B" w:rsidP="00E611F1">
            <w:pPr>
              <w:spacing w:after="0" w:line="240" w:lineRule="auto"/>
              <w:rPr>
                <w:rFonts w:ascii="Aptos Narrow" w:eastAsia="Times New Roman" w:hAnsi="Aptos Narrow" w:cs="Times New Roman"/>
                <w:b/>
                <w:bCs/>
                <w:kern w:val="0"/>
                <w:sz w:val="18"/>
                <w:szCs w:val="18"/>
                <w:lang w:eastAsia="en-GB"/>
                <w14:ligatures w14:val="none"/>
              </w:rPr>
            </w:pPr>
            <w:r w:rsidRPr="00B10849">
              <w:rPr>
                <w:rFonts w:ascii="Aptos Narrow" w:eastAsia="Times New Roman" w:hAnsi="Aptos Narrow" w:cs="Times New Roman"/>
                <w:b/>
                <w:bCs/>
                <w:kern w:val="0"/>
                <w:sz w:val="18"/>
                <w:szCs w:val="18"/>
                <w:lang w:eastAsia="en-GB"/>
                <w14:ligatures w14:val="none"/>
              </w:rPr>
              <w:t>Personality outcomes</w:t>
            </w:r>
          </w:p>
        </w:tc>
        <w:tc>
          <w:tcPr>
            <w:tcW w:w="2036" w:type="dxa"/>
            <w:tcBorders>
              <w:top w:val="single" w:sz="4" w:space="0" w:color="auto"/>
              <w:bottom w:val="single" w:sz="4" w:space="0" w:color="auto"/>
            </w:tcBorders>
            <w:noWrap/>
            <w:hideMark/>
          </w:tcPr>
          <w:p w14:paraId="00095F14" w14:textId="77777777" w:rsidR="00E8789B" w:rsidRPr="00B10849" w:rsidRDefault="00E8789B" w:rsidP="00E611F1">
            <w:pPr>
              <w:spacing w:after="0" w:line="240" w:lineRule="auto"/>
              <w:rPr>
                <w:rFonts w:ascii="Aptos Narrow" w:eastAsia="Times New Roman" w:hAnsi="Aptos Narrow" w:cs="Times New Roman"/>
                <w:b/>
                <w:bCs/>
                <w:kern w:val="0"/>
                <w:sz w:val="18"/>
                <w:szCs w:val="18"/>
                <w:lang w:eastAsia="en-GB"/>
                <w14:ligatures w14:val="none"/>
              </w:rPr>
            </w:pPr>
            <w:r w:rsidRPr="00B10849">
              <w:rPr>
                <w:rFonts w:ascii="Aptos Narrow" w:eastAsia="Times New Roman" w:hAnsi="Aptos Narrow" w:cs="Times New Roman"/>
                <w:b/>
                <w:bCs/>
                <w:kern w:val="0"/>
                <w:sz w:val="18"/>
                <w:szCs w:val="18"/>
                <w:lang w:eastAsia="en-GB"/>
                <w14:ligatures w14:val="none"/>
              </w:rPr>
              <w:t>Instrument / Measures</w:t>
            </w:r>
          </w:p>
        </w:tc>
        <w:tc>
          <w:tcPr>
            <w:tcW w:w="1840" w:type="dxa"/>
            <w:tcBorders>
              <w:top w:val="single" w:sz="4" w:space="0" w:color="auto"/>
              <w:bottom w:val="single" w:sz="4" w:space="0" w:color="auto"/>
            </w:tcBorders>
            <w:noWrap/>
            <w:hideMark/>
          </w:tcPr>
          <w:p w14:paraId="02913E70" w14:textId="77777777" w:rsidR="00E8789B" w:rsidRPr="00B10849" w:rsidRDefault="00E8789B" w:rsidP="00E611F1">
            <w:pPr>
              <w:spacing w:after="0" w:line="240" w:lineRule="auto"/>
              <w:rPr>
                <w:rFonts w:ascii="Aptos Narrow" w:eastAsia="Times New Roman" w:hAnsi="Aptos Narrow" w:cs="Times New Roman"/>
                <w:b/>
                <w:bCs/>
                <w:kern w:val="0"/>
                <w:sz w:val="18"/>
                <w:szCs w:val="18"/>
                <w:lang w:eastAsia="en-GB"/>
                <w14:ligatures w14:val="none"/>
              </w:rPr>
            </w:pPr>
            <w:r w:rsidRPr="00B10849">
              <w:rPr>
                <w:rFonts w:ascii="Aptos Narrow" w:eastAsia="Times New Roman" w:hAnsi="Aptos Narrow" w:cs="Times New Roman"/>
                <w:b/>
                <w:bCs/>
                <w:kern w:val="0"/>
                <w:sz w:val="18"/>
                <w:szCs w:val="18"/>
                <w:lang w:eastAsia="en-GB"/>
                <w14:ligatures w14:val="none"/>
              </w:rPr>
              <w:t>Brain Injury Location</w:t>
            </w:r>
          </w:p>
        </w:tc>
      </w:tr>
      <w:tr w:rsidR="00B10849" w:rsidRPr="00B10849" w14:paraId="4B2D5816" w14:textId="77777777" w:rsidTr="00E611F1">
        <w:tc>
          <w:tcPr>
            <w:tcW w:w="490" w:type="dxa"/>
            <w:tcBorders>
              <w:top w:val="single" w:sz="4" w:space="0" w:color="auto"/>
            </w:tcBorders>
            <w:noWrap/>
            <w:hideMark/>
          </w:tcPr>
          <w:p w14:paraId="552F0E0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w:t>
            </w:r>
          </w:p>
        </w:tc>
        <w:tc>
          <w:tcPr>
            <w:tcW w:w="1320" w:type="dxa"/>
            <w:tcBorders>
              <w:top w:val="single" w:sz="4" w:space="0" w:color="auto"/>
            </w:tcBorders>
            <w:noWrap/>
            <w:hideMark/>
          </w:tcPr>
          <w:p w14:paraId="0939F04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{"citationID":"muC9YdZ7","properties":{"formattedCitation":"(Oddy &amp; Humphrey, 1980a)","plainCitation":"(Oddy &amp; Humphrey, 1980a)","dontUpdate":true,"noteIndex":0},"citationItems":[{"id":20684,"uris":["http://zotero.org/users/1471066/items/ZEUHN8KF"],"itemData":{"id":20684,"type":"article-journal","container-title":"J Neurol Neurosurg Psychiatry","DOI":"10.1136/jnnp.43.9.798","issue":"9","language":"en","page":"798–802","title":"Social recovery during the year following severe head injury","volume":"43","author":[{"family":"Oddy","given":"M."},{"family":"Humphrey","given":"M."}],"issued":{"date-parts":[["1980"]]}}}],"schema":"https://github.com/citation-style-language/schema/raw/master/csl-citation.json"}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Oddy &amp; Humphrey</w:t>
            </w:r>
            <w:r w:rsidRPr="00B10849">
              <w:rPr>
                <w:rFonts w:ascii="Aptos Narrow" w:eastAsia="Times New Roman" w:hAnsi="Aptos Narrow" w:cs="Times New Roman"/>
                <w:kern w:val="0"/>
                <w:sz w:val="18"/>
                <w:szCs w:val="18"/>
                <w:lang w:eastAsia="en-GB"/>
                <w14:ligatures w14:val="none"/>
              </w:rPr>
              <w:fldChar w:fldCharType="end"/>
            </w:r>
          </w:p>
        </w:tc>
        <w:tc>
          <w:tcPr>
            <w:tcW w:w="719" w:type="dxa"/>
            <w:tcBorders>
              <w:top w:val="single" w:sz="4" w:space="0" w:color="auto"/>
            </w:tcBorders>
            <w:noWrap/>
            <w:hideMark/>
          </w:tcPr>
          <w:p w14:paraId="0EC31A2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1980</w:t>
            </w:r>
          </w:p>
        </w:tc>
        <w:tc>
          <w:tcPr>
            <w:tcW w:w="1205" w:type="dxa"/>
            <w:tcBorders>
              <w:top w:val="single" w:sz="4" w:space="0" w:color="auto"/>
            </w:tcBorders>
            <w:noWrap/>
            <w:hideMark/>
          </w:tcPr>
          <w:p w14:paraId="6DCFF00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tcBorders>
              <w:top w:val="single" w:sz="4" w:space="0" w:color="auto"/>
            </w:tcBorders>
            <w:noWrap/>
            <w:hideMark/>
          </w:tcPr>
          <w:p w14:paraId="5D38723E" w14:textId="77777777" w:rsidR="00E8789B" w:rsidRPr="00B10849" w:rsidRDefault="00E8789B" w:rsidP="00E611F1">
            <w:pPr>
              <w:spacing w:after="0" w:line="240" w:lineRule="auto"/>
              <w:rPr>
                <w:rFonts w:ascii="Aptos Narrow" w:eastAsia="Times New Roman" w:hAnsi="Aptos Narrow" w:cs="Times New Roman"/>
                <w:kern w:val="0"/>
                <w:sz w:val="18"/>
                <w:szCs w:val="18"/>
                <w:lang w:val="es-CO" w:eastAsia="en-GB"/>
                <w14:ligatures w14:val="none"/>
              </w:rPr>
            </w:pPr>
            <w:r w:rsidRPr="00B10849">
              <w:rPr>
                <w:rFonts w:ascii="Aptos Narrow" w:eastAsia="Times New Roman" w:hAnsi="Aptos Narrow" w:cs="Times New Roman"/>
                <w:kern w:val="0"/>
                <w:sz w:val="18"/>
                <w:szCs w:val="18"/>
                <w:lang w:val="es-CO" w:eastAsia="en-GB"/>
                <w14:ligatures w14:val="none"/>
              </w:rPr>
              <w:t>TBIinitial=54,  6m=49, 12m=44, 2yr=39; CInitial=35, 6m=30, 12m=26, 2y=17</w:t>
            </w:r>
          </w:p>
        </w:tc>
        <w:tc>
          <w:tcPr>
            <w:tcW w:w="1052" w:type="dxa"/>
            <w:tcBorders>
              <w:top w:val="single" w:sz="4" w:space="0" w:color="auto"/>
            </w:tcBorders>
            <w:noWrap/>
            <w:hideMark/>
          </w:tcPr>
          <w:p w14:paraId="5983A0C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tcBorders>
              <w:top w:val="single" w:sz="4" w:space="0" w:color="auto"/>
            </w:tcBorders>
            <w:noWrap/>
            <w:hideMark/>
          </w:tcPr>
          <w:p w14:paraId="29BC77A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Closed head injury</w:t>
            </w:r>
          </w:p>
        </w:tc>
        <w:tc>
          <w:tcPr>
            <w:tcW w:w="2444" w:type="dxa"/>
            <w:tcBorders>
              <w:top w:val="single" w:sz="4" w:space="0" w:color="auto"/>
            </w:tcBorders>
            <w:noWrap/>
            <w:hideMark/>
          </w:tcPr>
          <w:p w14:paraId="3E46BDFF" w14:textId="3000B9D3" w:rsidR="00E8789B" w:rsidRPr="00B10849" w:rsidRDefault="00D32272"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Qualitative</w:t>
            </w:r>
            <w:r w:rsidR="00E8789B" w:rsidRPr="00B10849">
              <w:rPr>
                <w:rFonts w:ascii="Aptos Narrow" w:eastAsia="Times New Roman" w:hAnsi="Aptos Narrow" w:cs="Times New Roman"/>
                <w:kern w:val="0"/>
                <w:sz w:val="18"/>
                <w:szCs w:val="18"/>
                <w:lang w:eastAsia="en-GB"/>
                <w14:ligatures w14:val="none"/>
              </w:rPr>
              <w:t>/Questionnaires</w:t>
            </w:r>
          </w:p>
        </w:tc>
        <w:tc>
          <w:tcPr>
            <w:tcW w:w="2036" w:type="dxa"/>
            <w:tcBorders>
              <w:top w:val="single" w:sz="4" w:space="0" w:color="auto"/>
            </w:tcBorders>
            <w:noWrap/>
            <w:hideMark/>
          </w:tcPr>
          <w:p w14:paraId="3AF3BD4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Kats Adjustment Scale</w:t>
            </w:r>
          </w:p>
        </w:tc>
        <w:tc>
          <w:tcPr>
            <w:tcW w:w="1840" w:type="dxa"/>
            <w:tcBorders>
              <w:top w:val="single" w:sz="4" w:space="0" w:color="auto"/>
            </w:tcBorders>
            <w:noWrap/>
            <w:hideMark/>
          </w:tcPr>
          <w:p w14:paraId="33B1E86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345827BD" w14:textId="77777777" w:rsidTr="00E611F1">
        <w:tc>
          <w:tcPr>
            <w:tcW w:w="490" w:type="dxa"/>
            <w:noWrap/>
            <w:hideMark/>
          </w:tcPr>
          <w:p w14:paraId="2599255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w:t>
            </w:r>
          </w:p>
        </w:tc>
        <w:tc>
          <w:tcPr>
            <w:tcW w:w="1320" w:type="dxa"/>
            <w:noWrap/>
            <w:hideMark/>
          </w:tcPr>
          <w:p w14:paraId="7F39B91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{"citationID":"w0j3vyh3","properties":{"formattedCitation":"(R. Weddell et al., 1980a)","plainCitation":"(R. Weddell et al., 1980a)","dontUpdate":true,"noteIndex":0},"citationItems":[{"id":20824,"uris":["http://zotero.org/users/1471066/items/YUMTUD65","http://zotero.org/users/1471066/items/CAY5NJIF"],"itemData":{"id":20824,"type":"article-journal","abstract":"Forty-four young adults, admitted to a rehabilitation centre after very severe head injury, were followed-up 2 years after their accident. Comparison with a control group showed that the head injured had experienced marked changes in work, leisure activities, contact with friends and family life. Though these changes still created problems, the majority of patients and relatives appeared to have made a number of successful adaptations to their altered situation. Neurophysical status, personality change and memory loss all affected work capacity, while presence of personality changes was especially important in the loss of pre-accident friendships.","container-title":"Psychological Medicine","DOI":"10.1017/S0033291700044019","ISSN":"1469-8978, 0033-2917","issue":"2","language":"en","page":"257-263","source":"Cambridge University Press","title":"Social adjustment after rehabilitation: a two year follow-up of patients with severe head injury","title-short":"Social adjustment after rehabilitation","volume":"10","author":[{"family":"Weddell","given":"Roger"},{"family":"Oddy","given":"Michael"},{"family":"Jenkins","given":"David"}],"issued":{"date-parts":[["1980",5]]}}}],"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 xml:space="preserve">Weddell et al. </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47F972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1980</w:t>
            </w:r>
          </w:p>
        </w:tc>
        <w:tc>
          <w:tcPr>
            <w:tcW w:w="1205" w:type="dxa"/>
            <w:noWrap/>
            <w:hideMark/>
          </w:tcPr>
          <w:p w14:paraId="0DD78D1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214D5D5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n=44, m=31, age=24.4, time between accident and admission = 6.4m</w:t>
            </w:r>
          </w:p>
        </w:tc>
        <w:tc>
          <w:tcPr>
            <w:tcW w:w="1052" w:type="dxa"/>
            <w:noWrap/>
            <w:hideMark/>
          </w:tcPr>
          <w:p w14:paraId="30038BB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131461B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Severe head injury</w:t>
            </w:r>
          </w:p>
        </w:tc>
        <w:tc>
          <w:tcPr>
            <w:tcW w:w="2444" w:type="dxa"/>
            <w:noWrap/>
            <w:hideMark/>
          </w:tcPr>
          <w:p w14:paraId="0FF4BE9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Post-injury: irritability {N = 17), increased affection (n=8), increased talkativeness (N = 4), increased disinhibition (TV = 3) and childishness (N = 4).</w:t>
            </w:r>
          </w:p>
        </w:tc>
        <w:tc>
          <w:tcPr>
            <w:tcW w:w="2036" w:type="dxa"/>
            <w:noWrap/>
            <w:hideMark/>
          </w:tcPr>
          <w:p w14:paraId="3B3F461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Oddy's interview; Bond Neurophysical Scale; Standard Progressive Matrices</w:t>
            </w:r>
          </w:p>
        </w:tc>
        <w:tc>
          <w:tcPr>
            <w:tcW w:w="1840" w:type="dxa"/>
            <w:noWrap/>
            <w:hideMark/>
          </w:tcPr>
          <w:p w14:paraId="056FFD6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63D29326" w14:textId="77777777" w:rsidTr="00E611F1">
        <w:tc>
          <w:tcPr>
            <w:tcW w:w="490" w:type="dxa"/>
            <w:noWrap/>
            <w:hideMark/>
          </w:tcPr>
          <w:p w14:paraId="34F94BA9"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w:t>
            </w:r>
          </w:p>
        </w:tc>
        <w:tc>
          <w:tcPr>
            <w:tcW w:w="1320" w:type="dxa"/>
            <w:noWrap/>
            <w:hideMark/>
          </w:tcPr>
          <w:p w14:paraId="5AD86F9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{"citationID":"N4GaIV5m","properties":{"formattedCitation":"(I. V. Thomsen, 1981)","plainCitation":"(I. V. Thomsen, 1981)","dontUpdate":true,"noteIndex":0},"citationItems":[{"id":20720,"uris":["http://zotero.org/users/1471066/items/LDG5PABG"],"itemData":{"id":20720,"type":"article-journal","container-title":"Journal of Clinical Neuropsychology","issue":"1","language":"en","page":"43–51","title":"Neuropsychological treatment and longtime follow-up in an aphasic patient with very severe head trauma","volume":"3","author":[{"family":"Thomsen","given":"I.V."}],"issued":{"date-parts":[["1981"]]}}}],"schema":"https://github.com/citation-style-language/schema/raw/master/csl-citation.json"}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Thomsen</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C3E65A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1981</w:t>
            </w:r>
          </w:p>
        </w:tc>
        <w:tc>
          <w:tcPr>
            <w:tcW w:w="1205" w:type="dxa"/>
            <w:noWrap/>
            <w:hideMark/>
          </w:tcPr>
          <w:p w14:paraId="40CE711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4AD451E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44yo, edu=12y</w:t>
            </w:r>
          </w:p>
        </w:tc>
        <w:tc>
          <w:tcPr>
            <w:tcW w:w="1052" w:type="dxa"/>
            <w:noWrap/>
            <w:hideMark/>
          </w:tcPr>
          <w:p w14:paraId="4E56AB4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Denmark</w:t>
            </w:r>
          </w:p>
        </w:tc>
        <w:tc>
          <w:tcPr>
            <w:tcW w:w="1892" w:type="dxa"/>
            <w:noWrap/>
            <w:hideMark/>
          </w:tcPr>
          <w:p w14:paraId="6DF5FB5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10B8210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Partner gave pre-and post information</w:t>
            </w:r>
          </w:p>
        </w:tc>
        <w:tc>
          <w:tcPr>
            <w:tcW w:w="2036" w:type="dxa"/>
            <w:noWrap/>
            <w:hideMark/>
          </w:tcPr>
          <w:p w14:paraId="02D8F80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Neuropsych testing, but not specified</w:t>
            </w:r>
          </w:p>
        </w:tc>
        <w:tc>
          <w:tcPr>
            <w:tcW w:w="1840" w:type="dxa"/>
            <w:noWrap/>
            <w:hideMark/>
          </w:tcPr>
          <w:p w14:paraId="58AF9AC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An X-ray revealed multiple fractures in the posterior left part of the skull</w:t>
            </w:r>
          </w:p>
        </w:tc>
      </w:tr>
      <w:tr w:rsidR="00B10849" w:rsidRPr="00B10849" w14:paraId="1D5354D3" w14:textId="77777777" w:rsidTr="00E611F1">
        <w:tc>
          <w:tcPr>
            <w:tcW w:w="490" w:type="dxa"/>
            <w:noWrap/>
            <w:hideMark/>
          </w:tcPr>
          <w:p w14:paraId="2064002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w:t>
            </w:r>
          </w:p>
        </w:tc>
        <w:tc>
          <w:tcPr>
            <w:tcW w:w="1320" w:type="dxa"/>
            <w:noWrap/>
            <w:hideMark/>
          </w:tcPr>
          <w:p w14:paraId="3765DE5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{"citationID":"zCy7JA1I","properties":{"formattedCitation":"(Goldberg &amp; Buongiorno, 1983a)","plainCitation":"(Goldberg &amp; Buongiorno, 1983a)","dontUpdate":true,"noteIndex":0},"citationItems":[{"id":20624,"uris":["http://zotero.org/users/1471066/items/3QR488D7"],"itemData":{"id":20624,"type":"article-journal","container-title":"International Journal of Psychiatry in Medicine","DOI":"10.2190/5uku-njkt-75jv-pkab","issue":"4","language":"en","page":"275–279","title":"The use of carbamazepine for the treatment of paraphilias in a brain damaged patient","volume":"12","author":[{"family":"Goldberg","given":"R.L."},{"family":"Buongiorno","given":"P.A."}],"issued":{"date-parts":[["1983"]]}}}],"schema":"https://github.com/citation-style-language/schema/raw/master/csl-citation.json"}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Goldberg &amp; Buongiorno</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A0F55BE"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1982</w:t>
            </w:r>
          </w:p>
        </w:tc>
        <w:tc>
          <w:tcPr>
            <w:tcW w:w="1205" w:type="dxa"/>
            <w:noWrap/>
            <w:hideMark/>
          </w:tcPr>
          <w:p w14:paraId="1959455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10C538D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44</w:t>
            </w:r>
          </w:p>
        </w:tc>
        <w:tc>
          <w:tcPr>
            <w:tcW w:w="1052" w:type="dxa"/>
            <w:noWrap/>
            <w:hideMark/>
          </w:tcPr>
          <w:p w14:paraId="7921CEE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210BE62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6089962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OPD</w:t>
            </w:r>
          </w:p>
        </w:tc>
        <w:tc>
          <w:tcPr>
            <w:tcW w:w="2036" w:type="dxa"/>
            <w:noWrap/>
            <w:hideMark/>
          </w:tcPr>
          <w:p w14:paraId="195309A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WAIS; Halsted Reitan battery</w:t>
            </w:r>
          </w:p>
        </w:tc>
        <w:tc>
          <w:tcPr>
            <w:tcW w:w="1840" w:type="dxa"/>
            <w:noWrap/>
            <w:hideMark/>
          </w:tcPr>
          <w:p w14:paraId="21A6F6B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open skull fracture over the right frontal bone; prefrontal and frontal damage</w:t>
            </w:r>
          </w:p>
        </w:tc>
      </w:tr>
      <w:tr w:rsidR="00B10849" w:rsidRPr="00B10849" w14:paraId="42374395" w14:textId="77777777" w:rsidTr="00E611F1">
        <w:tc>
          <w:tcPr>
            <w:tcW w:w="490" w:type="dxa"/>
            <w:noWrap/>
            <w:hideMark/>
          </w:tcPr>
          <w:p w14:paraId="20E9D8AE"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5</w:t>
            </w:r>
          </w:p>
        </w:tc>
        <w:tc>
          <w:tcPr>
            <w:tcW w:w="1320" w:type="dxa"/>
            <w:noWrap/>
            <w:hideMark/>
          </w:tcPr>
          <w:p w14:paraId="462A3D4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{"citationID":"2XCgedgr","properties":{"formattedCitation":"(D. N. Brooks &amp; McKinlay, 1983)","plainCitation":"(D. N. Brooks &amp; McKinlay, 1983)","dontUpdate":true,"noteIndex":0},"citationItems":[{"id":20826,"uris":["http://zotero.org/users/1471066/items/5A2L2M35","http://zotero.org/users/1471066/items/9EQX6NDC"],"itemData":{"id":20826,"type":"article-journal","abstract":"A close relative of 55 severely head injured adults rated the personality of the patient at 3, 6 and 12 months after injury, using a Yes/No judgement, and analogue scales comprising bipolar adjectives. The relative assessed the \"current\" as well as the \"premorbid\" personality at each time. Personality change was associated with many negative scores on the analogue scale, and increasing negative scores were associated with high \"subjective burden\" on the relative. Severity of injury (post-traumatic amnesia) was of no significance in predicting the extent or pattern of personality change.","container-title":"Journal of Neurology, Neurosurgery &amp; Psychiatry","DOI":"10.1136/jnnp.46.4.336","ISSN":"0022-3050, 1468-330X","issue":"4","language":"en","page":"336-344","PMID":"6842246","publisher":"BMJ Publishing Group Ltd","section":"Research Article","source":"jnnp.bmj.com","title":"Personality and behavioural change after severe blunt head injury--a relative's view.","volume":"46","author":[{"family":"Brooks","given":"N."},{"family":"McKinlay","given":"W."}],"issued":{"date-parts":[["1983",4,1]]}}}],"schema":"https://github.com/citation-style-language/schema/raw/master/csl-citation.json"}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Brooks &amp; McKinlay</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D7D1A1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1983</w:t>
            </w:r>
          </w:p>
        </w:tc>
        <w:tc>
          <w:tcPr>
            <w:tcW w:w="1205" w:type="dxa"/>
            <w:noWrap/>
            <w:hideMark/>
          </w:tcPr>
          <w:p w14:paraId="235DD92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6260012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TBI=55, M=46; age=m35.7</w:t>
            </w:r>
          </w:p>
        </w:tc>
        <w:tc>
          <w:tcPr>
            <w:tcW w:w="1052" w:type="dxa"/>
            <w:noWrap/>
            <w:hideMark/>
          </w:tcPr>
          <w:p w14:paraId="181A506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448A46B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RTA=26; work-related injury=4; assault=11; other =14.</w:t>
            </w:r>
          </w:p>
        </w:tc>
        <w:tc>
          <w:tcPr>
            <w:tcW w:w="2444" w:type="dxa"/>
            <w:noWrap/>
            <w:hideMark/>
          </w:tcPr>
          <w:p w14:paraId="07C7E48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Personality adjective checklist: Present 3m=27, 6m=33, 12m=33; Absent 3m=28, 6m=22, 12m=22</w:t>
            </w:r>
          </w:p>
        </w:tc>
        <w:tc>
          <w:tcPr>
            <w:tcW w:w="2036" w:type="dxa"/>
            <w:noWrap/>
            <w:hideMark/>
          </w:tcPr>
          <w:p w14:paraId="1A95CC4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w:t>
            </w:r>
          </w:p>
        </w:tc>
        <w:tc>
          <w:tcPr>
            <w:tcW w:w="1840" w:type="dxa"/>
            <w:noWrap/>
            <w:hideMark/>
          </w:tcPr>
          <w:p w14:paraId="7FCBA2F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6EAB603F" w14:textId="77777777" w:rsidTr="00E611F1">
        <w:tc>
          <w:tcPr>
            <w:tcW w:w="490" w:type="dxa"/>
            <w:noWrap/>
            <w:hideMark/>
          </w:tcPr>
          <w:p w14:paraId="5D2875FB"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6</w:t>
            </w:r>
          </w:p>
        </w:tc>
        <w:tc>
          <w:tcPr>
            <w:tcW w:w="1320" w:type="dxa"/>
            <w:noWrap/>
            <w:hideMark/>
          </w:tcPr>
          <w:p w14:paraId="744309A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{"citationID":"DNqO7viS","properties":{"formattedCitation":"(O\\uc0\\u8217{}Shaughnessy et al., 1984)","plainCitation":"(O’Shaughnessy et al., 1984)","dontUpdate":true,"noteIndex":0},"citationItems":[{"id":20734,"uris":["http://zotero.org/users/1471066/items/XLEW7PZH"],"itemData":{"id":20734,"type":"article-journal","abstract":"Thirty-nine minimal to mild closed head injuries without neurological signs were evaluated by a series of clinically available psychometric tests to determine the presence of identifiable intellectual deficits, rate of recovery, and personality or occupational changes. Even minimally head-injured pa …","container-title":"The Journal of family practice","ISSN":"0094-3509","issue":"3","language":"en","PMID":"6699578","publisher":"J Fam Pract","source":"pubmed.ncbi.nlm.nih.gov","title":"Sequelae of mild closed head injuries","URL":"https://pubmed.ncbi.nlm.nih.gov/6699578/","volume":"18","author":[{"family":"O'Shaughnessy","given":"EJ"},{"family":"Fowler","given":"RS"},{"family":"Reid","given":"V"}],"accessed":{"date-parts":[["2025",4,1]]},"issued":{"date-parts":[["1984",3]]}}}],"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cs="Times New Roman"/>
                <w:kern w:val="0"/>
                <w:sz w:val="18"/>
              </w:rPr>
              <w:t>O’Shaughnessy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4AD5517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1984</w:t>
            </w:r>
          </w:p>
        </w:tc>
        <w:tc>
          <w:tcPr>
            <w:tcW w:w="1205" w:type="dxa"/>
            <w:noWrap/>
            <w:hideMark/>
          </w:tcPr>
          <w:p w14:paraId="74A2EBF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2943433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N=39, M=29, age=28.2, edu=12.46, PTA=5.65days</w:t>
            </w:r>
          </w:p>
        </w:tc>
        <w:tc>
          <w:tcPr>
            <w:tcW w:w="1052" w:type="dxa"/>
            <w:noWrap/>
            <w:hideMark/>
          </w:tcPr>
          <w:p w14:paraId="1477533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40BFB5C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Closed head injury</w:t>
            </w:r>
          </w:p>
        </w:tc>
        <w:tc>
          <w:tcPr>
            <w:tcW w:w="2444" w:type="dxa"/>
            <w:noWrap/>
            <w:hideMark/>
          </w:tcPr>
          <w:p w14:paraId="15AD5C8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EPI</w:t>
            </w:r>
          </w:p>
        </w:tc>
        <w:tc>
          <w:tcPr>
            <w:tcW w:w="2036" w:type="dxa"/>
            <w:noWrap/>
            <w:hideMark/>
          </w:tcPr>
          <w:p w14:paraId="36C25FB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WAIS; EMS; PASAT; TMT; EPI; Social Leisure Form</w:t>
            </w:r>
          </w:p>
        </w:tc>
        <w:tc>
          <w:tcPr>
            <w:tcW w:w="1840" w:type="dxa"/>
            <w:noWrap/>
            <w:hideMark/>
          </w:tcPr>
          <w:p w14:paraId="59DF82D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3D99CA99" w14:textId="77777777" w:rsidTr="00E611F1">
        <w:tc>
          <w:tcPr>
            <w:tcW w:w="490" w:type="dxa"/>
            <w:noWrap/>
            <w:hideMark/>
          </w:tcPr>
          <w:p w14:paraId="3F98518A"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7</w:t>
            </w:r>
          </w:p>
        </w:tc>
        <w:tc>
          <w:tcPr>
            <w:tcW w:w="1320" w:type="dxa"/>
            <w:noWrap/>
            <w:hideMark/>
          </w:tcPr>
          <w:p w14:paraId="517CF05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{"citationID":"iqZqTRZE","properties":{"formattedCitation":"(Prigatano et al., 1984a)","plainCitation":"(Prigatano et al., 1984a)","dontUpdate":true,"noteIndex":0},"citationItems":[{"id":26168,"uris":["http://zotero.org/users/1471066/items/E8C22CCR"],"itemData":{"id":26168,"type":"article-journal","container-title":"Journal of Neurology, Neurosurgery &amp; Psychiatry","issue":"5","note":"ISBN: 0022-3050","page":"505-513","publisher":"BMJ Publishing Group Ltd","title":"Neuropsychological rehabilitation after closed head injury in young adults.","volume":"47","author":[{"family":"Prigatano","given":"GEORGE P."},{"family":"Fordyce","given":"DAVID J."},{"family":"Zeiner","given":"HARRIET K."},{"family":"Roueche","given":"James R."},{"family":"Pepping","given":"MARY"},{"family":"Wood","given":"BETH CASE"}],"issued":{"date-parts":[["1984"]]}}}],"schema":"https://github.com/citation-style-language/schema/raw/master/csl-citation.json"}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Prigatano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411C8E2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1984</w:t>
            </w:r>
          </w:p>
        </w:tc>
        <w:tc>
          <w:tcPr>
            <w:tcW w:w="1205" w:type="dxa"/>
            <w:noWrap/>
            <w:hideMark/>
          </w:tcPr>
          <w:p w14:paraId="7F86142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Non-RCT intervention study</w:t>
            </w:r>
          </w:p>
        </w:tc>
        <w:tc>
          <w:tcPr>
            <w:tcW w:w="2170" w:type="dxa"/>
            <w:noWrap/>
            <w:hideMark/>
          </w:tcPr>
          <w:p w14:paraId="55C01FE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TBI=18, m=15, Age=26.1; C=17, m=15, age=23.5</w:t>
            </w:r>
          </w:p>
        </w:tc>
        <w:tc>
          <w:tcPr>
            <w:tcW w:w="1052" w:type="dxa"/>
            <w:noWrap/>
            <w:hideMark/>
          </w:tcPr>
          <w:p w14:paraId="4694544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4371271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Serious brain injury</w:t>
            </w:r>
          </w:p>
        </w:tc>
        <w:tc>
          <w:tcPr>
            <w:tcW w:w="2444" w:type="dxa"/>
            <w:noWrap/>
            <w:hideMark/>
          </w:tcPr>
          <w:p w14:paraId="66F48EC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KATS</w:t>
            </w:r>
          </w:p>
        </w:tc>
        <w:tc>
          <w:tcPr>
            <w:tcW w:w="2036" w:type="dxa"/>
            <w:noWrap/>
            <w:hideMark/>
          </w:tcPr>
          <w:p w14:paraId="4F15DC0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WAIS; WMS; TMT; FTT; RN AIR; KATS</w:t>
            </w:r>
          </w:p>
        </w:tc>
        <w:tc>
          <w:tcPr>
            <w:tcW w:w="1840" w:type="dxa"/>
            <w:noWrap/>
            <w:hideMark/>
          </w:tcPr>
          <w:p w14:paraId="14A5F44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Severe Cerebral Contusion, Brain Stem Contusion</w:t>
            </w:r>
          </w:p>
        </w:tc>
      </w:tr>
      <w:tr w:rsidR="00B10849" w:rsidRPr="00B10849" w14:paraId="2458A035" w14:textId="77777777" w:rsidTr="00E611F1">
        <w:tc>
          <w:tcPr>
            <w:tcW w:w="490" w:type="dxa"/>
            <w:noWrap/>
            <w:hideMark/>
          </w:tcPr>
          <w:p w14:paraId="4FFE11E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8</w:t>
            </w:r>
          </w:p>
        </w:tc>
        <w:tc>
          <w:tcPr>
            <w:tcW w:w="1320" w:type="dxa"/>
            <w:noWrap/>
            <w:hideMark/>
          </w:tcPr>
          <w:p w14:paraId="61014E8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{"citationID":"mD0zLoi1","properties":{"formattedCitation":"(I. V. Thomsen, 1984)","plainCitation":"(I. V. Thomsen, 1984)","dontUpdate":true,"noteIndex":0},"citationItems":[{"id":20722,"uris":["http://zotero.org/users/1471066/items/FW44YGMT"],"itemData":{"id":20722,"type":"article-journal","container-title":"J Neurol Neurosurg Psychiatry","DOI":"10.1136/jnnp.47.3.260","issue":"3","language":"en","page":"260–268","title":"Late outcome of very severe blunt head trauma: a 10-15 year second follow-up","volume":"47","author":[{"family":"Thomsen","given":"I.V."}],"issued":{"date-parts":[["1984"]]}}}],"schema":"https://github.com/citation-style-language/schema/raw/master/csl-citation.json"}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Thomsen</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0A2DED0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1984</w:t>
            </w:r>
          </w:p>
        </w:tc>
        <w:tc>
          <w:tcPr>
            <w:tcW w:w="1205" w:type="dxa"/>
            <w:noWrap/>
            <w:hideMark/>
          </w:tcPr>
          <w:p w14:paraId="1EEA0B0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13B66A0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n=40; m=28 age=21.5; f=12, age = 27.3</w:t>
            </w:r>
          </w:p>
        </w:tc>
        <w:tc>
          <w:tcPr>
            <w:tcW w:w="1052" w:type="dxa"/>
            <w:noWrap/>
            <w:hideMark/>
          </w:tcPr>
          <w:p w14:paraId="580D8D5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Denmark</w:t>
            </w:r>
          </w:p>
        </w:tc>
        <w:tc>
          <w:tcPr>
            <w:tcW w:w="1892" w:type="dxa"/>
            <w:noWrap/>
            <w:hideMark/>
          </w:tcPr>
          <w:p w14:paraId="1AF5234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RTA=37; Falls =3; Closed head inj=9; Closed head inj + brainstem damage = 15; Closed head inj+verified focal lesion =16</w:t>
            </w:r>
          </w:p>
        </w:tc>
        <w:tc>
          <w:tcPr>
            <w:tcW w:w="2444" w:type="dxa"/>
            <w:noWrap/>
            <w:hideMark/>
          </w:tcPr>
          <w:p w14:paraId="4957CD6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Changes in personality and emotion 2-5yrs=80%, 10-15yrs=65%: Childishness 2-15yrs=60% 10-15yrs=25%, Emotional lability = 40% 35%, Irritability 2-5yrs=38%, 10-15yrs=48%, Restlessness 2-5yrs=25%, 10-15yrs=38%, Disturbed behaviour 2-5yrs=23%, 10-15yrs=20%, Loss of social contact 2-5yrs=60%, 10-15yrs=68%, Aspontaneity 2-5yrs=43%, 10-15yrs=53%, Sensitivity distress 2-5yrs=23%, 10-15yrs=68%, Lack of interests 2-5yrs=20%, 10-15yrs=55%</w:t>
            </w:r>
          </w:p>
        </w:tc>
        <w:tc>
          <w:tcPr>
            <w:tcW w:w="2036" w:type="dxa"/>
            <w:noWrap/>
            <w:hideMark/>
          </w:tcPr>
          <w:p w14:paraId="487014D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WAIS</w:t>
            </w:r>
          </w:p>
        </w:tc>
        <w:tc>
          <w:tcPr>
            <w:tcW w:w="1840" w:type="dxa"/>
            <w:noWrap/>
            <w:hideMark/>
          </w:tcPr>
          <w:p w14:paraId="0EDBE12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The worse overall outcome was seen in cases with severe brainstem involvement or anterior lesions or both. </w:t>
            </w:r>
          </w:p>
        </w:tc>
      </w:tr>
      <w:tr w:rsidR="00B10849" w:rsidRPr="00B10849" w14:paraId="2BAF16C7" w14:textId="77777777" w:rsidTr="00E611F1">
        <w:tc>
          <w:tcPr>
            <w:tcW w:w="490" w:type="dxa"/>
            <w:noWrap/>
            <w:hideMark/>
          </w:tcPr>
          <w:p w14:paraId="7706D65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9</w:t>
            </w:r>
          </w:p>
        </w:tc>
        <w:tc>
          <w:tcPr>
            <w:tcW w:w="1320" w:type="dxa"/>
            <w:noWrap/>
            <w:hideMark/>
          </w:tcPr>
          <w:p w14:paraId="5C598D3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{"citationID":"y5tkwOSA","properties":{"formattedCitation":"(Oddy et al., 1985a)","plainCitation":"(Oddy et al., 1985a)","dontUpdate":true,"noteIndex":0},"citationItems":[{"id":20683,"uris":["http://zotero.org/users/1471066/items/63I7A968"],"itemData":{"id":20683,"type":"article-journal","container-title":"J Neurol Neurosurg Psychiatry","DOI":"10.1136/jnnp.48.6.564","issue":"6","language":"en","page":"564–568","title":"Social adjustment after closed head injury: a further follow-up seven years after injury","volume":"48","author":[{"family":"Oddy","given":"M."},{"family":"Coughlan","given":"T."},{"family":"Tyerman","given":"A."},{"family":"Jenkins","given":"D."}],"issued":{"date-parts":[["1985"]]}}}],"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Oddy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728B471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1985</w:t>
            </w:r>
          </w:p>
        </w:tc>
        <w:tc>
          <w:tcPr>
            <w:tcW w:w="1205" w:type="dxa"/>
            <w:noWrap/>
            <w:hideMark/>
          </w:tcPr>
          <w:p w14:paraId="6432AAC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06CE45F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n=44, m=31</w:t>
            </w:r>
          </w:p>
        </w:tc>
        <w:tc>
          <w:tcPr>
            <w:tcW w:w="1052" w:type="dxa"/>
            <w:noWrap/>
            <w:hideMark/>
          </w:tcPr>
          <w:p w14:paraId="325F255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07286A2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Closed head injury</w:t>
            </w:r>
          </w:p>
        </w:tc>
        <w:tc>
          <w:tcPr>
            <w:tcW w:w="2444" w:type="dxa"/>
            <w:noWrap/>
            <w:hideMark/>
          </w:tcPr>
          <w:p w14:paraId="347E059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Qualitative/Questionnaire</w:t>
            </w:r>
          </w:p>
        </w:tc>
        <w:tc>
          <w:tcPr>
            <w:tcW w:w="2036" w:type="dxa"/>
            <w:noWrap/>
            <w:hideMark/>
          </w:tcPr>
          <w:p w14:paraId="61A8F8A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Bond Neuropsychological scale; ravens progressive matrices &amp; mill hill vocab scale; Wimbledon self-report scale</w:t>
            </w:r>
          </w:p>
        </w:tc>
        <w:tc>
          <w:tcPr>
            <w:tcW w:w="1840" w:type="dxa"/>
            <w:noWrap/>
            <w:hideMark/>
          </w:tcPr>
          <w:p w14:paraId="2A58CCA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21053711" w14:textId="77777777" w:rsidTr="00E611F1">
        <w:tc>
          <w:tcPr>
            <w:tcW w:w="490" w:type="dxa"/>
            <w:noWrap/>
            <w:hideMark/>
          </w:tcPr>
          <w:p w14:paraId="7709A569"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10</w:t>
            </w:r>
          </w:p>
        </w:tc>
        <w:tc>
          <w:tcPr>
            <w:tcW w:w="1320" w:type="dxa"/>
            <w:noWrap/>
            <w:hideMark/>
          </w:tcPr>
          <w:p w14:paraId="481B942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{"citationID":"yM3piEOi","properties":{"formattedCitation":"(N. Brooks et al., 1986a)","plainCitation":"(N. Brooks et al., 1986a)","dontUpdate":true,"noteIndex":0},"citationItems":[{"id":26169,"uris":["http://zotero.org/users/1471066/items/GDGDKKAL"],"itemData":{"id":26169,"type":"article-journal","container-title":"Journal of Neurology, Neurosurgery &amp; Psychiatry","issue":"7","note":"ISBN: 0022-3050","page":"764-770","publisher":"BMJ Publishing Group Ltd","title":"The five year outcome of severe blunt head injury: a relative's view.","volume":"49","author":[{"family":"Brooks","given":"N."},{"family":"Campsie","given":"Linda"},{"family":"Symington","given":"Catherine"},{"family":"Beattie","given":"Alison"},{"family":"McKinlay","given":"William"}],"issued":{"date-parts":[["1986"]]}}}],"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Brooks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5102C88"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1986</w:t>
            </w:r>
          </w:p>
        </w:tc>
        <w:tc>
          <w:tcPr>
            <w:tcW w:w="1205" w:type="dxa"/>
            <w:noWrap/>
            <w:hideMark/>
          </w:tcPr>
          <w:p w14:paraId="3889415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049D4C1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TBI=55, M=46; age=m35.7. Relatives=42</w:t>
            </w:r>
          </w:p>
        </w:tc>
        <w:tc>
          <w:tcPr>
            <w:tcW w:w="1052" w:type="dxa"/>
            <w:noWrap/>
            <w:hideMark/>
          </w:tcPr>
          <w:p w14:paraId="217D479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5E2FD33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RTA=26; work-related injury=4; assault=11; other =14.</w:t>
            </w:r>
          </w:p>
        </w:tc>
        <w:tc>
          <w:tcPr>
            <w:tcW w:w="2444" w:type="dxa"/>
            <w:noWrap/>
            <w:hideMark/>
          </w:tcPr>
          <w:p w14:paraId="6BC654F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Personality change 1year=60%, 5years=74%</w:t>
            </w:r>
          </w:p>
        </w:tc>
        <w:tc>
          <w:tcPr>
            <w:tcW w:w="2036" w:type="dxa"/>
            <w:noWrap/>
            <w:hideMark/>
          </w:tcPr>
          <w:p w14:paraId="32B5A6B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w:t>
            </w:r>
          </w:p>
        </w:tc>
        <w:tc>
          <w:tcPr>
            <w:tcW w:w="1840" w:type="dxa"/>
            <w:noWrap/>
            <w:hideMark/>
          </w:tcPr>
          <w:p w14:paraId="7DC8F25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0EEF9739" w14:textId="77777777" w:rsidTr="00E611F1">
        <w:tc>
          <w:tcPr>
            <w:tcW w:w="490" w:type="dxa"/>
            <w:noWrap/>
            <w:hideMark/>
          </w:tcPr>
          <w:p w14:paraId="601E43A4"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11</w:t>
            </w:r>
          </w:p>
        </w:tc>
        <w:tc>
          <w:tcPr>
            <w:tcW w:w="1320" w:type="dxa"/>
            <w:noWrap/>
            <w:hideMark/>
          </w:tcPr>
          <w:p w14:paraId="0415DAD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{"citationID":"UKumrRBL","properties":{"formattedCitation":"(Nemeth, 1996a)","plainCitation":"(Nemeth, 1996a)","dontUpdate":true,"noteIndex":0},"citationItems":[{"id":20674,"uris":["http://zotero.org/users/1471066/items/3TCGES28"],"itemData":{"id":20674,"type":"article-journal","container-title":"Archives of Clinical Neuropsychology","DOI":"10.1016/S0887-6177","issue":"8","language":"en","page":"677–695","title":"Behavior-descriptive data on cognitive, personality, and somatic residua after relatively mild brain trauma: Studying the syndrome as a whole","volume":"11","author":[{"family":"Nemeth","given":"A.J."}],"issued":{"date-parts":[["1996"]]}}}],"schema":"https://github.com/citation-style-language/schema/raw/master/csl-citation.json"}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 xml:space="preserve">Nemeth </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57887E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1986</w:t>
            </w:r>
          </w:p>
        </w:tc>
        <w:tc>
          <w:tcPr>
            <w:tcW w:w="1205" w:type="dxa"/>
            <w:noWrap/>
            <w:hideMark/>
          </w:tcPr>
          <w:p w14:paraId="0C01713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Retrospective observational </w:t>
            </w:r>
          </w:p>
        </w:tc>
        <w:tc>
          <w:tcPr>
            <w:tcW w:w="2170" w:type="dxa"/>
            <w:noWrap/>
            <w:hideMark/>
          </w:tcPr>
          <w:p w14:paraId="2E60565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n=21, m=10, 17to47age varying levels of education</w:t>
            </w:r>
          </w:p>
        </w:tc>
        <w:tc>
          <w:tcPr>
            <w:tcW w:w="1052" w:type="dxa"/>
            <w:noWrap/>
            <w:hideMark/>
          </w:tcPr>
          <w:p w14:paraId="40DC426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5CEB851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mTBI refers to a condition where cell loss or damage is assumed to have occurred as a result of a relatively mild cerebral concussion ; RTA=26, Falls=2, assaults=2, falling object=1</w:t>
            </w:r>
          </w:p>
        </w:tc>
        <w:tc>
          <w:tcPr>
            <w:tcW w:w="2444" w:type="dxa"/>
            <w:noWrap/>
            <w:hideMark/>
          </w:tcPr>
          <w:p w14:paraId="525D94E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Categorised as: 1. Impaired impulse control: Impatience, irritability, low frustration tolerance [n=18] 2. Inappropriate intensity of affect; mood swings [n=17] 3. Impaired motivation; loss of interest; social withdrawal; apathy. [n=17]. 4. Ability to relate [n=8]. 5. Diminished libido [n=6]. 6. Sleep disturbance [n=8]</w:t>
            </w:r>
          </w:p>
        </w:tc>
        <w:tc>
          <w:tcPr>
            <w:tcW w:w="2036" w:type="dxa"/>
            <w:noWrap/>
            <w:hideMark/>
          </w:tcPr>
          <w:p w14:paraId="6B25473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w:t>
            </w:r>
          </w:p>
        </w:tc>
        <w:tc>
          <w:tcPr>
            <w:tcW w:w="1840" w:type="dxa"/>
            <w:noWrap/>
            <w:hideMark/>
          </w:tcPr>
          <w:p w14:paraId="1028F94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3112B297" w14:textId="77777777" w:rsidTr="00E611F1">
        <w:tc>
          <w:tcPr>
            <w:tcW w:w="490" w:type="dxa"/>
            <w:noWrap/>
            <w:hideMark/>
          </w:tcPr>
          <w:p w14:paraId="1889204E"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12</w:t>
            </w:r>
          </w:p>
        </w:tc>
        <w:tc>
          <w:tcPr>
            <w:tcW w:w="1320" w:type="dxa"/>
            <w:noWrap/>
            <w:hideMark/>
          </w:tcPr>
          <w:p w14:paraId="5FA9057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{"citationID":"1bCP5AdO","properties":{"formattedCitation":"(Lezak, 1987a)","plainCitation":"(Lezak, 1987a)","dontUpdate":true,"noteIndex":0},"citationItems":[{"id":20649,"uris":["http://zotero.org/users/1471066/items/QNLTNP37"],"itemData":{"id":20649,"type":"article-journal","container-title":"Journal of Head Trauma Rehabilitation","issue":"1","language":"en","page":"57–69","title":"Relationships between personality disorders, social disturbances, and physical disability following traumatic brain injury","volume":"2","author":[{"family":"Lezak","given":"M.D."}],"issued":{"date-parts":[["1987"]]}}}],"schema":"https://github.com/citation-style-language/schema/raw/master/csl-citation.json"}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Lezak</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7243516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1987</w:t>
            </w:r>
          </w:p>
        </w:tc>
        <w:tc>
          <w:tcPr>
            <w:tcW w:w="1205" w:type="dxa"/>
            <w:noWrap/>
            <w:hideMark/>
          </w:tcPr>
          <w:p w14:paraId="1B9634C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6C73B33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n=42, white, male, 27.8</w:t>
            </w:r>
          </w:p>
        </w:tc>
        <w:tc>
          <w:tcPr>
            <w:tcW w:w="1052" w:type="dxa"/>
            <w:noWrap/>
            <w:hideMark/>
          </w:tcPr>
          <w:p w14:paraId="2DAE7D8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1A11668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RTA=28, Assault=7, falls=5, gunshot=1, airplane=1</w:t>
            </w:r>
          </w:p>
        </w:tc>
        <w:tc>
          <w:tcPr>
            <w:tcW w:w="2444" w:type="dxa"/>
            <w:noWrap/>
            <w:hideMark/>
          </w:tcPr>
          <w:p w14:paraId="2897FAE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PAI</w:t>
            </w:r>
          </w:p>
        </w:tc>
        <w:tc>
          <w:tcPr>
            <w:tcW w:w="2036" w:type="dxa"/>
            <w:noWrap/>
            <w:hideMark/>
          </w:tcPr>
          <w:p w14:paraId="698134E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WAIS; PAI</w:t>
            </w:r>
          </w:p>
        </w:tc>
        <w:tc>
          <w:tcPr>
            <w:tcW w:w="1840" w:type="dxa"/>
            <w:noWrap/>
            <w:hideMark/>
          </w:tcPr>
          <w:p w14:paraId="1CD84D1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76532CDC" w14:textId="77777777" w:rsidTr="00E611F1">
        <w:tc>
          <w:tcPr>
            <w:tcW w:w="490" w:type="dxa"/>
            <w:noWrap/>
            <w:hideMark/>
          </w:tcPr>
          <w:p w14:paraId="355A240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13</w:t>
            </w:r>
          </w:p>
        </w:tc>
        <w:tc>
          <w:tcPr>
            <w:tcW w:w="1320" w:type="dxa"/>
            <w:noWrap/>
            <w:hideMark/>
          </w:tcPr>
          <w:p w14:paraId="5E24B38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{"citationID":"Rn4aDB2F","properties":{"formattedCitation":"(Dodwell, 1988a)","plainCitation":"(Dodwell, 1988a)","dontUpdate":true,"noteIndex":0},"citationItems":[{"id":20614,"uris":["http://zotero.org/users/1471066/items/RAPT3B4D"],"itemData":{"id":20614,"type":"article-journal","container-title":"Psychol Med","DOI":"10.1017/s0033291700008035","issue":"2","language":"en","page":"495–501","title":"Comparison of self-ratings with informant-ratings of pre-morbid personality on two personality rating scales","volume":"18","author":[{"family":"Dodwell","given":"D."}],"issued":{"date-parts":[["1988"]]}}}],"schema":"https://github.com/citation-style-language/schema/raw/master/csl-citation.json"}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 xml:space="preserve">Dodwell </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41070D9E"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1988</w:t>
            </w:r>
          </w:p>
        </w:tc>
        <w:tc>
          <w:tcPr>
            <w:tcW w:w="1205" w:type="dxa"/>
            <w:noWrap/>
            <w:hideMark/>
          </w:tcPr>
          <w:p w14:paraId="46A2314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57484FB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n=56, M=46, age=26,  O-levels=25, a-Levels=5, graduates=4</w:t>
            </w:r>
          </w:p>
        </w:tc>
        <w:tc>
          <w:tcPr>
            <w:tcW w:w="1052" w:type="dxa"/>
            <w:noWrap/>
            <w:hideMark/>
          </w:tcPr>
          <w:p w14:paraId="0C264BA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34307C3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Blunt head injury</w:t>
            </w:r>
          </w:p>
        </w:tc>
        <w:tc>
          <w:tcPr>
            <w:tcW w:w="2444" w:type="dxa"/>
            <w:noWrap/>
            <w:hideMark/>
          </w:tcPr>
          <w:p w14:paraId="431B09B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EPI</w:t>
            </w:r>
          </w:p>
        </w:tc>
        <w:tc>
          <w:tcPr>
            <w:tcW w:w="2036" w:type="dxa"/>
            <w:noWrap/>
            <w:hideMark/>
          </w:tcPr>
          <w:p w14:paraId="7F4FF43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EPI; MNTS; MPI; PSE</w:t>
            </w:r>
          </w:p>
        </w:tc>
        <w:tc>
          <w:tcPr>
            <w:tcW w:w="1840" w:type="dxa"/>
            <w:noWrap/>
            <w:hideMark/>
          </w:tcPr>
          <w:p w14:paraId="3957BF5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1FB95448" w14:textId="77777777" w:rsidTr="00E611F1">
        <w:tc>
          <w:tcPr>
            <w:tcW w:w="490" w:type="dxa"/>
            <w:noWrap/>
            <w:hideMark/>
          </w:tcPr>
          <w:p w14:paraId="6FECFB1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14</w:t>
            </w:r>
          </w:p>
        </w:tc>
        <w:tc>
          <w:tcPr>
            <w:tcW w:w="1320" w:type="dxa"/>
            <w:noWrap/>
            <w:hideMark/>
          </w:tcPr>
          <w:p w14:paraId="7169954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{"citationID":"UPPIrtCf","properties":{"formattedCitation":"(Lezak &amp; O\\uc0\\u8217{}Brien, 1988)","plainCitation":"(Lezak &amp; O’Brien, 1988)","dontUpdate":true,"noteIndex":0},"citationItems":[{"id":26170,"uris":["http://zotero.org/users/1471066/items/8YB8TPGY"],"itemData":{"id":26170,"type":"article-journal","container-title":"Journal of Learning Disabilities","issue":"8","note":"ISBN: 0022-2194","page":"456-462","publisher":"Sage Publications Sage UK: London, England","title":"Longitudinal study of emotional, social, and physical changes after traumatic brain injury","volume":"21","author":[{"family":"Lezak","given":"Muriel D."},{"family":"O'Brien","given":"Kevin P."}],"issued":{"date-parts":[["1988"]]}}}],"schema":"https://github.com/citation-style-language/schema/raw/master/csl-citation.json"}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cs="Times New Roman"/>
                <w:kern w:val="0"/>
                <w:sz w:val="18"/>
              </w:rPr>
              <w:t>Lezak &amp; O’Brien</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7A9051E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1988</w:t>
            </w:r>
          </w:p>
        </w:tc>
        <w:tc>
          <w:tcPr>
            <w:tcW w:w="1205" w:type="dxa"/>
            <w:noWrap/>
            <w:hideMark/>
          </w:tcPr>
          <w:p w14:paraId="0DA3030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41B803F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42 white males with TBI (39 analyzed in some analyses). Mean age at injury: 27.1 years (SD=7.4), mean education: 12.4 years (SD=2.2). 17 unconscious &lt;2 weeks, 25 unconscious &gt;2 weeks. No prior psychiatric history.</w:t>
            </w:r>
          </w:p>
        </w:tc>
        <w:tc>
          <w:tcPr>
            <w:tcW w:w="1052" w:type="dxa"/>
            <w:noWrap/>
            <w:hideMark/>
          </w:tcPr>
          <w:p w14:paraId="4B7D5EE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23AE3F3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Unselected TBI sample. Etiology: 67% motor vehicle accidents, 17% blow to head, 12% fall, 5% other. Duration of unconsciousness: 8 patients &lt;1 day, 9 patients &lt;2 weeks, 23 patients &gt;2 weeks, 2 patients &gt;1 month. All examined within first year post-injury, followed for 5 years with 6 assessment periods.</w:t>
            </w:r>
          </w:p>
        </w:tc>
        <w:tc>
          <w:tcPr>
            <w:tcW w:w="2444" w:type="dxa"/>
            <w:noWrap/>
            <w:hideMark/>
          </w:tcPr>
          <w:p w14:paraId="6EBB505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 Persistent difficulties: anger (39% at year 5), anxiety, significant relationships (22-36%), social contacts, work/school, driving, appropriate social interaction; (2) Rapid improvement: initiative, residence, self-care, leisure, ambulation, aphasia; (3) Variable improvement: anxiety, depression. At 5 years, 45% displayed delusions/hallucinations or paranoia at some point. Emotional/social disturbances more handicapping than cognitive/physical disabilities.</w:t>
            </w:r>
          </w:p>
        </w:tc>
        <w:tc>
          <w:tcPr>
            <w:tcW w:w="2036" w:type="dxa"/>
            <w:noWrap/>
            <w:hideMark/>
          </w:tcPr>
          <w:p w14:paraId="2306A22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Portland Adaptability Inventory (PAI) - developed for this study with 3 subscales: Temperament and Emotionality (7 items: anger, anxiety, indifference, depression, delusions/hallucinations, paranoia, initiative); Activities of Social Behavior (8 items analyzed: relationships, residence, social contacts, self-care, work/school, leisure, driving, appropriate social interaction); Physical Capabilities (6 items: ambulation, hands, auditory, vision, dysarthria, aphasia). 4-point scale (0-3).</w:t>
            </w:r>
          </w:p>
        </w:tc>
        <w:tc>
          <w:tcPr>
            <w:tcW w:w="1840" w:type="dxa"/>
            <w:noWrap/>
            <w:hideMark/>
          </w:tcPr>
          <w:p w14:paraId="5088809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2D573B5B" w14:textId="77777777" w:rsidTr="00E611F1">
        <w:tc>
          <w:tcPr>
            <w:tcW w:w="490" w:type="dxa"/>
            <w:noWrap/>
            <w:hideMark/>
          </w:tcPr>
          <w:p w14:paraId="23E30F9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15</w:t>
            </w:r>
          </w:p>
        </w:tc>
        <w:tc>
          <w:tcPr>
            <w:tcW w:w="1320" w:type="dxa"/>
            <w:noWrap/>
            <w:hideMark/>
          </w:tcPr>
          <w:p w14:paraId="58D91D78" w14:textId="77777777" w:rsidR="00E8789B" w:rsidRPr="00B10849" w:rsidRDefault="00E8789B" w:rsidP="00E611F1">
            <w:pPr>
              <w:spacing w:after="0" w:line="240" w:lineRule="auto"/>
              <w:rPr>
                <w:rFonts w:ascii="Aptos Narrow" w:eastAsia="Times New Roman" w:hAnsi="Aptos Narrow" w:cs="Times New Roman"/>
                <w:kern w:val="0"/>
                <w:sz w:val="18"/>
                <w:szCs w:val="18"/>
                <w:lang w:val="es-CO"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val="es-CO" w:eastAsia="en-GB"/>
                <w14:ligatures w14:val="none"/>
              </w:rPr>
              <w:instrText xml:space="preserve"> ADDIN ZOTERO_ITEM CSL_CITATION {"citationID":"47HLy3VG","properties":{"formattedCitation":"(R. L. Tate et al., 1991)","plainCitation":"(R. L. Tate et al., 1991)","dontUpdate":true,"noteIndex":0},"citationItems":[{"id":26172,"uris":["http://zotero.org/users/1471066/items/EJD92JRD"],"itemData":{"id":26172,"type":"article-journal","container-title":"The Journal of nervous and mental disease","issue":"3","note":"ISBN: 0022-3018","page":"117-126","publisher":"LWW","title":"Patterns of neuropsychological impairment after severe blunt head injury","volume":"179","author":[{"family":"Tate","given":"R. L."},{"family":"Fenelon","given":"B."},{"family":"Manning","given":"M. L."},{"family":"Hunter","given":"Michael"}],"issued":{"date-parts":[["1991"]]}}}],"schema":"https://github.com/citation-style-language/schema/raw/master/csl-citation.json"}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val="es-CO" w:eastAsia="en-GB"/>
              </w:rPr>
              <w:t>Tate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1C4C5EB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1991</w:t>
            </w:r>
          </w:p>
        </w:tc>
        <w:tc>
          <w:tcPr>
            <w:tcW w:w="1205" w:type="dxa"/>
            <w:noWrap/>
            <w:hideMark/>
          </w:tcPr>
          <w:p w14:paraId="38DB197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486D4C9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n=100; TBI=87, m=66, ageInj = 23.9, ageStudy=30, edu=9.3; C=40, m=28, ageStudy=29.2, edu=9.9</w:t>
            </w:r>
          </w:p>
        </w:tc>
        <w:tc>
          <w:tcPr>
            <w:tcW w:w="1052" w:type="dxa"/>
            <w:noWrap/>
            <w:hideMark/>
          </w:tcPr>
          <w:p w14:paraId="24200C9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Australia</w:t>
            </w:r>
          </w:p>
        </w:tc>
        <w:tc>
          <w:tcPr>
            <w:tcW w:w="1892" w:type="dxa"/>
            <w:noWrap/>
            <w:hideMark/>
          </w:tcPr>
          <w:p w14:paraId="7C8F6DC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Closed head injury = 58; Closed head injury with neurosurgery = 19; Open head injury = 20; RTA = 87%</w:t>
            </w:r>
          </w:p>
        </w:tc>
        <w:tc>
          <w:tcPr>
            <w:tcW w:w="2444" w:type="dxa"/>
            <w:noWrap/>
            <w:hideMark/>
          </w:tcPr>
          <w:p w14:paraId="2573F16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In appendix A: PC TBI = 34 (40%), compliance =10, flexibility = 11, C+F =13; PC C = 3 (7.5%), compliance = 2, flexibility = 1</w:t>
            </w:r>
          </w:p>
        </w:tc>
        <w:tc>
          <w:tcPr>
            <w:tcW w:w="2036" w:type="dxa"/>
            <w:noWrap/>
            <w:hideMark/>
          </w:tcPr>
          <w:p w14:paraId="6C0071D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Glasgow Outcome Scale</w:t>
            </w:r>
          </w:p>
        </w:tc>
        <w:tc>
          <w:tcPr>
            <w:tcW w:w="1840" w:type="dxa"/>
            <w:noWrap/>
            <w:hideMark/>
          </w:tcPr>
          <w:p w14:paraId="681CA0F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4D4FD918" w14:textId="77777777" w:rsidTr="00E611F1">
        <w:tc>
          <w:tcPr>
            <w:tcW w:w="490" w:type="dxa"/>
            <w:noWrap/>
            <w:hideMark/>
          </w:tcPr>
          <w:p w14:paraId="068CEAE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16</w:t>
            </w:r>
          </w:p>
        </w:tc>
        <w:tc>
          <w:tcPr>
            <w:tcW w:w="1320" w:type="dxa"/>
            <w:noWrap/>
            <w:hideMark/>
          </w:tcPr>
          <w:p w14:paraId="671D49E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{"citationID":"gU3NdjYB","properties":{"formattedCitation":"(Tuokko et al., 1991a)","plainCitation":"(Tuokko et al., 1991a)","dontUpdate":true,"noteIndex":0},"citationItems":[{"id":20724,"uris":["http://zotero.org/users/1471066/items/RJNBK272","http://zotero.org/users/1471066/items/4NDZWHD6"],"itemData":{"id":20724,"type":"article-journal","container-title":"Brain Inj","DOI":"10.3109/02699059109008098","issue":"3","language":"en","page":"287–293","title":"The use of the MCMI in the personality assessment of head-injured adults","volume":"5","author":[{"family":"Tuokko","given":"H."},{"family":"Vernon-Wilkinson","given":"R."},{"family":"Robinson","given":"E."}],"issued":{"date-parts":[["1991"]]}}}],"schema":"https://github.com/citation-style-language/schema/raw/master/csl-citation.json"}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Tuokko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9A931E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1991</w:t>
            </w:r>
          </w:p>
        </w:tc>
        <w:tc>
          <w:tcPr>
            <w:tcW w:w="1205" w:type="dxa"/>
            <w:noWrap/>
            <w:hideMark/>
          </w:tcPr>
          <w:p w14:paraId="1AEB747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55DF7FA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N=79; age=33.9; time since inj=0.25 to 148 months mean = 16.27 months. </w:t>
            </w:r>
          </w:p>
        </w:tc>
        <w:tc>
          <w:tcPr>
            <w:tcW w:w="1052" w:type="dxa"/>
            <w:noWrap/>
            <w:hideMark/>
          </w:tcPr>
          <w:p w14:paraId="7A31DB2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Canada</w:t>
            </w:r>
          </w:p>
        </w:tc>
        <w:tc>
          <w:tcPr>
            <w:tcW w:w="1892" w:type="dxa"/>
            <w:noWrap/>
            <w:hideMark/>
          </w:tcPr>
          <w:p w14:paraId="65B12FB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597FB94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MCMI</w:t>
            </w:r>
          </w:p>
        </w:tc>
        <w:tc>
          <w:tcPr>
            <w:tcW w:w="2036" w:type="dxa"/>
            <w:noWrap/>
            <w:hideMark/>
          </w:tcPr>
          <w:p w14:paraId="13F384B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MCMI; GCS; WAIS</w:t>
            </w:r>
          </w:p>
        </w:tc>
        <w:tc>
          <w:tcPr>
            <w:tcW w:w="1840" w:type="dxa"/>
            <w:noWrap/>
            <w:hideMark/>
          </w:tcPr>
          <w:p w14:paraId="0036B1C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434DFB4B" w14:textId="77777777" w:rsidTr="00E611F1">
        <w:tc>
          <w:tcPr>
            <w:tcW w:w="490" w:type="dxa"/>
            <w:noWrap/>
            <w:hideMark/>
          </w:tcPr>
          <w:p w14:paraId="0B483C79"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17</w:t>
            </w:r>
          </w:p>
        </w:tc>
        <w:tc>
          <w:tcPr>
            <w:tcW w:w="1320" w:type="dxa"/>
            <w:noWrap/>
            <w:hideMark/>
          </w:tcPr>
          <w:p w14:paraId="6D44AC2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{"citationID":"eFk4t9lw","properties":{"formattedCitation":"(Kunishio, Matsumoto, Kawada, Miyoshi, Matsuhisa, Moriyama, &amp; Tanaka, 1993)","plainCitation":"(Kunishio, Matsumoto, Kawada, Miyoshi, Matsuhisa, Moriyama, &amp; Tanaka, 1993)","dontUpdate":true,"noteIndex":0},"citationItems":[{"id":20643,"uris":["http://zotero.org/users/1471066/items/3279Q96X"],"itemData":{"id":20643,"type":"article-journal","container-title":"Neurol Med Chir (Tokyo","DOI":"10.2176/nmc.33.824","issue":"12","language":"en","page":"824–829","title":"Neuropsychological outcome and social recovery of head-injured patients","volume":"33","author":[{"family":"Kunishio","given":"K."},{"family":"Matsumoto","given":"Y."},{"family":"Kawada","given":"S."},{"family":"Miyoshi","given":"Y."},{"family":"Matsuhisa","given":"T."},{"family":"Moriyama","given":"E."},{"family":"Tanaka","given":"R."}],"issued":{"date-parts":[["1993"]]}}}],"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Kunishio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7E8CFE8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1993</w:t>
            </w:r>
          </w:p>
        </w:tc>
        <w:tc>
          <w:tcPr>
            <w:tcW w:w="1205" w:type="dxa"/>
            <w:noWrap/>
            <w:hideMark/>
          </w:tcPr>
          <w:p w14:paraId="020C667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30C3C7B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TBI=123, age=35.5, m=96; C=8</w:t>
            </w:r>
          </w:p>
        </w:tc>
        <w:tc>
          <w:tcPr>
            <w:tcW w:w="1052" w:type="dxa"/>
            <w:noWrap/>
            <w:hideMark/>
          </w:tcPr>
          <w:p w14:paraId="61D15AD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37971D7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Focal or Diffuse injuries</w:t>
            </w:r>
          </w:p>
        </w:tc>
        <w:tc>
          <w:tcPr>
            <w:tcW w:w="2444" w:type="dxa"/>
            <w:noWrap/>
            <w:hideMark/>
          </w:tcPr>
          <w:p w14:paraId="3B52F20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Yatabe-Guilford personality test</w:t>
            </w:r>
          </w:p>
        </w:tc>
        <w:tc>
          <w:tcPr>
            <w:tcW w:w="2036" w:type="dxa"/>
            <w:noWrap/>
            <w:hideMark/>
          </w:tcPr>
          <w:p w14:paraId="781C5B3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WAIS; YGPT; GCS</w:t>
            </w:r>
          </w:p>
        </w:tc>
        <w:tc>
          <w:tcPr>
            <w:tcW w:w="1840" w:type="dxa"/>
            <w:noWrap/>
            <w:hideMark/>
          </w:tcPr>
          <w:p w14:paraId="72E481A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Focal Injuries = acute epidural hematoma (EDH), acute subdural hematoma (SDH), in tracerebral hematoma (ICH), and low-density lesion.; Diffuse injuries= head injury accompanied by coma persisting for longer than 6 hours, but no CT evidence of a mass lesion, subdivided into diffuse axonal injury (DAI),') diffuse brain swelling (DBS), and hemispheric swelling (HS).</w:t>
            </w:r>
          </w:p>
        </w:tc>
      </w:tr>
      <w:tr w:rsidR="00B10849" w:rsidRPr="00B10849" w14:paraId="1A4F9FA9" w14:textId="77777777" w:rsidTr="00E611F1">
        <w:tc>
          <w:tcPr>
            <w:tcW w:w="490" w:type="dxa"/>
            <w:noWrap/>
            <w:hideMark/>
          </w:tcPr>
          <w:p w14:paraId="21AE453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18</w:t>
            </w:r>
          </w:p>
        </w:tc>
        <w:tc>
          <w:tcPr>
            <w:tcW w:w="1320" w:type="dxa"/>
            <w:noWrap/>
            <w:hideMark/>
          </w:tcPr>
          <w:p w14:paraId="35A10D3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{"citationID":"2fVJOICE","properties":{"formattedCitation":"(Persinger, 1993a)","plainCitation":"(Persinger, 1993a)","dontUpdate":true,"noteIndex":0},"citationItems":[{"id":20693,"uris":["http://zotero.org/users/1471066/items/R9X53LJE"],"itemData":{"id":20693,"type":"article-journal","container-title":"Psychological Reports","issue":"3 Pt 2","language":"en","page":"1059–1068","title":"Personality changes following brain injury as a grief response to the loss of sense of self: phenomenological themes as indices of local lability and neurocognitive structuring as psychotherapy","volume":"72","author":[{"family":"Persinger","given":"M.A."}],"issued":{"date-parts":[["1993"]]}}}],"schema":"https://github.com/citation-style-language/schema/raw/master/csl-citation.json"}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 xml:space="preserve">Persinger </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7E84DB7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1993</w:t>
            </w:r>
          </w:p>
        </w:tc>
        <w:tc>
          <w:tcPr>
            <w:tcW w:w="1205" w:type="dxa"/>
            <w:noWrap/>
            <w:hideMark/>
          </w:tcPr>
          <w:p w14:paraId="49E4079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4C04483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56 neuro cases; TBI=39, m=23, C=17, m=10</w:t>
            </w:r>
          </w:p>
        </w:tc>
        <w:tc>
          <w:tcPr>
            <w:tcW w:w="1052" w:type="dxa"/>
            <w:noWrap/>
            <w:hideMark/>
          </w:tcPr>
          <w:p w14:paraId="5B53DC7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Canada</w:t>
            </w:r>
          </w:p>
        </w:tc>
        <w:tc>
          <w:tcPr>
            <w:tcW w:w="1892" w:type="dxa"/>
            <w:noWrap/>
            <w:hideMark/>
          </w:tcPr>
          <w:p w14:paraId="3B3EBE8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90% RTA</w:t>
            </w:r>
          </w:p>
        </w:tc>
        <w:tc>
          <w:tcPr>
            <w:tcW w:w="2444" w:type="dxa"/>
            <w:noWrap/>
            <w:hideMark/>
          </w:tcPr>
          <w:p w14:paraId="71209C2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Generalized activity, hedonism, arousal, and memory, were reported by all CHI patients but by none of the reference patients.</w:t>
            </w:r>
          </w:p>
        </w:tc>
        <w:tc>
          <w:tcPr>
            <w:tcW w:w="2036" w:type="dxa"/>
            <w:noWrap/>
            <w:hideMark/>
          </w:tcPr>
          <w:p w14:paraId="0B12A2B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WAIS</w:t>
            </w:r>
          </w:p>
        </w:tc>
        <w:tc>
          <w:tcPr>
            <w:tcW w:w="1840" w:type="dxa"/>
            <w:noWrap/>
            <w:hideMark/>
          </w:tcPr>
          <w:p w14:paraId="64F807C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frontal, temporal, temporofrontal and superior parietal lobes</w:t>
            </w:r>
          </w:p>
        </w:tc>
      </w:tr>
      <w:tr w:rsidR="00B10849" w:rsidRPr="00B10849" w14:paraId="0422E2A4" w14:textId="77777777" w:rsidTr="00E611F1">
        <w:tc>
          <w:tcPr>
            <w:tcW w:w="490" w:type="dxa"/>
            <w:noWrap/>
            <w:hideMark/>
          </w:tcPr>
          <w:p w14:paraId="7BACD09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w:t>
            </w:r>
          </w:p>
        </w:tc>
        <w:tc>
          <w:tcPr>
            <w:tcW w:w="1320" w:type="dxa"/>
            <w:noWrap/>
            <w:hideMark/>
          </w:tcPr>
          <w:p w14:paraId="2FCBF60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{"citationID":"CthLIV3F","properties":{"formattedCitation":"(Burns et al., 1994a)","plainCitation":"(Burns et al., 1994a)","dontUpdate":true,"noteIndex":0},"citationItems":[{"id":20592,"uris":["http://zotero.org/users/1471066/items/63L288MR"],"itemData":{"id":20592,"type":"article-journal","container-title":"Brain Injury","issue":"5","language":"ny","page":"413–427","title":"Brain injury: Personality, psychopathology and neuropsychology","volume":"8","author":[{"family":"Burns","given":"S."},{"family":"Kappenberg","given":"R."},{"family":"McKenna","given":"A."},{"family":"Wood","given":"C."}],"issued":{"date-parts":[["1994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Burns et al</w:t>
            </w:r>
            <w:r w:rsidRPr="00B10849">
              <w:rPr>
                <w:rFonts w:ascii="Aptos Narrow" w:eastAsia="Times New Roman" w:hAnsi="Aptos Narrow" w:cs="Times New Roman"/>
                <w:kern w:val="0"/>
                <w:sz w:val="18"/>
                <w:szCs w:val="18"/>
                <w:lang w:eastAsia="en-GB"/>
                <w14:ligatures w14:val="none"/>
              </w:rPr>
              <w:fldChar w:fldCharType="end"/>
            </w:r>
            <w:r w:rsidRPr="00B10849">
              <w:rPr>
                <w:rFonts w:ascii="Aptos Narrow" w:eastAsia="Times New Roman" w:hAnsi="Aptos Narrow" w:cs="Times New Roman"/>
                <w:kern w:val="0"/>
                <w:sz w:val="18"/>
                <w:szCs w:val="18"/>
                <w:lang w:eastAsia="en-GB"/>
                <w14:ligatures w14:val="none"/>
              </w:rPr>
              <w:t>.</w:t>
            </w:r>
          </w:p>
        </w:tc>
        <w:tc>
          <w:tcPr>
            <w:tcW w:w="719" w:type="dxa"/>
            <w:noWrap/>
            <w:hideMark/>
          </w:tcPr>
          <w:p w14:paraId="3EAAEA2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1994</w:t>
            </w:r>
          </w:p>
        </w:tc>
        <w:tc>
          <w:tcPr>
            <w:tcW w:w="1205" w:type="dxa"/>
            <w:noWrap/>
            <w:hideMark/>
          </w:tcPr>
          <w:p w14:paraId="3DE4973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05898DF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n=85; m=71%, edu=13.1y, age at inj =34 y; age_test=36 y; time between inj and test = 2 y 9 m.; TBI=57, M=43, edu=13.; nTBI=28, M=17, edu=13.</w:t>
            </w:r>
          </w:p>
        </w:tc>
        <w:tc>
          <w:tcPr>
            <w:tcW w:w="1052" w:type="dxa"/>
            <w:noWrap/>
            <w:hideMark/>
          </w:tcPr>
          <w:p w14:paraId="0918220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7DDE7CE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Traumatic brain injury (TBI) = 57 (inc assault i.e. gunshot wounds, blows; falls; RTAs)</w:t>
            </w:r>
          </w:p>
        </w:tc>
        <w:tc>
          <w:tcPr>
            <w:tcW w:w="2444" w:type="dxa"/>
            <w:noWrap/>
            <w:hideMark/>
          </w:tcPr>
          <w:p w14:paraId="5B6B58C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Cattell's 16PF Personality test</w:t>
            </w:r>
          </w:p>
        </w:tc>
        <w:tc>
          <w:tcPr>
            <w:tcW w:w="2036" w:type="dxa"/>
            <w:noWrap/>
            <w:hideMark/>
          </w:tcPr>
          <w:p w14:paraId="4039ABA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LNNB; QAB; Cattell's 16PF Personality test</w:t>
            </w:r>
          </w:p>
        </w:tc>
        <w:tc>
          <w:tcPr>
            <w:tcW w:w="1840" w:type="dxa"/>
            <w:noWrap/>
            <w:hideMark/>
          </w:tcPr>
          <w:p w14:paraId="7F79F11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3FA766CE" w14:textId="77777777" w:rsidTr="00E611F1">
        <w:tc>
          <w:tcPr>
            <w:tcW w:w="490" w:type="dxa"/>
            <w:noWrap/>
            <w:hideMark/>
          </w:tcPr>
          <w:p w14:paraId="495D549E"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w:t>
            </w:r>
          </w:p>
        </w:tc>
        <w:tc>
          <w:tcPr>
            <w:tcW w:w="1320" w:type="dxa"/>
            <w:noWrap/>
            <w:hideMark/>
          </w:tcPr>
          <w:p w14:paraId="1C83FD3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{"citationID":"1JE3ZRbV","properties":{"formattedCitation":"(Damasio et al., 1994)","plainCitation":"(Damasio et al., 1994)","dontUpdate":true,"noteIndex":0},"citationItems":[{"id":20602,"uris":["http://zotero.org/users/1471066/items/5CSW4TPW"],"itemData":{"id":20602,"type":"article-journal","container-title":"Science","issue":"5162","language":"en","page":"1102–1105","title":"The return of Phineas Gage: Clues about the brain from the skull of a famous patient","volume":"264","author":[{"family":"Damasio","given":"H."},{"family":"Grabowski","given":"T."},{"family":"Frank","given":"R."},{"family":"Galaburda","given":"A.M."},{"family":"Damasio","given":"A.R."}],"issued":{"date-parts":[["1994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Damasio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0E966D0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1994</w:t>
            </w:r>
          </w:p>
        </w:tc>
        <w:tc>
          <w:tcPr>
            <w:tcW w:w="1205" w:type="dxa"/>
            <w:noWrap/>
            <w:hideMark/>
          </w:tcPr>
          <w:p w14:paraId="3BE10F3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441185E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Phineas Gage - 25yo</w:t>
            </w:r>
          </w:p>
        </w:tc>
        <w:tc>
          <w:tcPr>
            <w:tcW w:w="1052" w:type="dxa"/>
            <w:noWrap/>
            <w:hideMark/>
          </w:tcPr>
          <w:p w14:paraId="6F49B47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799E48F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Work-related accident</w:t>
            </w:r>
          </w:p>
        </w:tc>
        <w:tc>
          <w:tcPr>
            <w:tcW w:w="2444" w:type="dxa"/>
            <w:noWrap/>
            <w:hideMark/>
          </w:tcPr>
          <w:p w14:paraId="4862546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Pre-injury: responsible, efficient, capable, intelligent, and socially well-adapted individual. Post injury: irreverent and capricious, lack of respect for social conventions, used profanities, lack of sense of responsibility. Unable to honour his commitments. </w:t>
            </w:r>
          </w:p>
        </w:tc>
        <w:tc>
          <w:tcPr>
            <w:tcW w:w="2036" w:type="dxa"/>
            <w:noWrap/>
            <w:hideMark/>
          </w:tcPr>
          <w:p w14:paraId="7F4C7BB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X-Ray</w:t>
            </w:r>
          </w:p>
        </w:tc>
        <w:tc>
          <w:tcPr>
            <w:tcW w:w="1840" w:type="dxa"/>
            <w:noWrap/>
            <w:hideMark/>
          </w:tcPr>
          <w:p w14:paraId="3433BB5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Left hemisphere: the anterior orbital frontal cortex, the polar and anterior mesial frontal cortices, and the anterior-most sector of the anterior cingulate gyrus. Right hemisphere: the anterior and mesial orbital region, the mesial and polar frontal cortices, and the anterior segment of the anterior cingulate gyrus.</w:t>
            </w:r>
          </w:p>
        </w:tc>
      </w:tr>
      <w:tr w:rsidR="00B10849" w:rsidRPr="00B10849" w14:paraId="28028405" w14:textId="77777777" w:rsidTr="00E611F1">
        <w:tc>
          <w:tcPr>
            <w:tcW w:w="490" w:type="dxa"/>
            <w:noWrap/>
            <w:hideMark/>
          </w:tcPr>
          <w:p w14:paraId="141FB10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21</w:t>
            </w:r>
          </w:p>
        </w:tc>
        <w:tc>
          <w:tcPr>
            <w:tcW w:w="1320" w:type="dxa"/>
            <w:noWrap/>
            <w:hideMark/>
          </w:tcPr>
          <w:p w14:paraId="1ED6F1E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{"citationID":"C5Ansben","properties":{"formattedCitation":"(Kaitaro et al., 1995)","plainCitation":"(Kaitaro et al., 1995)","dontUpdate":true,"noteIndex":0},"citationItems":[{"id":20640,"uris":["http://zotero.org/users/1471066/items/64NA2GXY"],"itemData":{"id":20640,"type":"article-journal","container-title":"Brain Injury","issue":"7","language":"en","page":"713–727","title":"Neuropsychological problems in everyday life: A 5-year follow-up study of young severely closed-head-injured patients","volume":"9","author":[{"family":"Kaitaro","given":"T."},{"family":"Koskinen","given":"S."},{"family":"Kaipio","given":"M.L."}],"issued":{"date-parts":[["1995"]]}}}],"schema":"https://github.com/citation-style-language/schema/raw/master/csl-citation.json"}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Kaitaro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70AB94E"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1995</w:t>
            </w:r>
          </w:p>
        </w:tc>
        <w:tc>
          <w:tcPr>
            <w:tcW w:w="1205" w:type="dxa"/>
            <w:noWrap/>
            <w:hideMark/>
          </w:tcPr>
          <w:p w14:paraId="3173BA6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3FC1FB4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n=19, male=15, age inj=28, PTA=175days</w:t>
            </w:r>
          </w:p>
        </w:tc>
        <w:tc>
          <w:tcPr>
            <w:tcW w:w="1052" w:type="dxa"/>
            <w:noWrap/>
            <w:hideMark/>
          </w:tcPr>
          <w:p w14:paraId="0FD2673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Finland</w:t>
            </w:r>
          </w:p>
        </w:tc>
        <w:tc>
          <w:tcPr>
            <w:tcW w:w="1892" w:type="dxa"/>
            <w:noWrap/>
            <w:hideMark/>
          </w:tcPr>
          <w:p w14:paraId="15CE128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1DA8A5D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036" w:type="dxa"/>
            <w:noWrap/>
            <w:hideMark/>
          </w:tcPr>
          <w:p w14:paraId="69EE43A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WAIS, WMS, BVRT,</w:t>
            </w:r>
          </w:p>
        </w:tc>
        <w:tc>
          <w:tcPr>
            <w:tcW w:w="1840" w:type="dxa"/>
            <w:noWrap/>
            <w:hideMark/>
          </w:tcPr>
          <w:p w14:paraId="74A639C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537A8665" w14:textId="77777777" w:rsidTr="00E611F1">
        <w:tc>
          <w:tcPr>
            <w:tcW w:w="490" w:type="dxa"/>
            <w:noWrap/>
            <w:hideMark/>
          </w:tcPr>
          <w:p w14:paraId="038F84AB"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22</w:t>
            </w:r>
          </w:p>
        </w:tc>
        <w:tc>
          <w:tcPr>
            <w:tcW w:w="1320" w:type="dxa"/>
            <w:noWrap/>
            <w:hideMark/>
          </w:tcPr>
          <w:p w14:paraId="33E1473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{"citationID":"HKJm2WQc","properties":{"formattedCitation":"(Marshall et al., 1995a)","plainCitation":"(Marshall et al., 1995a)","dontUpdate":true,"noteIndex":0},"citationItems":[{"id":20657,"uris":["http://zotero.org/users/1471066/items/W2PPQWGJ"],"itemData":{"id":20657,"type":"article-journal","container-title":"Cortex","DOI":"10.1016/s0010-9452(13)80116-5","issue":"1","language":"en","page":"183–190","title":"Reduplication of an event after head injury? A cautionary case report","volume":"31","author":[{"family":"Marshall","given":"J.C."},{"family":"Halligan","given":"P.W."},{"family":"Wade","given":"D.T."}],"issued":{"date-parts":[["1995"]]}}}],"schema":"https://github.com/citation-style-language/schema/raw/master/csl-citation.json"}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Marshall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4762AE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1995</w:t>
            </w:r>
          </w:p>
        </w:tc>
        <w:tc>
          <w:tcPr>
            <w:tcW w:w="1205" w:type="dxa"/>
            <w:noWrap/>
            <w:hideMark/>
          </w:tcPr>
          <w:p w14:paraId="2458A78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7820989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69yo</w:t>
            </w:r>
          </w:p>
        </w:tc>
        <w:tc>
          <w:tcPr>
            <w:tcW w:w="1052" w:type="dxa"/>
            <w:noWrap/>
            <w:hideMark/>
          </w:tcPr>
          <w:p w14:paraId="158A1CC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6E7E4B4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 work-related accident</w:t>
            </w:r>
          </w:p>
        </w:tc>
        <w:tc>
          <w:tcPr>
            <w:tcW w:w="2444" w:type="dxa"/>
            <w:noWrap/>
            <w:hideMark/>
          </w:tcPr>
          <w:p w14:paraId="7E1A552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his wife described her husband as a very gentle, calm man before the accident</w:t>
            </w:r>
          </w:p>
        </w:tc>
        <w:tc>
          <w:tcPr>
            <w:tcW w:w="2036" w:type="dxa"/>
            <w:noWrap/>
            <w:hideMark/>
          </w:tcPr>
          <w:p w14:paraId="5341B74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MMSE</w:t>
            </w:r>
          </w:p>
        </w:tc>
        <w:tc>
          <w:tcPr>
            <w:tcW w:w="1840" w:type="dxa"/>
            <w:noWrap/>
            <w:hideMark/>
          </w:tcPr>
          <w:p w14:paraId="1B20C6E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CT-scan showed bilateral frontal haemorrhages with additional right frontal lobe contusion. </w:t>
            </w:r>
          </w:p>
        </w:tc>
      </w:tr>
      <w:tr w:rsidR="00B10849" w:rsidRPr="00B10849" w14:paraId="258227EC" w14:textId="77777777" w:rsidTr="00E611F1">
        <w:tc>
          <w:tcPr>
            <w:tcW w:w="490" w:type="dxa"/>
            <w:noWrap/>
            <w:hideMark/>
          </w:tcPr>
          <w:p w14:paraId="1E82B6A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23</w:t>
            </w:r>
          </w:p>
        </w:tc>
        <w:tc>
          <w:tcPr>
            <w:tcW w:w="1320" w:type="dxa"/>
            <w:noWrap/>
            <w:hideMark/>
          </w:tcPr>
          <w:p w14:paraId="17A6A02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{"citationID":"oQMpnsPc","properties":{"formattedCitation":"(Stratton &amp; Gregory, 1995a)","plainCitation":"(Stratton &amp; Gregory, 1995a)","dontUpdate":true,"noteIndex":0},"citationItems":[{"id":20714,"uris":["http://zotero.org/users/1471066/items/CJQEWJ5X"],"itemData":{"id":20714,"type":"article-journal","container-title":"Rehabilitation Nursing : The Official Journal of the Association of Rehabilitation Nurses","issue":"6","language":"en","page":"323–327","title":"What happens after a traumatic brain injury?: four case studies","volume":"20","author":[{"family":"Stratton","given":"M.C."},{"family":"Gregory","given":"R.J."}],"issued":{"date-parts":[["1995"]]}}}],"schema":"https://github.com/citation-style-language/schema/raw/master/csl-citation.json"}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Stratton &amp; Gregory</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E59DBF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1995</w:t>
            </w:r>
          </w:p>
        </w:tc>
        <w:tc>
          <w:tcPr>
            <w:tcW w:w="1205" w:type="dxa"/>
            <w:noWrap/>
            <w:hideMark/>
          </w:tcPr>
          <w:p w14:paraId="0857911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series</w:t>
            </w:r>
          </w:p>
        </w:tc>
        <w:tc>
          <w:tcPr>
            <w:tcW w:w="2170" w:type="dxa"/>
            <w:noWrap/>
            <w:hideMark/>
          </w:tcPr>
          <w:p w14:paraId="226689A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1 = 31, ageinj=23, female; Case 2 = 18, ageinj=16, female; Case 3 = 31, ageinj=29, female; Case 4 = 19, female</w:t>
            </w:r>
          </w:p>
        </w:tc>
        <w:tc>
          <w:tcPr>
            <w:tcW w:w="1052" w:type="dxa"/>
            <w:noWrap/>
            <w:hideMark/>
          </w:tcPr>
          <w:p w14:paraId="52BBCB7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New Zealand</w:t>
            </w:r>
          </w:p>
        </w:tc>
        <w:tc>
          <w:tcPr>
            <w:tcW w:w="1892" w:type="dxa"/>
            <w:noWrap/>
            <w:hideMark/>
          </w:tcPr>
          <w:p w14:paraId="097A9C5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 = 1, 2,3,4 (pedestrian/passenger)</w:t>
            </w:r>
          </w:p>
        </w:tc>
        <w:tc>
          <w:tcPr>
            <w:tcW w:w="2444" w:type="dxa"/>
            <w:noWrap/>
            <w:hideMark/>
          </w:tcPr>
          <w:p w14:paraId="3FCC308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1 = no ref to personality change; Case 2 = no longer had any sense of humor and jokes went over her head. Pre-injury: good sense of humour.; Case 3 = Severe depression, loss of confidence, irritability and impatience. Pre-injury: optimistic person with a feeling of well-being and happiness.; Case 4 = Reported no personality changes.</w:t>
            </w:r>
          </w:p>
        </w:tc>
        <w:tc>
          <w:tcPr>
            <w:tcW w:w="2036" w:type="dxa"/>
            <w:noWrap/>
            <w:hideMark/>
          </w:tcPr>
          <w:p w14:paraId="176DDDF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6CE843E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1 = left frontal temporal and occipital areas; Case 2 = Frontal lobe; Case 3= Occipital areas; Case 4= posterior temporal region, right hemisphere</w:t>
            </w:r>
          </w:p>
        </w:tc>
      </w:tr>
      <w:tr w:rsidR="00B10849" w:rsidRPr="00B10849" w14:paraId="54B5B3E4" w14:textId="77777777" w:rsidTr="00E611F1">
        <w:tc>
          <w:tcPr>
            <w:tcW w:w="490" w:type="dxa"/>
            <w:noWrap/>
            <w:hideMark/>
          </w:tcPr>
          <w:p w14:paraId="0D426054"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24</w:t>
            </w:r>
          </w:p>
        </w:tc>
        <w:tc>
          <w:tcPr>
            <w:tcW w:w="1320" w:type="dxa"/>
            <w:noWrap/>
            <w:hideMark/>
          </w:tcPr>
          <w:p w14:paraId="467636F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{"citationID":"ekzDwxMP","properties":{"formattedCitation":"(Parker, 1996a)","plainCitation":"(Parker, 1996a)","dontUpdate":true,"noteIndex":0},"citationItems":[{"id":26174,"uris":["http://zotero.org/users/1471066/items/DDZ6NPEN"],"itemData":{"id":26174,"type":"article-journal","container-title":"Brain injury","issue":"4","note":"ISBN: 0269-9052","page":"287-302","publisher":"Taylor &amp; Francis","title":"The spectrum of emotional distress and personality changes after minor head injury incurred in a motor vehicle accident","volume":"10","author":[{"family":"Parker","given":"Rolland S."}],"issued":{"date-parts":[["1996"]]}}}],"schema":"https://github.com/citation-style-language/schema/raw/master/csl-citation.json"}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Parker</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4027109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1996</w:t>
            </w:r>
          </w:p>
        </w:tc>
        <w:tc>
          <w:tcPr>
            <w:tcW w:w="1205" w:type="dxa"/>
            <w:noWrap/>
            <w:hideMark/>
          </w:tcPr>
          <w:p w14:paraId="35B39A6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4636B0A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Total = 33; edu = 14.2 years; time since inj=20 months, age=38.5</w:t>
            </w:r>
          </w:p>
        </w:tc>
        <w:tc>
          <w:tcPr>
            <w:tcW w:w="1052" w:type="dxa"/>
            <w:noWrap/>
            <w:hideMark/>
          </w:tcPr>
          <w:p w14:paraId="3B2353E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555693F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75775CC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 wide spectrum of disorders was observed: cerebral personality disorder, persistent altered consciousness, post-traumatic stress, psychodynamic reactions to impairment, and complex reactions expressing neurological, somatic, and psychological dysfunctions (sexuality and somatization).</w:t>
            </w:r>
          </w:p>
        </w:tc>
        <w:tc>
          <w:tcPr>
            <w:tcW w:w="2036" w:type="dxa"/>
            <w:noWrap/>
            <w:hideMark/>
          </w:tcPr>
          <w:p w14:paraId="7F2EDCE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WAIS; Inkblots; Figure drawings</w:t>
            </w:r>
          </w:p>
        </w:tc>
        <w:tc>
          <w:tcPr>
            <w:tcW w:w="1840" w:type="dxa"/>
            <w:noWrap/>
            <w:hideMark/>
          </w:tcPr>
          <w:p w14:paraId="43DEC84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73B05184" w14:textId="77777777" w:rsidTr="00E611F1">
        <w:tc>
          <w:tcPr>
            <w:tcW w:w="490" w:type="dxa"/>
            <w:noWrap/>
            <w:hideMark/>
          </w:tcPr>
          <w:p w14:paraId="59C30DD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25</w:t>
            </w:r>
          </w:p>
        </w:tc>
        <w:tc>
          <w:tcPr>
            <w:tcW w:w="1320" w:type="dxa"/>
            <w:noWrap/>
            <w:hideMark/>
          </w:tcPr>
          <w:p w14:paraId="2AF6CD0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{"citationID":"s0MNQlOx","properties":{"formattedCitation":"(Van Reekum et al., 1996)","plainCitation":"(Van Reekum et al., 1996)","dontUpdate":true,"noteIndex":0},"citationItems":[{"id":26175,"uris":["http://zotero.org/users/1471066/items/BTR8CWRH"],"itemData":{"id":26175,"type":"article-journal","container-title":"Brain injury","issue":"5","note":"ISBN: 0269-9052","page":"319-328","publisher":"Taylor &amp; Francis","title":"Psychiatric disorders after traumatic brain injury","volume":"10","author":[{"family":"Van Reekum","given":"R."},{"family":"Bolago","given":"I."},{"family":"Finlayson","given":"M. A. J."},{"family":"Garner","given":"S."},{"family":"Links","given":"P. S."}],"issued":{"date-parts":[["1996"]]}}}],"schema":"https://github.com/citation-style-language/schema/raw/master/csl-citation.json"}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Van Reekum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924F3F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1996</w:t>
            </w:r>
          </w:p>
        </w:tc>
        <w:tc>
          <w:tcPr>
            <w:tcW w:w="1205" w:type="dxa"/>
            <w:noWrap/>
            <w:hideMark/>
          </w:tcPr>
          <w:p w14:paraId="79B023D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755B0800" w14:textId="77777777" w:rsidR="00E8789B" w:rsidRPr="00B10849" w:rsidRDefault="00E8789B" w:rsidP="00E611F1">
            <w:pPr>
              <w:spacing w:after="0" w:line="240" w:lineRule="auto"/>
              <w:rPr>
                <w:rFonts w:ascii="Aptos Narrow" w:eastAsia="Times New Roman" w:hAnsi="Aptos Narrow" w:cs="Times New Roman"/>
                <w:kern w:val="0"/>
                <w:sz w:val="18"/>
                <w:szCs w:val="18"/>
                <w:lang w:val="es-CO" w:eastAsia="en-GB"/>
                <w14:ligatures w14:val="none"/>
              </w:rPr>
            </w:pPr>
            <w:r w:rsidRPr="00B10849">
              <w:rPr>
                <w:rFonts w:ascii="Aptos Narrow" w:eastAsia="Times New Roman" w:hAnsi="Aptos Narrow" w:cs="Times New Roman"/>
                <w:kern w:val="0"/>
                <w:sz w:val="18"/>
                <w:szCs w:val="18"/>
                <w:lang w:val="es-CO" w:eastAsia="en-GB"/>
                <w14:ligatures w14:val="none"/>
              </w:rPr>
              <w:t>n=18; m=8; post-inj=4.9y; 19-49y</w:t>
            </w:r>
          </w:p>
        </w:tc>
        <w:tc>
          <w:tcPr>
            <w:tcW w:w="1052" w:type="dxa"/>
            <w:noWrap/>
            <w:hideMark/>
          </w:tcPr>
          <w:p w14:paraId="404EEA9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Canada.</w:t>
            </w:r>
          </w:p>
        </w:tc>
        <w:tc>
          <w:tcPr>
            <w:tcW w:w="1892" w:type="dxa"/>
            <w:noWrap/>
            <w:hideMark/>
          </w:tcPr>
          <w:p w14:paraId="2E8AE08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sevTBI=10, modTBI=8; </w:t>
            </w:r>
          </w:p>
        </w:tc>
        <w:tc>
          <w:tcPr>
            <w:tcW w:w="2444" w:type="dxa"/>
            <w:noWrap/>
            <w:hideMark/>
          </w:tcPr>
          <w:p w14:paraId="20D35E1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DSM-IV</w:t>
            </w:r>
          </w:p>
        </w:tc>
        <w:tc>
          <w:tcPr>
            <w:tcW w:w="2036" w:type="dxa"/>
            <w:noWrap/>
            <w:hideMark/>
          </w:tcPr>
          <w:p w14:paraId="67CCD4F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SIDP-R; SADS-L</w:t>
            </w:r>
          </w:p>
        </w:tc>
        <w:tc>
          <w:tcPr>
            <w:tcW w:w="1840" w:type="dxa"/>
            <w:noWrap/>
            <w:hideMark/>
          </w:tcPr>
          <w:p w14:paraId="3814092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506FDCDA" w14:textId="77777777" w:rsidTr="00E611F1">
        <w:tc>
          <w:tcPr>
            <w:tcW w:w="490" w:type="dxa"/>
            <w:noWrap/>
            <w:hideMark/>
          </w:tcPr>
          <w:p w14:paraId="4E343D2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26</w:t>
            </w:r>
          </w:p>
        </w:tc>
        <w:tc>
          <w:tcPr>
            <w:tcW w:w="1320" w:type="dxa"/>
            <w:noWrap/>
            <w:hideMark/>
          </w:tcPr>
          <w:p w14:paraId="451BA38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{"citationID":"fSCiaB1y","properties":{"formattedCitation":"(Harrington et al., 1997a)","plainCitation":"(Harrington et al., 1997a)","dontUpdate":true,"noteIndex":0},"citationItems":[{"id":20631,"uris":["http://zotero.org/users/1471066/items/QCLZHGR9"],"itemData":{"id":20631,"type":"article-journal","container-title":"Neurocase","DOI":"10.1093/neucas/3.2.137","issue":"2","language":"en","page":"137–149","title":"Dramatic neurobehavioral disorder in two cases following bilateral anteromedial frontal lobe injury: Delayed psychosis and marked change in personality","volume":"3","author":[{"family":"Harrington","given":"C."},{"family":"Salloway","given":"S."},{"family":"Malloy","given":"P."}],"issued":{"date-parts":[["1997"]]}}}],"schema":"https://github.com/citation-style-language/schema/raw/master/csl-citation.json"}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Harrington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05CD35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1997</w:t>
            </w:r>
          </w:p>
        </w:tc>
        <w:tc>
          <w:tcPr>
            <w:tcW w:w="1205" w:type="dxa"/>
            <w:noWrap/>
            <w:hideMark/>
          </w:tcPr>
          <w:p w14:paraId="1423DED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3F29713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59yo, Israeli born</w:t>
            </w:r>
          </w:p>
        </w:tc>
        <w:tc>
          <w:tcPr>
            <w:tcW w:w="1052" w:type="dxa"/>
            <w:noWrap/>
            <w:hideMark/>
          </w:tcPr>
          <w:p w14:paraId="33EA30C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3A5D8F7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Fall</w:t>
            </w:r>
          </w:p>
        </w:tc>
        <w:tc>
          <w:tcPr>
            <w:tcW w:w="2444" w:type="dxa"/>
            <w:noWrap/>
            <w:hideMark/>
          </w:tcPr>
          <w:p w14:paraId="3256A8C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Post-injury: disinhibited behavior, mood  swings, delusional jealousy, temper outbursts, impulsivity, foul language, decreased hygiene and self-care and  decreased interest in his usual activities. He was easily fatigued and very impatient. </w:t>
            </w:r>
          </w:p>
        </w:tc>
        <w:tc>
          <w:tcPr>
            <w:tcW w:w="2036" w:type="dxa"/>
            <w:noWrap/>
            <w:hideMark/>
          </w:tcPr>
          <w:p w14:paraId="419558C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197C4BA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bifrontal hemorrhagic contusions right &gt; left, with subfalcine herniation from right to left and downward mass effect with blood in the right lateral ventricle. A right frontal subdural hematorna. Small, old lacunar infarction in the left caudate nucleus/ anterior limb of the internal capsule.</w:t>
            </w:r>
          </w:p>
        </w:tc>
      </w:tr>
      <w:tr w:rsidR="00B10849" w:rsidRPr="00B10849" w14:paraId="506D37BF" w14:textId="77777777" w:rsidTr="00E611F1">
        <w:tc>
          <w:tcPr>
            <w:tcW w:w="490" w:type="dxa"/>
            <w:noWrap/>
            <w:hideMark/>
          </w:tcPr>
          <w:p w14:paraId="6E78691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27</w:t>
            </w:r>
          </w:p>
        </w:tc>
        <w:tc>
          <w:tcPr>
            <w:tcW w:w="1320" w:type="dxa"/>
            <w:noWrap/>
            <w:hideMark/>
          </w:tcPr>
          <w:p w14:paraId="1C6485A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{"citationID":"5MwxE0g9","properties":{"formattedCitation":"(Labbate et al., 1997)","plainCitation":"(Labbate et al., 1997)","dontUpdate":true,"noteIndex":0},"citationItems":[{"id":20646,"uris":["http://zotero.org/users/1471066/items/YZZMVMEN"],"itemData":{"id":20646,"type":"article-journal","container-title":"Annals of Clinical Psychiatry","DOI":"10.1023/A:1026278224598","issue":"1","language":"en","page":"27–30","title":"Salutary change after frontal brain trauma","volume":"9","author":[{"family":"Labbate","given":"L.A."},{"family":"Warden","given":"D."},{"family":"Murray","given":"G.B."}],"issued":{"date-parts":[["1997"]]}}}],"schema":"https://github.com/citation-style-language/schema/raw/master/csl-citation.json"}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Labbate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768198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1997</w:t>
            </w:r>
          </w:p>
        </w:tc>
        <w:tc>
          <w:tcPr>
            <w:tcW w:w="1205" w:type="dxa"/>
            <w:noWrap/>
            <w:hideMark/>
          </w:tcPr>
          <w:p w14:paraId="4FA8434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series</w:t>
            </w:r>
          </w:p>
        </w:tc>
        <w:tc>
          <w:tcPr>
            <w:tcW w:w="2170" w:type="dxa"/>
            <w:noWrap/>
            <w:hideMark/>
          </w:tcPr>
          <w:p w14:paraId="052A08F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A=Male, 20yo; B=Male, 34yo; C=Female, 29yo</w:t>
            </w:r>
          </w:p>
        </w:tc>
        <w:tc>
          <w:tcPr>
            <w:tcW w:w="1052" w:type="dxa"/>
            <w:noWrap/>
            <w:hideMark/>
          </w:tcPr>
          <w:p w14:paraId="38A5824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4082D1C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 Work-related accident; B=RTA; C=RTA</w:t>
            </w:r>
          </w:p>
        </w:tc>
        <w:tc>
          <w:tcPr>
            <w:tcW w:w="2444" w:type="dxa"/>
            <w:noWrap/>
            <w:hideMark/>
          </w:tcPr>
          <w:p w14:paraId="75B5A04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 Before was very anxious socially and urinating. Now, he longer felt uncomfortable with groups and felt more confident, able to speak his thoughts. He rarely blushed and was able to urinate without difficulty for the military mandatory urine drug tests. Seven months after the injury much of his irritability and emotional lability had resolved. He, however, continued to feel confident and noticed the absence of anxiety persisted in all social situations.; B= His former wife states that around September 1976 he had personality change. Prior to the injury, he had antisocial personality disorder. He no longer has sociopathv interests since the motorcycle trauma.; C= Following the injury she reported mild memory deficits, but noticed a marked change; she was no longer always angry. Two months after the injury, coworkers and friends in the Navy also noticed that she was much more calm and friendly, she was able calmly to complain about concerns with ward nurses, whereas formerly she commonly became extremely angry in such instances. She was not apathetic, and her mood was euthymic.</w:t>
            </w:r>
          </w:p>
        </w:tc>
        <w:tc>
          <w:tcPr>
            <w:tcW w:w="2036" w:type="dxa"/>
            <w:noWrap/>
            <w:hideMark/>
          </w:tcPr>
          <w:p w14:paraId="53D34C8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A=WAIS, WCST, DSM-V ("personality")</w:t>
            </w:r>
          </w:p>
        </w:tc>
        <w:tc>
          <w:tcPr>
            <w:tcW w:w="1840" w:type="dxa"/>
            <w:noWrap/>
            <w:hideMark/>
          </w:tcPr>
          <w:p w14:paraId="6C2B33C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A=No abnormality; B= a right hemothorax, an acute subdural hematoma in the right cerebral hemisphere, and cerebral edema, and he underwent a bifrontal craniotomy.</w:t>
            </w:r>
          </w:p>
        </w:tc>
      </w:tr>
      <w:tr w:rsidR="00B10849" w:rsidRPr="00B10849" w14:paraId="42F5D6C1" w14:textId="77777777" w:rsidTr="00E611F1">
        <w:tc>
          <w:tcPr>
            <w:tcW w:w="490" w:type="dxa"/>
            <w:noWrap/>
            <w:hideMark/>
          </w:tcPr>
          <w:p w14:paraId="090082EA"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28</w:t>
            </w:r>
          </w:p>
        </w:tc>
        <w:tc>
          <w:tcPr>
            <w:tcW w:w="1320" w:type="dxa"/>
            <w:noWrap/>
            <w:hideMark/>
          </w:tcPr>
          <w:p w14:paraId="73AB0D6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{"citationID":"CBQx9WTV","properties":{"formattedCitation":"(Lannoo, Deyne, et al., 1997)","plainCitation":"(Lannoo, Deyne, et al., 1997)","dontUpdate":true,"noteIndex":0},"citationItems":[{"id":20647,"uris":["http://zotero.org/users/1471066/items/8R5KMPT7"],"itemData":{"id":20647,"type":"article-journal","container-title":"J Psychosom Res","DOI":"10.1016/s0022-3999(97)00152-9","issue":"5","language":"en","page":"505–511","title":"Personality change following head injury: assessment with the NEO Five-Factor Inventory","volume":"43","author":[{"family":"Lannoo","given":"E."},{"family":"Deyne","given":"C."},{"family":"Colardyn","given":"F."},{"family":"Soete","given":"G."},{"family":"Jannes","given":"C."}],"issued":{"date-parts":[["1997"]]}}}],"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Lannoo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042DB2F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1997</w:t>
            </w:r>
          </w:p>
        </w:tc>
        <w:tc>
          <w:tcPr>
            <w:tcW w:w="1205" w:type="dxa"/>
            <w:noWrap/>
            <w:hideMark/>
          </w:tcPr>
          <w:p w14:paraId="6838388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4FDE4C3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TBI=68, m=54, age=35, edu=11; Trauma=28 m=20, age=37, edu=12</w:t>
            </w:r>
          </w:p>
        </w:tc>
        <w:tc>
          <w:tcPr>
            <w:tcW w:w="1052" w:type="dxa"/>
            <w:noWrap/>
            <w:hideMark/>
          </w:tcPr>
          <w:p w14:paraId="1E1FCA4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Belgium</w:t>
            </w:r>
          </w:p>
        </w:tc>
        <w:tc>
          <w:tcPr>
            <w:tcW w:w="1892" w:type="dxa"/>
            <w:noWrap/>
            <w:hideMark/>
          </w:tcPr>
          <w:p w14:paraId="449EF06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Moderate-Severe head injury</w:t>
            </w:r>
          </w:p>
        </w:tc>
        <w:tc>
          <w:tcPr>
            <w:tcW w:w="2444" w:type="dxa"/>
            <w:noWrap/>
            <w:hideMark/>
          </w:tcPr>
          <w:p w14:paraId="2078D87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NEO-FFI</w:t>
            </w:r>
          </w:p>
        </w:tc>
        <w:tc>
          <w:tcPr>
            <w:tcW w:w="2036" w:type="dxa"/>
            <w:noWrap/>
            <w:hideMark/>
          </w:tcPr>
          <w:p w14:paraId="5715002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NEO-FFI; GCS</w:t>
            </w:r>
          </w:p>
        </w:tc>
        <w:tc>
          <w:tcPr>
            <w:tcW w:w="1840" w:type="dxa"/>
            <w:noWrap/>
            <w:hideMark/>
          </w:tcPr>
          <w:p w14:paraId="5BB4D25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27E039A8" w14:textId="77777777" w:rsidTr="00E611F1">
        <w:tc>
          <w:tcPr>
            <w:tcW w:w="490" w:type="dxa"/>
            <w:noWrap/>
            <w:hideMark/>
          </w:tcPr>
          <w:p w14:paraId="6C3C75B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29</w:t>
            </w:r>
          </w:p>
        </w:tc>
        <w:tc>
          <w:tcPr>
            <w:tcW w:w="1320" w:type="dxa"/>
            <w:noWrap/>
            <w:hideMark/>
          </w:tcPr>
          <w:p w14:paraId="667CD1E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{"citationID":"B7DutUGg","properties":{"formattedCitation":"(Kurtz et al., 1998a)","plainCitation":"(Kurtz et al., 1998a)","dontUpdate":true,"noteIndex":0},"citationItems":[{"id":20644,"uris":["http://zotero.org/users/1471066/items/8HMI47LH"],"itemData":{"id":20644,"type":"article-journal","container-title":"Journal of Head Trauma Rehabilitation","issue":"3","language":"en","page":"1–14","title":"Stability of normal personality traits after traumatic brain injury","volume":"13","author":[{"family":"Kurtz","given":"J.E."},{"family":"Putnam","given":"S.H."},{"family":"Stone","given":"C."}],"issued":{"date-parts":[["1998"]]}}}],"schema":"https://github.com/citation-style-language/schema/raw/master/csl-citation.json"}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Kurtz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D8CB439"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1998</w:t>
            </w:r>
          </w:p>
        </w:tc>
        <w:tc>
          <w:tcPr>
            <w:tcW w:w="1205" w:type="dxa"/>
            <w:noWrap/>
            <w:hideMark/>
          </w:tcPr>
          <w:p w14:paraId="79EAE8D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43F35CC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TBI=21, m=18, black=13, age=32.71; C=25, m=18, black=11, age=35.48</w:t>
            </w:r>
          </w:p>
        </w:tc>
        <w:tc>
          <w:tcPr>
            <w:tcW w:w="1052" w:type="dxa"/>
            <w:noWrap/>
            <w:hideMark/>
          </w:tcPr>
          <w:p w14:paraId="6A3BA5B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0D526D9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RTA=12, assault=6, bicycle=2, fall=1</w:t>
            </w:r>
          </w:p>
        </w:tc>
        <w:tc>
          <w:tcPr>
            <w:tcW w:w="2444" w:type="dxa"/>
            <w:noWrap/>
            <w:hideMark/>
          </w:tcPr>
          <w:p w14:paraId="2E435EE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NEO-PR-IV</w:t>
            </w:r>
          </w:p>
        </w:tc>
        <w:tc>
          <w:tcPr>
            <w:tcW w:w="2036" w:type="dxa"/>
            <w:noWrap/>
            <w:hideMark/>
          </w:tcPr>
          <w:p w14:paraId="699D637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NEO-PR-IV; REC</w:t>
            </w:r>
          </w:p>
        </w:tc>
        <w:tc>
          <w:tcPr>
            <w:tcW w:w="1840" w:type="dxa"/>
            <w:noWrap/>
            <w:hideMark/>
          </w:tcPr>
          <w:p w14:paraId="55FEB7D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3AD2E1B6" w14:textId="77777777" w:rsidTr="00E611F1">
        <w:tc>
          <w:tcPr>
            <w:tcW w:w="490" w:type="dxa"/>
            <w:noWrap/>
            <w:hideMark/>
          </w:tcPr>
          <w:p w14:paraId="6010A77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30</w:t>
            </w:r>
          </w:p>
        </w:tc>
        <w:tc>
          <w:tcPr>
            <w:tcW w:w="1320" w:type="dxa"/>
            <w:noWrap/>
            <w:hideMark/>
          </w:tcPr>
          <w:p w14:paraId="79F64ED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{"citationID":"419NTCgM","properties":{"formattedCitation":"(Cantagallo et al., 1999a)","plainCitation":"(Cantagallo et al., 1999a)","dontUpdate":true,"noteIndex":0},"citationItems":[{"id":26176,"uris":["http://zotero.org/users/1471066/items/NTXEZ44V"],"itemData":{"id":26176,"type":"article-journal","container-title":"Brain injury","issue":"4","note":"ISBN: 0269-9052","page":"219-228","publisher":"Taylor &amp; Francis","title":"Dissociative disorder after traumatic brain injury","volume":"13","author":[{"family":"Cantagallo","given":"Anna"},{"family":"Grassi","given":"Luigi"},{"family":"Della Sala","given":"Sergio"}],"issued":{"date-parts":[["1999"]]}}}],"schema":"https://github.com/citation-style-language/schema/raw/master/csl-citation.json"}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Cantagallo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793C2FB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1999</w:t>
            </w:r>
          </w:p>
        </w:tc>
        <w:tc>
          <w:tcPr>
            <w:tcW w:w="1205" w:type="dxa"/>
            <w:noWrap/>
            <w:hideMark/>
          </w:tcPr>
          <w:p w14:paraId="14FEE7E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1212745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32yo</w:t>
            </w:r>
          </w:p>
        </w:tc>
        <w:tc>
          <w:tcPr>
            <w:tcW w:w="1052" w:type="dxa"/>
            <w:noWrap/>
            <w:hideMark/>
          </w:tcPr>
          <w:p w14:paraId="6905D9A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207C211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550ED42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Acquired DID post TBI</w:t>
            </w:r>
          </w:p>
        </w:tc>
        <w:tc>
          <w:tcPr>
            <w:tcW w:w="2036" w:type="dxa"/>
            <w:noWrap/>
            <w:hideMark/>
          </w:tcPr>
          <w:p w14:paraId="34EF04F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509D3A5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CT Scan did not disclose any abnormality. EEG saw patchy dyshomogeneous uptake with left temporal and biparietal hypo- perfusion, worse in the left hemisphere.</w:t>
            </w:r>
          </w:p>
        </w:tc>
      </w:tr>
      <w:tr w:rsidR="00B10849" w:rsidRPr="00B10849" w14:paraId="14BCE188" w14:textId="77777777" w:rsidTr="00E611F1">
        <w:tc>
          <w:tcPr>
            <w:tcW w:w="490" w:type="dxa"/>
            <w:noWrap/>
            <w:hideMark/>
          </w:tcPr>
          <w:p w14:paraId="4729C40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31</w:t>
            </w:r>
          </w:p>
        </w:tc>
        <w:tc>
          <w:tcPr>
            <w:tcW w:w="1320" w:type="dxa"/>
            <w:noWrap/>
            <w:hideMark/>
          </w:tcPr>
          <w:p w14:paraId="28513FB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{"citationID":"BEWQs17C","properties":{"formattedCitation":"(Dimitrov et al., 1999a)","plainCitation":"(Dimitrov et al., 1999a)","dontUpdate":true,"noteIndex":0},"citationItems":[{"id":20613,"uris":["http://zotero.org/users/1471066/items/MMDMHFSG"],"itemData":{"id":20613,"type":"article-journal","container-title":"Neurocase","DOI":"10.1093/neucas/5.4.345","issue":"4","language":"cy","page":"345–354","title":"A thoroughly modern gage","volume":"5","author":[{"family":"Dimitrov","given":"M."},{"family":"Phipps","given":"M."},{"family":"Zahn","given":"T.P."},{"family":"Grafman","given":"J."}],"issued":{"date-parts":[["1999"]]}}}],"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Dimitrov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0072CA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1999</w:t>
            </w:r>
          </w:p>
        </w:tc>
        <w:tc>
          <w:tcPr>
            <w:tcW w:w="1205" w:type="dxa"/>
            <w:noWrap/>
            <w:hideMark/>
          </w:tcPr>
          <w:p w14:paraId="3E48A0D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03501FD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50yo (injury sustained at 20yo)</w:t>
            </w:r>
          </w:p>
        </w:tc>
        <w:tc>
          <w:tcPr>
            <w:tcW w:w="1052" w:type="dxa"/>
            <w:noWrap/>
            <w:hideMark/>
          </w:tcPr>
          <w:p w14:paraId="33E267F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0FBBB8B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War (Shrapnel)</w:t>
            </w:r>
          </w:p>
        </w:tc>
        <w:tc>
          <w:tcPr>
            <w:tcW w:w="2444" w:type="dxa"/>
            <w:noWrap/>
            <w:hideMark/>
          </w:tcPr>
          <w:p w14:paraId="2FAB101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Post-injury: Unusual moodiness, mood swings, sarcasm, lack of tact with others, bluntness of affect, remoteness of rapport, social withdrawal, no ability to make and keep friends, and, especially, questionable competency in handling large sums of money, unable to plan daily activities…. He “possessed the experience and ethics of a 14 year old”, increased pornography use.</w:t>
            </w:r>
          </w:p>
        </w:tc>
        <w:tc>
          <w:tcPr>
            <w:tcW w:w="2036" w:type="dxa"/>
            <w:noWrap/>
            <w:hideMark/>
          </w:tcPr>
          <w:p w14:paraId="5096002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WAIS, WMS, BADS, WCST, BDI</w:t>
            </w:r>
          </w:p>
        </w:tc>
        <w:tc>
          <w:tcPr>
            <w:tcW w:w="1840" w:type="dxa"/>
            <w:noWrap/>
            <w:hideMark/>
          </w:tcPr>
          <w:p w14:paraId="258FB26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right frontal ventromedial lesion</w:t>
            </w:r>
          </w:p>
        </w:tc>
      </w:tr>
      <w:tr w:rsidR="00B10849" w:rsidRPr="00B10849" w14:paraId="32ABDEE1" w14:textId="77777777" w:rsidTr="00E611F1">
        <w:tc>
          <w:tcPr>
            <w:tcW w:w="490" w:type="dxa"/>
            <w:noWrap/>
            <w:hideMark/>
          </w:tcPr>
          <w:p w14:paraId="2D24E16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32</w:t>
            </w:r>
          </w:p>
        </w:tc>
        <w:tc>
          <w:tcPr>
            <w:tcW w:w="1320" w:type="dxa"/>
            <w:noWrap/>
            <w:hideMark/>
          </w:tcPr>
          <w:p w14:paraId="7AE7A20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{"citationID":"bszIBFTv","properties":{"formattedCitation":"(Neylan, 1999a)","plainCitation":"(Neylan, 1999a)","dontUpdate":true,"noteIndex":0},"citationItems":[{"id":20675,"uris":["http://zotero.org/users/1471066/items/W6CNSJLF"],"itemData":{"id":20675,"type":"article-journal","container-title":"Journal of Neuropsychiatry and Clinical Neurosciences","DOI":"10.1176/jnp.11.2.280","issue":"2","language":"en","page":"280–281","title":"Frontal lobe function: Mr. Phineas Gage’s famous injury","volume":"11","author":[{"family":"Neylan","given":"T.C."}],"issued":{"date-parts":[["1999"]]}}}],"schema":"https://github.com/citation-style-language/schema/raw/master/csl-citation.json"}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Neylan</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233ED0B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1999</w:t>
            </w:r>
          </w:p>
        </w:tc>
        <w:tc>
          <w:tcPr>
            <w:tcW w:w="1205" w:type="dxa"/>
            <w:noWrap/>
            <w:hideMark/>
          </w:tcPr>
          <w:p w14:paraId="3BD8BEF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0523BB9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Phineas Gage</w:t>
            </w:r>
          </w:p>
        </w:tc>
        <w:tc>
          <w:tcPr>
            <w:tcW w:w="1052" w:type="dxa"/>
            <w:noWrap/>
            <w:hideMark/>
          </w:tcPr>
          <w:p w14:paraId="46E054D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2724874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Work-related accident</w:t>
            </w:r>
          </w:p>
        </w:tc>
        <w:tc>
          <w:tcPr>
            <w:tcW w:w="2444" w:type="dxa"/>
            <w:noWrap/>
            <w:hideMark/>
          </w:tcPr>
          <w:p w14:paraId="3F66F60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Pre-injury: efficient, capable.; Post-injury: fitful, irreverent, profane, unempathetic, impatient, obstinate, capricious and vacillating.</w:t>
            </w:r>
          </w:p>
        </w:tc>
        <w:tc>
          <w:tcPr>
            <w:tcW w:w="2036" w:type="dxa"/>
            <w:noWrap/>
            <w:hideMark/>
          </w:tcPr>
          <w:p w14:paraId="6BF943B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54A7567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Right prefrontal cortex</w:t>
            </w:r>
          </w:p>
        </w:tc>
      </w:tr>
      <w:tr w:rsidR="00B10849" w:rsidRPr="00B10849" w14:paraId="37A66954" w14:textId="77777777" w:rsidTr="00E611F1">
        <w:tc>
          <w:tcPr>
            <w:tcW w:w="490" w:type="dxa"/>
            <w:noWrap/>
            <w:hideMark/>
          </w:tcPr>
          <w:p w14:paraId="06922F9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33</w:t>
            </w:r>
          </w:p>
        </w:tc>
        <w:tc>
          <w:tcPr>
            <w:tcW w:w="1320" w:type="dxa"/>
            <w:noWrap/>
            <w:hideMark/>
          </w:tcPr>
          <w:p w14:paraId="3137684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{"citationID":"frwvI3TF","properties":{"formattedCitation":"(Tsai et al., 2021)","plainCitation":"(Tsai et al., 2021)","dontUpdate":true,"noteIndex":0},"citationItems":[{"id":20876,"uris":["http://zotero.org/users/1471066/items/NKDNCU3W"],"itemData":{"id":20876,"type":"article-journal","abstract":"BACKGROUND: Reports regarding prevalence of post–traumatic brain injury (TBI) cognitive deficits were inconsistent. We aimed to synthesize the prevalence of cognitive deficits after TBI in the acute, subacute, and chronic phases. METHODS: PubMed, EMBASE, and ProQuest Dissertations and Theses A&amp;I databases were searched from the inception to April 27, 2020. Studies with prospective, retrospective, and cross-sectional designs reporting the prevalence of cognitive deficits after TBI in adults were included. RESULTS: A total of 15 articles were included for prevalence estimation. The pooled prevalence of memory and attention deficits after mild TBI was 31% and 20% in the acute phase and 26% and 18% in the subacute phase, respectively, and 49% and 54% in the subacute phase and 21% and 50% in the chronic phase after moderate-to-severe TBI. The overall prevalence of information processing speed deficits after mild TBI in the acute and subacute phases was 21% and 17%, respectively, and 57% in the chronic phase after moderate-to-severe TBI. The overall prevalence of executive dysfunction in the subacute and chronic phases was 48% and 38%, respectively, after moderate-to-severe TBI. CONCLUSION: Cognitive deficits are prevalent in the acute to chronic phases after TBI. Healthcare providers should design effective intervention targeting cognitive impairment after TBI as early as possible.","container-title":"Journal of Neuroscience Nursing","DOI":"10.1097/JNN.0000000000000570","ISSN":"0888-0395","issue":"2","language":"en-US","page":"63","source":"journals.lww.com","title":"A Meta-analysis of Dynamic Prevalence of Cognitive Deficits in the Acute, Subacute, and Chronic Phases After Traumatic Brain Injury","volume":"53","author":[{"family":"Tsai","given":"Ying-Chieh"},{"family":"Liu","given":"Chin-Jung"},{"family":"Huang","given":"Hui-Chuan"},{"family":"Lin","given":"Jiann-Her"},{"family":"Chen","given":"Pin-Yuan"},{"family":"Su","given":"Yu-Kai"},{"family":"Chen","given":"Chun-Ting"},{"family":"Chiu","given":"Hsiao-Yean"}],"issued":{"date-parts":[["2021",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Tsai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5A831C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1999</w:t>
            </w:r>
          </w:p>
        </w:tc>
        <w:tc>
          <w:tcPr>
            <w:tcW w:w="1205" w:type="dxa"/>
            <w:noWrap/>
            <w:hideMark/>
          </w:tcPr>
          <w:p w14:paraId="108A6BC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series</w:t>
            </w:r>
          </w:p>
        </w:tc>
        <w:tc>
          <w:tcPr>
            <w:tcW w:w="2170" w:type="dxa"/>
            <w:noWrap/>
            <w:hideMark/>
          </w:tcPr>
          <w:p w14:paraId="2956360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n=10, TBI=6/10, age=37.6</w:t>
            </w:r>
          </w:p>
        </w:tc>
        <w:tc>
          <w:tcPr>
            <w:tcW w:w="1052" w:type="dxa"/>
            <w:noWrap/>
            <w:hideMark/>
          </w:tcPr>
          <w:p w14:paraId="6B64220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Taiwan</w:t>
            </w:r>
          </w:p>
        </w:tc>
        <w:tc>
          <w:tcPr>
            <w:tcW w:w="1892" w:type="dxa"/>
            <w:noWrap/>
            <w:hideMark/>
          </w:tcPr>
          <w:p w14:paraId="7B7A652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Head trauma</w:t>
            </w:r>
          </w:p>
        </w:tc>
        <w:tc>
          <w:tcPr>
            <w:tcW w:w="2444" w:type="dxa"/>
            <w:noWrap/>
            <w:hideMark/>
          </w:tcPr>
          <w:p w14:paraId="218821E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Affective liability =5; aggression =4; impulsivity =2; grandiosity =1; impulsivity =3; paranoia=3; apathy=2</w:t>
            </w:r>
          </w:p>
        </w:tc>
        <w:tc>
          <w:tcPr>
            <w:tcW w:w="2036" w:type="dxa"/>
            <w:noWrap/>
            <w:hideMark/>
          </w:tcPr>
          <w:p w14:paraId="7E8A4BF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DSM-IV</w:t>
            </w:r>
          </w:p>
        </w:tc>
        <w:tc>
          <w:tcPr>
            <w:tcW w:w="1840" w:type="dxa"/>
            <w:noWrap/>
            <w:hideMark/>
          </w:tcPr>
          <w:p w14:paraId="1A9094B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4F110D93" w14:textId="77777777" w:rsidTr="00E611F1">
        <w:tc>
          <w:tcPr>
            <w:tcW w:w="490" w:type="dxa"/>
            <w:noWrap/>
            <w:hideMark/>
          </w:tcPr>
          <w:p w14:paraId="0623997B"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34</w:t>
            </w:r>
          </w:p>
        </w:tc>
        <w:tc>
          <w:tcPr>
            <w:tcW w:w="1320" w:type="dxa"/>
            <w:noWrap/>
            <w:hideMark/>
          </w:tcPr>
          <w:p w14:paraId="1EC3AE9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{"citationID":"jUqP2DNP","properties":{"formattedCitation":"(Franulic et al., 2000a)","plainCitation":"(Franulic et al., 2000a)","dontUpdate":true,"noteIndex":0},"citationItems":[{"id":20622,"uris":["http://zotero.org/users/1471066/items/FEBPSC44"],"itemData":{"id":20622,"type":"article-journal","container-title":"Brain Injury","DOI":"10.1080/026990500120538","issue":"5","language":"en","page":"431–439","title":"Organic personality disorder after traumatic brain injury: Cognitive, anatomic and psychosocial factors. A 6 month follow-up","volume":"14","author":[{"family":"Franulic","given":"A."},{"family":"Horta","given":"E."},{"family":"Maturana","given":"R."},{"family":"Scherpenisse","given":"J."},{"family":"Carbonell","given":"C."}],"issued":{"date-parts":[["2000"]]}}}],"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Franulic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40EC04F"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2000</w:t>
            </w:r>
          </w:p>
        </w:tc>
        <w:tc>
          <w:tcPr>
            <w:tcW w:w="1205" w:type="dxa"/>
            <w:noWrap/>
            <w:hideMark/>
          </w:tcPr>
          <w:p w14:paraId="54F4798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41E7204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w/OPD n=9, m=0, age=41av; w/o OPD n=21, m=3, age=33av</w:t>
            </w:r>
          </w:p>
        </w:tc>
        <w:tc>
          <w:tcPr>
            <w:tcW w:w="1052" w:type="dxa"/>
            <w:noWrap/>
            <w:hideMark/>
          </w:tcPr>
          <w:p w14:paraId="5ACE6E1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Chile</w:t>
            </w:r>
          </w:p>
        </w:tc>
        <w:tc>
          <w:tcPr>
            <w:tcW w:w="1892" w:type="dxa"/>
            <w:noWrap/>
            <w:hideMark/>
          </w:tcPr>
          <w:p w14:paraId="3C62D6A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w:t>
            </w:r>
          </w:p>
        </w:tc>
        <w:tc>
          <w:tcPr>
            <w:tcW w:w="2444" w:type="dxa"/>
            <w:noWrap/>
            <w:hideMark/>
          </w:tcPr>
          <w:p w14:paraId="36D0A9A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ICD-10 defined organic personality disorder</w:t>
            </w:r>
          </w:p>
        </w:tc>
        <w:tc>
          <w:tcPr>
            <w:tcW w:w="2036" w:type="dxa"/>
            <w:noWrap/>
            <w:hideMark/>
          </w:tcPr>
          <w:p w14:paraId="7E08D98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ICD-10; WAIS, Benton TestROT, WCST, PS, NRS-27.</w:t>
            </w:r>
          </w:p>
        </w:tc>
        <w:tc>
          <w:tcPr>
            <w:tcW w:w="1840" w:type="dxa"/>
            <w:noWrap/>
            <w:hideMark/>
          </w:tcPr>
          <w:p w14:paraId="348E384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OPD = 6 x disturbed cerebral TC, specifically frontal and temporal secondary type. The most frequent lesion was of the haemorrhagic contusive type.</w:t>
            </w:r>
          </w:p>
        </w:tc>
      </w:tr>
      <w:tr w:rsidR="00B10849" w:rsidRPr="00B10849" w14:paraId="1B7655D3" w14:textId="77777777" w:rsidTr="00E611F1">
        <w:tc>
          <w:tcPr>
            <w:tcW w:w="490" w:type="dxa"/>
            <w:noWrap/>
            <w:hideMark/>
          </w:tcPr>
          <w:p w14:paraId="5C4292D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35</w:t>
            </w:r>
          </w:p>
        </w:tc>
        <w:tc>
          <w:tcPr>
            <w:tcW w:w="1320" w:type="dxa"/>
            <w:noWrap/>
            <w:hideMark/>
          </w:tcPr>
          <w:p w14:paraId="01077B0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{"citationID":"cmnEb2sa","properties":{"formattedCitation":"(Glover, 2000a)","plainCitation":"(Glover, 2000a)","dontUpdate":true,"noteIndex":0},"citationItems":[{"id":20623,"uris":["http://zotero.org/users/1471066/items/2LDFJFN4"],"itemData":{"id":20623,"type":"article-journal","container-title":"Disabil Rehabil","DOI":"10.1080/09638280050045956","issue":"10","language":"en","page":"471–477","title":"Is this what life is going to be like?” The story of a 34 year old man (T) who suffered a severe head injury after a fall","volume":"22","author":[{"family":"Glover","given":"A."}],"issued":{"date-parts":[["2000"]]}}}],"schema":"https://github.com/citation-style-language/schema/raw/master/csl-citation.json"}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Glover</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17067A6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2000</w:t>
            </w:r>
          </w:p>
        </w:tc>
        <w:tc>
          <w:tcPr>
            <w:tcW w:w="1205" w:type="dxa"/>
            <w:noWrap/>
            <w:hideMark/>
          </w:tcPr>
          <w:p w14:paraId="6E91AAB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654FEF4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34yo</w:t>
            </w:r>
          </w:p>
        </w:tc>
        <w:tc>
          <w:tcPr>
            <w:tcW w:w="1052" w:type="dxa"/>
            <w:noWrap/>
            <w:hideMark/>
          </w:tcPr>
          <w:p w14:paraId="469BA4D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5C10172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Fall</w:t>
            </w:r>
          </w:p>
        </w:tc>
        <w:tc>
          <w:tcPr>
            <w:tcW w:w="2444" w:type="dxa"/>
            <w:noWrap/>
            <w:hideMark/>
          </w:tcPr>
          <w:p w14:paraId="7055632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Pre-injury: vibrant, energetic physical man.; Post-injury: “a shell of himself”, angry, frustrated, short tempered, unable to reason, argumentative, stubborn.</w:t>
            </w:r>
          </w:p>
        </w:tc>
        <w:tc>
          <w:tcPr>
            <w:tcW w:w="2036" w:type="dxa"/>
            <w:noWrap/>
            <w:hideMark/>
          </w:tcPr>
          <w:p w14:paraId="16CA82A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7203EBB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69FC6ADE" w14:textId="77777777" w:rsidTr="00E611F1">
        <w:tc>
          <w:tcPr>
            <w:tcW w:w="490" w:type="dxa"/>
            <w:noWrap/>
            <w:hideMark/>
          </w:tcPr>
          <w:p w14:paraId="25C735D4"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36</w:t>
            </w:r>
          </w:p>
        </w:tc>
        <w:tc>
          <w:tcPr>
            <w:tcW w:w="1320" w:type="dxa"/>
            <w:noWrap/>
            <w:hideMark/>
          </w:tcPr>
          <w:p w14:paraId="6668C60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{"citationID":"6N2f8iFQ","properties":{"formattedCitation":"(Hibbard et al., 2000)","plainCitation":"(Hibbard et al., 2000)","dontUpdate":true,"noteIndex":0},"citationItems":[{"id":20634,"uris":["http://zotero.org/users/1471066/items/DF5JMXDT"],"itemData":{"id":20634,"type":"article-journal","container-title":"Brain Injury","DOI":"10.1080/0269905001209161","issue":"1","language":"en","page":"45–61","title":"Axis II psychopathology in individuals with traumatic brain injury","volume":"14","author":[{"family":"Hibbard","given":"M.R."},{"family":"Bogdany","given":"J."},{"family":"Uysal","given":"S."},{"family":"Kepler","given":"K."},{"family":"Silver","given":"J.M."},{"family":"Gordon","given":"W.A."},{"family":"Haddad","given":"L."}],"issued":{"date-parts":[["2000"]]}}}],"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Hibbard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C80F2D9"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2000</w:t>
            </w:r>
          </w:p>
        </w:tc>
        <w:tc>
          <w:tcPr>
            <w:tcW w:w="1205" w:type="dxa"/>
            <w:noWrap/>
            <w:hideMark/>
          </w:tcPr>
          <w:p w14:paraId="59F14A8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18C59CE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n=100, TBIw/oPD=76, TBIw/PD=24, m=53, age=38, White=73, Black=14, Hispanic=9, Other=4</w:t>
            </w:r>
          </w:p>
        </w:tc>
        <w:tc>
          <w:tcPr>
            <w:tcW w:w="1052" w:type="dxa"/>
            <w:noWrap/>
            <w:hideMark/>
          </w:tcPr>
          <w:p w14:paraId="7021EF2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60E1DC0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Motor vehicle accident 62%; Assault 8%; Pedestrian accident 8%; Fall 6%; Sport related 6%; Hit by falling or flying object 5%; Gunshot wound 2%; 41% Other means 3%</w:t>
            </w:r>
          </w:p>
        </w:tc>
        <w:tc>
          <w:tcPr>
            <w:tcW w:w="2444" w:type="dxa"/>
            <w:noWrap/>
            <w:hideMark/>
          </w:tcPr>
          <w:p w14:paraId="53C2DF6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DSM-IV Criteria</w:t>
            </w:r>
          </w:p>
        </w:tc>
        <w:tc>
          <w:tcPr>
            <w:tcW w:w="2036" w:type="dxa"/>
            <w:noWrap/>
            <w:hideMark/>
          </w:tcPr>
          <w:p w14:paraId="7601F4C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DSM-5 ("personality change");</w:t>
            </w:r>
          </w:p>
        </w:tc>
        <w:tc>
          <w:tcPr>
            <w:tcW w:w="1840" w:type="dxa"/>
            <w:noWrap/>
            <w:hideMark/>
          </w:tcPr>
          <w:p w14:paraId="44180EC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38E85E7F" w14:textId="77777777" w:rsidTr="00E611F1">
        <w:tc>
          <w:tcPr>
            <w:tcW w:w="490" w:type="dxa"/>
            <w:noWrap/>
            <w:hideMark/>
          </w:tcPr>
          <w:p w14:paraId="139CC0C9"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37</w:t>
            </w:r>
          </w:p>
        </w:tc>
        <w:tc>
          <w:tcPr>
            <w:tcW w:w="1320" w:type="dxa"/>
            <w:noWrap/>
            <w:hideMark/>
          </w:tcPr>
          <w:p w14:paraId="7F9C955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{"citationID":"z4e1tsJv","properties":{"formattedCitation":"(Greve et al., 2001)","plainCitation":"(Greve et al., 2001)","dontUpdate":true,"noteIndex":0},"citationItems":[{"id":20628,"uris":["http://zotero.org/users/1471066/items/BEE6FPF2"],"itemData":{"id":20628,"type":"article-journal","container-title":"Brain Injury","DOI":"10.1080/026990501300005695","issue":"3","language":"en","page":"255–262","title":"Personality and neurocognitive correlates of impulsive aggression in long-term survivors of severe traumatic brain injury","volume":"15","author":[{"family":"Greve","given":"K.W."},{"family":"Sherwin","given":"E."},{"family":"Stanford","given":"M.S."},{"family":"Mathias","given":"C."},{"family":"Love","given":"J."},{"family":"Ramzinski","given":"P."}],"issued":{"date-parts":[["2001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Greve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51A1EE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2001</w:t>
            </w:r>
          </w:p>
        </w:tc>
        <w:tc>
          <w:tcPr>
            <w:tcW w:w="1205" w:type="dxa"/>
            <w:noWrap/>
            <w:hideMark/>
          </w:tcPr>
          <w:p w14:paraId="46200D6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56B037C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IA n=26, m=24, age=33.9, education=11.4, injuryage=23.3, comalength=44.85; C=19, m=17, age=38.9, education = 12.9, injuryage=26.8, comalength=42.9</w:t>
            </w:r>
          </w:p>
        </w:tc>
        <w:tc>
          <w:tcPr>
            <w:tcW w:w="1052" w:type="dxa"/>
            <w:noWrap/>
            <w:hideMark/>
          </w:tcPr>
          <w:p w14:paraId="4158F96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0D64C70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w:t>
            </w:r>
          </w:p>
        </w:tc>
        <w:tc>
          <w:tcPr>
            <w:tcW w:w="2444" w:type="dxa"/>
            <w:noWrap/>
            <w:hideMark/>
          </w:tcPr>
          <w:p w14:paraId="6E340C8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Eysenck Personality Questionnaire (EPQ)</w:t>
            </w:r>
          </w:p>
        </w:tc>
        <w:tc>
          <w:tcPr>
            <w:tcW w:w="2036" w:type="dxa"/>
            <w:noWrap/>
            <w:hideMark/>
          </w:tcPr>
          <w:p w14:paraId="5DD10DE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LHA, BPAQ (aggression); EPQ (personality); BIS (impulsivity); PPVT, TMT, COWAT, WCST</w:t>
            </w:r>
          </w:p>
        </w:tc>
        <w:tc>
          <w:tcPr>
            <w:tcW w:w="1840" w:type="dxa"/>
            <w:noWrap/>
            <w:hideMark/>
          </w:tcPr>
          <w:p w14:paraId="380F2AC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2C6A7710" w14:textId="77777777" w:rsidTr="00E611F1">
        <w:tc>
          <w:tcPr>
            <w:tcW w:w="490" w:type="dxa"/>
            <w:noWrap/>
            <w:hideMark/>
          </w:tcPr>
          <w:p w14:paraId="457DF7F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38</w:t>
            </w:r>
          </w:p>
        </w:tc>
        <w:tc>
          <w:tcPr>
            <w:tcW w:w="1320" w:type="dxa"/>
            <w:noWrap/>
            <w:hideMark/>
          </w:tcPr>
          <w:p w14:paraId="0C9DAF2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{"citationID":"HvSpTW2O","properties":{"formattedCitation":"(Matar\\uc0\\u243{} et al., 2001a)","plainCitation":"(Mataró et al., 2001a)","dontUpdate":true,"noteIndex":0},"citationItems":[{"id":20658,"uris":["http://zotero.org/users/1471066/items/UWC8WSF6"],"itemData":{"id":20658,"type":"article-journal","container-title":"Arch Neurol","DOI":"10.1001/archneur.58.7.1139","issue":"7","language":"en","page":"1139–1142","title":"Long-term effects of bilateral frontal brain lesion: 60 years after injury with an iron bar","volume":"58","author":[{"family":"Mataró","given":"M."},{"family":"Jurado","given":"M.A."},{"family":"García-Sánchez","given":"C."},{"family":"Barraquer","given":"L."},{"family":"Costa-Jussà","given":"F.R."},{"family":"Junqué","given":"C."}],"issued":{"date-parts":[["2001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cs="Times New Roman"/>
                <w:kern w:val="0"/>
                <w:sz w:val="18"/>
              </w:rPr>
              <w:t>Mataró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1855DD9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2001</w:t>
            </w:r>
          </w:p>
        </w:tc>
        <w:tc>
          <w:tcPr>
            <w:tcW w:w="1205" w:type="dxa"/>
            <w:noWrap/>
            <w:hideMark/>
          </w:tcPr>
          <w:p w14:paraId="3121A81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733A5ED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81 (inj=21)</w:t>
            </w:r>
          </w:p>
        </w:tc>
        <w:tc>
          <w:tcPr>
            <w:tcW w:w="1052" w:type="dxa"/>
            <w:noWrap/>
            <w:hideMark/>
          </w:tcPr>
          <w:p w14:paraId="2155017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Spain</w:t>
            </w:r>
          </w:p>
        </w:tc>
        <w:tc>
          <w:tcPr>
            <w:tcW w:w="1892" w:type="dxa"/>
            <w:noWrap/>
            <w:hideMark/>
          </w:tcPr>
          <w:p w14:paraId="55264E9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Fell onto an iron stake</w:t>
            </w:r>
          </w:p>
        </w:tc>
        <w:tc>
          <w:tcPr>
            <w:tcW w:w="2444" w:type="dxa"/>
            <w:noWrap/>
            <w:hideMark/>
          </w:tcPr>
          <w:p w14:paraId="39A26D5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Post-injury: dependent on others, cheerful, problems establishing realistic goals, lack of drive, difficulties initiating, continuing and finishing activities. Lack of drive and concern, apathy, poor planning. </w:t>
            </w:r>
          </w:p>
        </w:tc>
        <w:tc>
          <w:tcPr>
            <w:tcW w:w="2036" w:type="dxa"/>
            <w:noWrap/>
            <w:hideMark/>
          </w:tcPr>
          <w:p w14:paraId="274A9FE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74E5BC0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Bilateral damage affecting the orbital and dorsolateral frontal regions</w:t>
            </w:r>
          </w:p>
        </w:tc>
      </w:tr>
      <w:tr w:rsidR="00B10849" w:rsidRPr="00B10849" w14:paraId="3D7E942A" w14:textId="77777777" w:rsidTr="00E611F1">
        <w:tc>
          <w:tcPr>
            <w:tcW w:w="490" w:type="dxa"/>
            <w:noWrap/>
            <w:hideMark/>
          </w:tcPr>
          <w:p w14:paraId="0B666EAB"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40</w:t>
            </w:r>
          </w:p>
        </w:tc>
        <w:tc>
          <w:tcPr>
            <w:tcW w:w="1320" w:type="dxa"/>
            <w:noWrap/>
            <w:hideMark/>
          </w:tcPr>
          <w:p w14:paraId="73B03F0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{"citationID":"QmQIqZbx","properties":{"formattedCitation":"(Koponen et al., 2002)","plainCitation":"(Koponen et al., 2002)","dontUpdate":true,"noteIndex":0},"citationItems":[{"id":26177,"uris":["http://zotero.org/users/1471066/items/MXUT79VD"],"itemData":{"id":26177,"type":"article-journal","container-title":"American journal of Psychiatry","issue":"8","note":"ISBN: 0002-953X","page":"1315-1321","publisher":"American Psychiatric Publishing","title":"Axis I and II psychiatric disorders after traumatic brain injury: a 30-year follow-up study","volume":"159","author":[{"family":"Koponen","given":"Salla"},{"family":"Taiminen","given":"Tero"},{"family":"Portin","given":"Raija"},{"family":"Himanen","given":"Leena"},{"family":"Isoniemi","given":"Heli"},{"family":"Heinonen","given":"Hanna"},{"family":"Hinkka","given":"Susanna"},{"family":"Tenovuo","given":"Olli"}],"issued":{"date-parts":[["2002"]]}}}],"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Koponen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4B6EF67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2002</w:t>
            </w:r>
          </w:p>
        </w:tc>
        <w:tc>
          <w:tcPr>
            <w:tcW w:w="1205" w:type="dxa"/>
            <w:noWrap/>
            <w:hideMark/>
          </w:tcPr>
          <w:p w14:paraId="7AF2F87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5633E6D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n=60; male=41, age=60.8, ageinj=29.4, </w:t>
            </w:r>
          </w:p>
        </w:tc>
        <w:tc>
          <w:tcPr>
            <w:tcW w:w="1052" w:type="dxa"/>
            <w:noWrap/>
            <w:hideMark/>
          </w:tcPr>
          <w:p w14:paraId="202CBE7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Finland</w:t>
            </w:r>
          </w:p>
        </w:tc>
        <w:tc>
          <w:tcPr>
            <w:tcW w:w="1892" w:type="dxa"/>
            <w:noWrap/>
            <w:hideMark/>
          </w:tcPr>
          <w:p w14:paraId="6F93EA0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188689C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DSM-IV Criteria</w:t>
            </w:r>
          </w:p>
        </w:tc>
        <w:tc>
          <w:tcPr>
            <w:tcW w:w="2036" w:type="dxa"/>
            <w:noWrap/>
            <w:hideMark/>
          </w:tcPr>
          <w:p w14:paraId="7C6072C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DSM-5; MMSE</w:t>
            </w:r>
          </w:p>
        </w:tc>
        <w:tc>
          <w:tcPr>
            <w:tcW w:w="1840" w:type="dxa"/>
            <w:noWrap/>
            <w:hideMark/>
          </w:tcPr>
          <w:p w14:paraId="1B20342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6C8CFBD0" w14:textId="77777777" w:rsidTr="00E611F1">
        <w:tc>
          <w:tcPr>
            <w:tcW w:w="490" w:type="dxa"/>
            <w:noWrap/>
            <w:hideMark/>
          </w:tcPr>
          <w:p w14:paraId="3C06E5BA"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41</w:t>
            </w:r>
          </w:p>
        </w:tc>
        <w:tc>
          <w:tcPr>
            <w:tcW w:w="1320" w:type="dxa"/>
            <w:noWrap/>
            <w:hideMark/>
          </w:tcPr>
          <w:p w14:paraId="6FA7DB9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{"citationID":"WZw1zGu4","properties":{"formattedCitation":"(R. L. Tate, 2003a)","plainCitation":"(R. L. Tate, 2003a)","dontUpdate":true,"noteIndex":0},"citationItems":[{"id":20719,"uris":["http://zotero.org/users/1471066/items/XUPD8XQF"],"itemData":{"id":20719,"type":"article-journal","container-title":"Neuropsychological Rehabilitation","DOI":"10.1080/09602010244000372","issue":"1–2","language":"en","page":"43–64","title":"Impact of pre-injury factors on outcome after severe traumatic brain injury: Does post-traumatic personality change represent an exacerbation of premorbid traits?","volume":"13","author":[{"family":"Tate","given":"R.L."}],"issued":{"date-parts":[["2003"]]}}}],"schema":"https://github.com/citation-style-language/schema/raw/master/csl-citation.json"}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Tate</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159F696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2003</w:t>
            </w:r>
          </w:p>
        </w:tc>
        <w:tc>
          <w:tcPr>
            <w:tcW w:w="1205" w:type="dxa"/>
            <w:noWrap/>
            <w:hideMark/>
          </w:tcPr>
          <w:p w14:paraId="1F9C37F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471BCF8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Relatives Initial = 45, 6m=30, 12m=28; TBI; m=24 (85.7%), age=26.82, edu = 10.29</w:t>
            </w:r>
          </w:p>
        </w:tc>
        <w:tc>
          <w:tcPr>
            <w:tcW w:w="1052" w:type="dxa"/>
            <w:noWrap/>
            <w:hideMark/>
          </w:tcPr>
          <w:p w14:paraId="10F45A5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Australia</w:t>
            </w:r>
          </w:p>
        </w:tc>
        <w:tc>
          <w:tcPr>
            <w:tcW w:w="1892" w:type="dxa"/>
            <w:noWrap/>
            <w:hideMark/>
          </w:tcPr>
          <w:p w14:paraId="093B54B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 =21 (75%), assault = 5, fall =1, sport (soccer) = 1.</w:t>
            </w:r>
          </w:p>
        </w:tc>
        <w:tc>
          <w:tcPr>
            <w:tcW w:w="2444" w:type="dxa"/>
            <w:noWrap/>
            <w:hideMark/>
          </w:tcPr>
          <w:p w14:paraId="442E9DE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EPQ-R</w:t>
            </w:r>
          </w:p>
        </w:tc>
        <w:tc>
          <w:tcPr>
            <w:tcW w:w="2036" w:type="dxa"/>
            <w:noWrap/>
            <w:hideMark/>
          </w:tcPr>
          <w:p w14:paraId="4B6D103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EPQ-R; CBS</w:t>
            </w:r>
          </w:p>
        </w:tc>
        <w:tc>
          <w:tcPr>
            <w:tcW w:w="1840" w:type="dxa"/>
            <w:noWrap/>
            <w:hideMark/>
          </w:tcPr>
          <w:p w14:paraId="32150C7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structural lesions in frontal lobes = 17</w:t>
            </w:r>
          </w:p>
        </w:tc>
      </w:tr>
      <w:tr w:rsidR="00B10849" w:rsidRPr="00B10849" w14:paraId="7AC13DA0" w14:textId="77777777" w:rsidTr="00E611F1">
        <w:tc>
          <w:tcPr>
            <w:tcW w:w="490" w:type="dxa"/>
            <w:noWrap/>
            <w:hideMark/>
          </w:tcPr>
          <w:p w14:paraId="77A543AF"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42</w:t>
            </w:r>
          </w:p>
        </w:tc>
        <w:tc>
          <w:tcPr>
            <w:tcW w:w="1320" w:type="dxa"/>
            <w:noWrap/>
            <w:hideMark/>
          </w:tcPr>
          <w:p w14:paraId="1A228AC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{"citationID":"Q3GcjMGd","properties":{"formattedCitation":"(Golden &amp; Golden, 2003a)","plainCitation":"(Golden &amp; Golden, 2003a)","dontUpdate":true,"noteIndex":0},"citationItems":[{"id":20625,"uris":["http://zotero.org/users/1471066/items/MR7AH7VZ"],"itemData":{"id":20625,"type":"article-journal","container-title":"International Journal of Neuroscience","DOI":"10.1080/00207450390200044","issue":"5","language":"en","page":"733–745","title":"Impact of brain injury severity on personality dysfunction","volume":"113","author":[{"family":"Golden","given":"Z."},{"family":"Golden","given":"C.J."}],"issued":{"date-parts":[["2003"]]}}}],"schema":"https://github.com/citation-style-language/schema/raw/master/csl-citation.json"}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Golden &amp; Golden</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A32FE6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2003.1</w:t>
            </w:r>
          </w:p>
        </w:tc>
        <w:tc>
          <w:tcPr>
            <w:tcW w:w="1205" w:type="dxa"/>
            <w:noWrap/>
            <w:hideMark/>
          </w:tcPr>
          <w:p w14:paraId="5155ECB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Retrospective observational </w:t>
            </w:r>
          </w:p>
        </w:tc>
        <w:tc>
          <w:tcPr>
            <w:tcW w:w="2170" w:type="dxa"/>
            <w:noWrap/>
            <w:hideMark/>
          </w:tcPr>
          <w:p w14:paraId="6867E12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320 TBI pts; Ethnicity - Caucasian (82.2%), Black (14.1%), Hispanic (3.8%).  M=234 (73.1 %), age 45.4 (SD = 12.69), education 12.02 (SD = 2.012)</w:t>
            </w:r>
          </w:p>
        </w:tc>
        <w:tc>
          <w:tcPr>
            <w:tcW w:w="1052" w:type="dxa"/>
            <w:noWrap/>
            <w:hideMark/>
          </w:tcPr>
          <w:p w14:paraId="743594D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469C101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w:t>
            </w:r>
          </w:p>
        </w:tc>
        <w:tc>
          <w:tcPr>
            <w:tcW w:w="2444" w:type="dxa"/>
            <w:noWrap/>
            <w:hideMark/>
          </w:tcPr>
          <w:p w14:paraId="6C22124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MMPI</w:t>
            </w:r>
          </w:p>
        </w:tc>
        <w:tc>
          <w:tcPr>
            <w:tcW w:w="2036" w:type="dxa"/>
            <w:noWrap/>
            <w:hideMark/>
          </w:tcPr>
          <w:p w14:paraId="72250CE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MMPI-2; HRNB</w:t>
            </w:r>
          </w:p>
        </w:tc>
        <w:tc>
          <w:tcPr>
            <w:tcW w:w="1840" w:type="dxa"/>
            <w:noWrap/>
            <w:hideMark/>
          </w:tcPr>
          <w:p w14:paraId="126D00B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3C6FBECC" w14:textId="77777777" w:rsidTr="00E611F1">
        <w:tc>
          <w:tcPr>
            <w:tcW w:w="490" w:type="dxa"/>
            <w:noWrap/>
            <w:hideMark/>
          </w:tcPr>
          <w:p w14:paraId="6266187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43</w:t>
            </w:r>
          </w:p>
        </w:tc>
        <w:tc>
          <w:tcPr>
            <w:tcW w:w="1320" w:type="dxa"/>
            <w:noWrap/>
            <w:hideMark/>
          </w:tcPr>
          <w:p w14:paraId="01C5521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{"citationID":"B3DWcH5p","properties":{"formattedCitation":"(Golden &amp; Golden, 2003b)","plainCitation":"(Golden &amp; Golden, 2003b)","dontUpdate":true,"noteIndex":0},"citationItems":[{"id":20626,"uris":["http://zotero.org/users/1471066/items/5WBSWQZ5"],"itemData":{"id":20626,"type":"article-journal","container-title":"International Journal of Neuroscience","DOI":"10.1080/00207450390200927","issue":"6","language":"en","page":"869–878","title":"The differential impacts of Alzheimer’s dementia, head injury, and stroke on personality dysfunction","volume":"113","author":[{"family":"Golden","given":"Z."},{"family":"Golden","given":"C.J."}],"issued":{"date-parts":[["2003"]]}}}],"schema":"https://github.com/citation-style-language/schema/raw/master/csl-citation.json"}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Golden &amp; Golden</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09EB136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2003.2</w:t>
            </w:r>
          </w:p>
        </w:tc>
        <w:tc>
          <w:tcPr>
            <w:tcW w:w="1205" w:type="dxa"/>
            <w:noWrap/>
            <w:hideMark/>
          </w:tcPr>
          <w:p w14:paraId="1A54F2A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47ECAD2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Stroke n= 124. HI = 290. Dementia n= 66 ; Av 58.04yo, education = 12.67, mostly Caucasian but 80 African-Americans, Hispanics, or others. Av chronicity = 77.55 months</w:t>
            </w:r>
          </w:p>
        </w:tc>
        <w:tc>
          <w:tcPr>
            <w:tcW w:w="1052" w:type="dxa"/>
            <w:noWrap/>
            <w:hideMark/>
          </w:tcPr>
          <w:p w14:paraId="5DBC3F6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19D8F61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w:t>
            </w:r>
          </w:p>
        </w:tc>
        <w:tc>
          <w:tcPr>
            <w:tcW w:w="2444" w:type="dxa"/>
            <w:noWrap/>
            <w:hideMark/>
          </w:tcPr>
          <w:p w14:paraId="33656F2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MMPI</w:t>
            </w:r>
          </w:p>
        </w:tc>
        <w:tc>
          <w:tcPr>
            <w:tcW w:w="2036" w:type="dxa"/>
            <w:noWrap/>
            <w:hideMark/>
          </w:tcPr>
          <w:p w14:paraId="5565F7B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MMPI-2</w:t>
            </w:r>
          </w:p>
        </w:tc>
        <w:tc>
          <w:tcPr>
            <w:tcW w:w="1840" w:type="dxa"/>
            <w:noWrap/>
            <w:hideMark/>
          </w:tcPr>
          <w:p w14:paraId="43DE264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02C36351" w14:textId="77777777" w:rsidTr="00E611F1">
        <w:tc>
          <w:tcPr>
            <w:tcW w:w="490" w:type="dxa"/>
            <w:noWrap/>
            <w:hideMark/>
          </w:tcPr>
          <w:p w14:paraId="25F770C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44</w:t>
            </w:r>
          </w:p>
        </w:tc>
        <w:tc>
          <w:tcPr>
            <w:tcW w:w="1320" w:type="dxa"/>
            <w:noWrap/>
            <w:hideMark/>
          </w:tcPr>
          <w:p w14:paraId="20AD4B0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{"citationID":"PQnCBKew","properties":{"formattedCitation":"(Heinrich &amp; Junig, 2004a)","plainCitation":"(Heinrich &amp; Junig, 2004a)","dontUpdate":true,"noteIndex":0},"citationItems":[{"id":20632,"uris":["http://zotero.org/users/1471066/items/NLN9ENFX"],"itemData":{"id":20632,"type":"article-journal","container-title":"General Hospital Psychiatry","issue":"6","language":"en","page":"490–492","title":"Recurrent mania associated with repeated brain injury","volume":"26","author":[{"family":"Heinrich","given":"T.W."},{"family":"Junig","given":"J.T."}],"issued":{"date-parts":[["2004"]]}}}],"schema":"https://github.com/citation-style-language/schema/raw/master/csl-citation.json"}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Heinrich &amp; Junig</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323CD6B"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2004</w:t>
            </w:r>
          </w:p>
        </w:tc>
        <w:tc>
          <w:tcPr>
            <w:tcW w:w="1205" w:type="dxa"/>
            <w:noWrap/>
            <w:hideMark/>
          </w:tcPr>
          <w:p w14:paraId="7F8C4A1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4403A52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69yo</w:t>
            </w:r>
          </w:p>
        </w:tc>
        <w:tc>
          <w:tcPr>
            <w:tcW w:w="1052" w:type="dxa"/>
            <w:noWrap/>
            <w:hideMark/>
          </w:tcPr>
          <w:p w14:paraId="5AE4B88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1388766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75321E7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Post-injury: irritable, slightly elevated. Noted changes. Thought process was tangential and difficult to redirect at times.</w:t>
            </w:r>
          </w:p>
        </w:tc>
        <w:tc>
          <w:tcPr>
            <w:tcW w:w="2036" w:type="dxa"/>
            <w:noWrap/>
            <w:hideMark/>
          </w:tcPr>
          <w:p w14:paraId="1EC769B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Folstein Mini-Mental Status Examination</w:t>
            </w:r>
          </w:p>
        </w:tc>
        <w:tc>
          <w:tcPr>
            <w:tcW w:w="1840" w:type="dxa"/>
            <w:noWrap/>
            <w:hideMark/>
          </w:tcPr>
          <w:p w14:paraId="632E501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left-sided frontal bacute on chronic SDH with mild left frontal mass effect. A left frontal SDH and gliosis in the left orbitofrontal and left posterior basotemporal lobes along with the right occipital lobe (contra-coup injury). </w:t>
            </w:r>
          </w:p>
        </w:tc>
      </w:tr>
      <w:tr w:rsidR="00B10849" w:rsidRPr="00B10849" w14:paraId="7A4F977E" w14:textId="77777777" w:rsidTr="00E611F1">
        <w:tc>
          <w:tcPr>
            <w:tcW w:w="490" w:type="dxa"/>
            <w:noWrap/>
            <w:hideMark/>
          </w:tcPr>
          <w:p w14:paraId="1CC5CF8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45</w:t>
            </w:r>
          </w:p>
        </w:tc>
        <w:tc>
          <w:tcPr>
            <w:tcW w:w="1320" w:type="dxa"/>
            <w:noWrap/>
            <w:hideMark/>
          </w:tcPr>
          <w:p w14:paraId="6BB825B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{"citationID":"wDb9Q4hz","properties":{"formattedCitation":"(Wood &amp; Rutterford, 2004a)","plainCitation":"(Wood &amp; Rutterford, 2004a)","dontUpdate":true,"noteIndex":0},"citationItems":[{"id":26178,"uris":["http://zotero.org/users/1471066/items/9B225IX3"],"itemData":{"id":26178,"type":"article-journal","container-title":"Neuropsychological Rehabilitation","issue":"3","note":"ISBN: 0960-2011","page":"329-350","publisher":"Taylor &amp; Francis","title":"Relationships between measured cognitive ability and reported psychosocial activity after bilateral frontal lobe injury: An 18</w:instrText>
            </w:r>
            <w:r w:rsidRPr="00B10849">
              <w:rPr>
                <w:rFonts w:ascii="Cambria Math" w:eastAsia="Times New Roman" w:hAnsi="Cambria Math" w:cs="Cambria Math"/>
                <w:kern w:val="0"/>
                <w:sz w:val="18"/>
                <w:szCs w:val="18"/>
                <w:lang w:eastAsia="en-GB"/>
                <w14:ligatures w14:val="none"/>
              </w:rPr>
              <w:instrText>‐</w:instrText>
            </w:r>
            <w:r w:rsidRPr="00B10849">
              <w:rPr>
                <w:rFonts w:ascii="Aptos Narrow" w:eastAsia="Times New Roman" w:hAnsi="Aptos Narrow" w:cs="Times New Roman"/>
                <w:kern w:val="0"/>
                <w:sz w:val="18"/>
                <w:szCs w:val="18"/>
                <w:lang w:eastAsia="en-GB"/>
                <w14:ligatures w14:val="none"/>
              </w:rPr>
              <w:instrText>year follow</w:instrText>
            </w:r>
            <w:r w:rsidRPr="00B10849">
              <w:rPr>
                <w:rFonts w:ascii="Cambria Math" w:eastAsia="Times New Roman" w:hAnsi="Cambria Math" w:cs="Cambria Math"/>
                <w:kern w:val="0"/>
                <w:sz w:val="18"/>
                <w:szCs w:val="18"/>
                <w:lang w:eastAsia="en-GB"/>
                <w14:ligatures w14:val="none"/>
              </w:rPr>
              <w:instrText>‐</w:instrText>
            </w:r>
            <w:r w:rsidRPr="00B10849">
              <w:rPr>
                <w:rFonts w:ascii="Aptos Narrow" w:eastAsia="Times New Roman" w:hAnsi="Aptos Narrow" w:cs="Times New Roman"/>
                <w:kern w:val="0"/>
                <w:sz w:val="18"/>
                <w:szCs w:val="18"/>
                <w:lang w:eastAsia="en-GB"/>
                <w14:ligatures w14:val="none"/>
              </w:rPr>
              <w:instrText xml:space="preserve">up","volume":"14","author":[{"family":"Wood","given":"Rodger Ll"},{"family":"Rutterford","given":"Neil A."}],"issued":{"date-parts":[["2004"]]}}}],"schema":"https://github.com/citation-style-language/schema/raw/master/csl-citation.json"}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Wood &amp; Rutterford</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128CF2D8"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2004</w:t>
            </w:r>
          </w:p>
        </w:tc>
        <w:tc>
          <w:tcPr>
            <w:tcW w:w="1205" w:type="dxa"/>
            <w:noWrap/>
            <w:hideMark/>
          </w:tcPr>
          <w:p w14:paraId="444D160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5C52979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40yo, age inj=22</w:t>
            </w:r>
          </w:p>
        </w:tc>
        <w:tc>
          <w:tcPr>
            <w:tcW w:w="1052" w:type="dxa"/>
            <w:noWrap/>
            <w:hideMark/>
          </w:tcPr>
          <w:p w14:paraId="678DF9D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4CB63DE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067121A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Pre-injury: quiet, mild mannered person. Post-injury: disorientated, restless, and agitated. Post-operatively, more outspoken, less agitation, bright, cheerful and articulate. 9months: Irritability, agitation, poor concentration, difficulty with memory, inordinate fatigue, lethargy, and a poor sleep pattern. 15 months: extraverted, tiredness. lacked inhibition and social judgement, told socially inappropriate jokes or comments.</w:t>
            </w:r>
          </w:p>
        </w:tc>
        <w:tc>
          <w:tcPr>
            <w:tcW w:w="2036" w:type="dxa"/>
            <w:noWrap/>
            <w:hideMark/>
          </w:tcPr>
          <w:p w14:paraId="3D25DF7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WCST</w:t>
            </w:r>
          </w:p>
        </w:tc>
        <w:tc>
          <w:tcPr>
            <w:tcW w:w="1840" w:type="dxa"/>
            <w:noWrap/>
            <w:hideMark/>
          </w:tcPr>
          <w:p w14:paraId="70FB78A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Bifrontal damage. Walls of the frontal sinuses were extensively fractured, with damage to the ethmoidal complex and right orbital wall. Breach in the dura near the midline on the left side. Cerebrospinal fluid rhinorrhoea was present.</w:t>
            </w:r>
          </w:p>
        </w:tc>
      </w:tr>
      <w:tr w:rsidR="00B10849" w:rsidRPr="00B10849" w14:paraId="04468D45" w14:textId="77777777" w:rsidTr="00E611F1">
        <w:tc>
          <w:tcPr>
            <w:tcW w:w="490" w:type="dxa"/>
            <w:noWrap/>
            <w:hideMark/>
          </w:tcPr>
          <w:p w14:paraId="5A73C94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46</w:t>
            </w:r>
          </w:p>
        </w:tc>
        <w:tc>
          <w:tcPr>
            <w:tcW w:w="1320" w:type="dxa"/>
            <w:noWrap/>
            <w:hideMark/>
          </w:tcPr>
          <w:p w14:paraId="26FCFF5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{"citationID":"uD51Zjb0","properties":{"formattedCitation":"(Chang et al., 2006a)","plainCitation":"(Chang et al., 2006a)","dontUpdate":true,"noteIndex":0},"citationItems":[{"id":20598,"uris":["http://zotero.org/users/1471066/items/P8FEXX9S"],"itemData":{"id":20598,"type":"article-journal","container-title":"Journal of the Formosan Medical Association","DOI":"10.1016/S0929-6646(09)60341-7","issue":"2","language":"en","page":"172–176","title":"Neuropsychiatric disturbances and hypopituitarism after traumatic brain injury in an elderly man","volume":"105","author":[{"family":"Chang","given":"Y.C."},{"family":"Tsai","given":"J.C."},{"family":"Tseng","given":"F.Y."}],"issued":{"date-parts":[["2006"]]}}}],"schema":"https://github.com/citation-style-language/schema/raw/master/csl-citation.json"}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Chang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2DD351A"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2006</w:t>
            </w:r>
          </w:p>
        </w:tc>
        <w:tc>
          <w:tcPr>
            <w:tcW w:w="1205" w:type="dxa"/>
            <w:noWrap/>
            <w:hideMark/>
          </w:tcPr>
          <w:p w14:paraId="0B4B07A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5870758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77yo</w:t>
            </w:r>
          </w:p>
        </w:tc>
        <w:tc>
          <w:tcPr>
            <w:tcW w:w="1052" w:type="dxa"/>
            <w:noWrap/>
            <w:hideMark/>
          </w:tcPr>
          <w:p w14:paraId="6D59347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Taiwan</w:t>
            </w:r>
          </w:p>
        </w:tc>
        <w:tc>
          <w:tcPr>
            <w:tcW w:w="1892" w:type="dxa"/>
            <w:noWrap/>
            <w:hideMark/>
          </w:tcPr>
          <w:p w14:paraId="123EF8E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Fall</w:t>
            </w:r>
          </w:p>
        </w:tc>
        <w:tc>
          <w:tcPr>
            <w:tcW w:w="2444" w:type="dxa"/>
            <w:noWrap/>
            <w:hideMark/>
          </w:tcPr>
          <w:p w14:paraId="14DF5B9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Change in personality characterized by bad temper, disturbed sleep patterns, easily fatigue ability and poor appetite</w:t>
            </w:r>
          </w:p>
        </w:tc>
        <w:tc>
          <w:tcPr>
            <w:tcW w:w="2036" w:type="dxa"/>
            <w:noWrap/>
            <w:hideMark/>
          </w:tcPr>
          <w:p w14:paraId="57CA312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Glasgow Coma Scale</w:t>
            </w:r>
          </w:p>
        </w:tc>
        <w:tc>
          <w:tcPr>
            <w:tcW w:w="1840" w:type="dxa"/>
            <w:noWrap/>
            <w:hideMark/>
          </w:tcPr>
          <w:p w14:paraId="02CCC24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mild subdural effusion in bilateral frontotemporal areas. Cerebrospinal fluid was normal. Biochemistry studies showed only mild hyponatremia and mild hypokalemia</w:t>
            </w:r>
          </w:p>
        </w:tc>
      </w:tr>
      <w:tr w:rsidR="00B10849" w:rsidRPr="00B10849" w14:paraId="7646F6D9" w14:textId="77777777" w:rsidTr="00E611F1">
        <w:tc>
          <w:tcPr>
            <w:tcW w:w="490" w:type="dxa"/>
            <w:noWrap/>
            <w:hideMark/>
          </w:tcPr>
          <w:p w14:paraId="21A63144"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47</w:t>
            </w:r>
          </w:p>
        </w:tc>
        <w:tc>
          <w:tcPr>
            <w:tcW w:w="1320" w:type="dxa"/>
            <w:noWrap/>
            <w:hideMark/>
          </w:tcPr>
          <w:p w14:paraId="7FBCB3B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{"citationID":"pSDkQdTo","properties":{"formattedCitation":"(O\\uc0\\u8217{}Gorman, 2006a)","plainCitation":"(O’Gorman, 2006a)","dontUpdate":true,"noteIndex":0},"citationItems":[{"id":20680,"uris":["http://zotero.org/users/1471066/items/SY5JN8GU"],"itemData":{"id":20680,"type":"article-journal","container-title":"Psychodynamic Practice","DOI":"10.1080/14753630600644516","issue":"2","language":"en","page":"133–148","title":"Two accidents - One survivor: Neurological and narcissistic damage following traumatic brain injury","volume":"12","author":[{"family":"O’Gorman","given":"M.P."}],"issued":{"date-parts":[["2006"]]}}}],"schema":"https://github.com/citation-style-language/schema/raw/master/csl-citation.json"}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cs="Times New Roman"/>
                <w:kern w:val="0"/>
                <w:sz w:val="18"/>
              </w:rPr>
              <w:t>O’Gorman</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05476304"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2006</w:t>
            </w:r>
          </w:p>
        </w:tc>
        <w:tc>
          <w:tcPr>
            <w:tcW w:w="1205" w:type="dxa"/>
            <w:noWrap/>
            <w:hideMark/>
          </w:tcPr>
          <w:p w14:paraId="1EAE3F2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1DB8DB6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w:t>
            </w:r>
          </w:p>
        </w:tc>
        <w:tc>
          <w:tcPr>
            <w:tcW w:w="1052" w:type="dxa"/>
            <w:noWrap/>
            <w:hideMark/>
          </w:tcPr>
          <w:p w14:paraId="57C61FB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66BC724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6678AE6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Pre-injury: laid back, easy–going, creative.; Post-injury: Frightening dreams, angry outbursts, out of control emotionally.</w:t>
            </w:r>
          </w:p>
        </w:tc>
        <w:tc>
          <w:tcPr>
            <w:tcW w:w="2036" w:type="dxa"/>
            <w:noWrap/>
            <w:hideMark/>
          </w:tcPr>
          <w:p w14:paraId="3EC6E65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6F7F009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cerebral contusions – in both frontal lobes and brainstem areas of the brain</w:t>
            </w:r>
          </w:p>
        </w:tc>
      </w:tr>
      <w:tr w:rsidR="00B10849" w:rsidRPr="00B10849" w14:paraId="60DC0844" w14:textId="77777777" w:rsidTr="00E611F1">
        <w:tc>
          <w:tcPr>
            <w:tcW w:w="490" w:type="dxa"/>
            <w:noWrap/>
            <w:hideMark/>
          </w:tcPr>
          <w:p w14:paraId="1B78DA0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48</w:t>
            </w:r>
          </w:p>
        </w:tc>
        <w:tc>
          <w:tcPr>
            <w:tcW w:w="1320" w:type="dxa"/>
            <w:noWrap/>
            <w:hideMark/>
          </w:tcPr>
          <w:p w14:paraId="0651B18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{"citationID":"D2pznMT0","properties":{"formattedCitation":"(Rush et al., 2006)","plainCitation":"(Rush et al., 2006)","dontUpdate":true,"noteIndex":0},"citationItems":[{"id":20707,"uris":["http://zotero.org/users/1471066/items/8MA3I6Y7"],"itemData":{"id":20707,"type":"article-journal","container-title":"Rehabilitation Psychology","DOI":"10.1037/0090-5550.51.3.257","issue":"3","language":"en","page":"257–264","title":"Personality and functional outcome following traumatic brain injury","volume":"51","author":[{"family":"Rush","given":"B.K."},{"family":"Malec","given":"J.F."},{"family":"Brown","given":"A.W."},{"family":"Moessne","given":"A.M."}],"issued":{"date-parts":[["2006"]]}}}],"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Rush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0714B0EF"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2006</w:t>
            </w:r>
          </w:p>
        </w:tc>
        <w:tc>
          <w:tcPr>
            <w:tcW w:w="1205" w:type="dxa"/>
            <w:noWrap/>
            <w:hideMark/>
          </w:tcPr>
          <w:p w14:paraId="3FD4845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56E5A3F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n=90, mTBI=20; Mod-SevTBI= 39; C=3. Ax Data= 38-56 days post-inj, 1-2yr follow up= 391-442 days post-inj</w:t>
            </w:r>
          </w:p>
        </w:tc>
        <w:tc>
          <w:tcPr>
            <w:tcW w:w="1052" w:type="dxa"/>
            <w:noWrap/>
            <w:hideMark/>
          </w:tcPr>
          <w:p w14:paraId="42D03AE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4971B47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w:t>
            </w:r>
          </w:p>
        </w:tc>
        <w:tc>
          <w:tcPr>
            <w:tcW w:w="2444" w:type="dxa"/>
            <w:noWrap/>
            <w:hideMark/>
          </w:tcPr>
          <w:p w14:paraId="2A26458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NEO-PI-R</w:t>
            </w:r>
          </w:p>
        </w:tc>
        <w:tc>
          <w:tcPr>
            <w:tcW w:w="2036" w:type="dxa"/>
            <w:noWrap/>
            <w:hideMark/>
          </w:tcPr>
          <w:p w14:paraId="19461A4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NEO-PI-R (personality), GCS; GOAT; MPAI; ILS; VIS.</w:t>
            </w:r>
          </w:p>
        </w:tc>
        <w:tc>
          <w:tcPr>
            <w:tcW w:w="1840" w:type="dxa"/>
            <w:noWrap/>
            <w:hideMark/>
          </w:tcPr>
          <w:p w14:paraId="316A94D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0060656E" w14:textId="77777777" w:rsidTr="00E611F1">
        <w:tc>
          <w:tcPr>
            <w:tcW w:w="490" w:type="dxa"/>
            <w:noWrap/>
            <w:hideMark/>
          </w:tcPr>
          <w:p w14:paraId="7435F99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49</w:t>
            </w:r>
          </w:p>
        </w:tc>
        <w:tc>
          <w:tcPr>
            <w:tcW w:w="1320" w:type="dxa"/>
            <w:noWrap/>
            <w:hideMark/>
          </w:tcPr>
          <w:p w14:paraId="55B4C40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{"citationID":"GhjGIcv6","properties":{"formattedCitation":"(R. A. Weddell &amp; Leggett, 2006a)","plainCitation":"(R. A. Weddell &amp; Leggett, 2006a)","dontUpdate":true,"noteIndex":0},"citationItems":[{"id":20727,"uris":["http://zotero.org/users/1471066/items/WKPRCHII"],"itemData":{"id":20727,"type":"article-journal","container-title":"Brain Injury","DOI":"10.1080/02699050601049783","issue":"12","language":"en","page":"1221–1234","title":"Factors triggering relatives’ judgements of personality change after traumatic brain injury","volume":"20","author":[{"family":"Weddell","given":"R.A."},{"family":"Leggett","given":"J.A."}],"issued":{"date-parts":[["2006"]]}}}],"schema":"https://github.com/citation-style-language/schema/raw/master/csl-citation.json"}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Weddell &amp; Leggett</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12D07CB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2006</w:t>
            </w:r>
          </w:p>
        </w:tc>
        <w:tc>
          <w:tcPr>
            <w:tcW w:w="1205" w:type="dxa"/>
            <w:noWrap/>
            <w:hideMark/>
          </w:tcPr>
          <w:p w14:paraId="634E036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42E453D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 87; M=71; age=?</w:t>
            </w:r>
          </w:p>
        </w:tc>
        <w:tc>
          <w:tcPr>
            <w:tcW w:w="1052" w:type="dxa"/>
            <w:noWrap/>
            <w:hideMark/>
          </w:tcPr>
          <w:p w14:paraId="4C7224E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51FE365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Severe TBI=72; Mild TBI=15</w:t>
            </w:r>
          </w:p>
        </w:tc>
        <w:tc>
          <w:tcPr>
            <w:tcW w:w="2444" w:type="dxa"/>
            <w:noWrap/>
            <w:hideMark/>
          </w:tcPr>
          <w:p w14:paraId="2077769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noPC (n = 24), PC? (n = 9) and yesPC (n = 54)</w:t>
            </w:r>
          </w:p>
        </w:tc>
        <w:tc>
          <w:tcPr>
            <w:tcW w:w="2036" w:type="dxa"/>
            <w:noWrap/>
            <w:hideMark/>
          </w:tcPr>
          <w:p w14:paraId="220CF6D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 WAIS; WMS; UPSIT; STA; ZDS; GHQ-28</w:t>
            </w:r>
          </w:p>
        </w:tc>
        <w:tc>
          <w:tcPr>
            <w:tcW w:w="1840" w:type="dxa"/>
            <w:noWrap/>
            <w:hideMark/>
          </w:tcPr>
          <w:p w14:paraId="66665F3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orbitofrontal and/or medial temporal damage</w:t>
            </w:r>
          </w:p>
        </w:tc>
      </w:tr>
      <w:tr w:rsidR="00B10849" w:rsidRPr="00B10849" w14:paraId="35C6EFE4" w14:textId="77777777" w:rsidTr="00E611F1">
        <w:tc>
          <w:tcPr>
            <w:tcW w:w="490" w:type="dxa"/>
            <w:noWrap/>
            <w:hideMark/>
          </w:tcPr>
          <w:p w14:paraId="0D1FDE44"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50</w:t>
            </w:r>
          </w:p>
        </w:tc>
        <w:tc>
          <w:tcPr>
            <w:tcW w:w="1320" w:type="dxa"/>
            <w:noWrap/>
            <w:hideMark/>
          </w:tcPr>
          <w:p w14:paraId="1A9E9E1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{"citationID":"F1RbXQ2w","properties":{"formattedCitation":"(Demakis et al., 2007a)","plainCitation":"(Demakis et al., 2007a)","dontUpdate":true,"noteIndex":0},"citationItems":[{"id":20608,"uris":["http://zotero.org/users/1471066/items/72YK3GBA"],"itemData":{"id":20608,"type":"article-journal","container-title":"Archives of Clinical Neuropsychology","DOI":"10.1016/j.acn.2006.09.004","issue":"1","language":"en","page":"123–130","title":"The Personality Assessment Inventory in individuals with Traumatic Brain Injury","volume":"22","author":[{"family":"Demakis","given":"G.J."},{"family":"Hammond","given":"F."},{"family":"Knotts","given":"A."},{"family":"Cooper","given":"D.B."},{"family":"Clement","given":"P."},{"family":"Kennedy","given":"J."},{"family":"Sawyer","given":"T."}],"issued":{"date-parts":[["2007"]]}}}],"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Demakis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224845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2007</w:t>
            </w:r>
          </w:p>
        </w:tc>
        <w:tc>
          <w:tcPr>
            <w:tcW w:w="1205" w:type="dxa"/>
            <w:noWrap/>
            <w:hideMark/>
          </w:tcPr>
          <w:p w14:paraId="5DF6931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57762E2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Combined= 95, age=33.4, edu=12.5, m=82.1%, w=72%; Rehab =60, age=36.8, edu=12.4y, m=73.3%, w=80%; Military= 35, age=27.5, edu=12.5, m=97.1%, w=57%</w:t>
            </w:r>
          </w:p>
        </w:tc>
        <w:tc>
          <w:tcPr>
            <w:tcW w:w="1052" w:type="dxa"/>
            <w:noWrap/>
            <w:hideMark/>
          </w:tcPr>
          <w:p w14:paraId="6BD5629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7434EFB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Rehab: RTA=73%, falls=15%, other=12%. Military: blast=57%, other =43%</w:t>
            </w:r>
          </w:p>
        </w:tc>
        <w:tc>
          <w:tcPr>
            <w:tcW w:w="2444" w:type="dxa"/>
            <w:noWrap/>
            <w:hideMark/>
          </w:tcPr>
          <w:p w14:paraId="2DDCE87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PAI</w:t>
            </w:r>
          </w:p>
        </w:tc>
        <w:tc>
          <w:tcPr>
            <w:tcW w:w="2036" w:type="dxa"/>
            <w:noWrap/>
            <w:hideMark/>
          </w:tcPr>
          <w:p w14:paraId="0ECF04D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PAI</w:t>
            </w:r>
          </w:p>
        </w:tc>
        <w:tc>
          <w:tcPr>
            <w:tcW w:w="1840" w:type="dxa"/>
            <w:noWrap/>
            <w:hideMark/>
          </w:tcPr>
          <w:p w14:paraId="36FA276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3B5C0EAE" w14:textId="77777777" w:rsidTr="00E611F1">
        <w:tc>
          <w:tcPr>
            <w:tcW w:w="490" w:type="dxa"/>
            <w:noWrap/>
            <w:hideMark/>
          </w:tcPr>
          <w:p w14:paraId="2BEDC44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51</w:t>
            </w:r>
          </w:p>
        </w:tc>
        <w:tc>
          <w:tcPr>
            <w:tcW w:w="1320" w:type="dxa"/>
            <w:noWrap/>
            <w:hideMark/>
          </w:tcPr>
          <w:p w14:paraId="5B8F0E4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{"citationID":"UrqwfyAB","properties":{"formattedCitation":"(Handel et al., 2007a)","plainCitation":"(Handel et al., 2007a)","dontUpdate":true,"noteIndex":0},"citationItems":[{"id":20630,"uris":["http://zotero.org/users/1471066/items/DJ9AC9LH"],"itemData":{"id":20630,"type":"article-journal","container-title":"Psychosomatics","DOI":"10.1176/appi.psy.48.1.67","issue":"1","language":"en","page":"67–70","title":"Affective disorder and personality change in a patient with traumatic brain injury","volume":"48","author":[{"family":"Handel","given":"S.F."},{"family":"Ovitt","given":"L."},{"family":"Spiro","given":"J.R."},{"family":"Rao","given":"V."}],"issued":{"date-parts":[["2007"]]}}}],"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Handel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1A23FF7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2007</w:t>
            </w:r>
          </w:p>
        </w:tc>
        <w:tc>
          <w:tcPr>
            <w:tcW w:w="1205" w:type="dxa"/>
            <w:noWrap/>
            <w:hideMark/>
          </w:tcPr>
          <w:p w14:paraId="720BE56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4D6D49B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58yo</w:t>
            </w:r>
          </w:p>
        </w:tc>
        <w:tc>
          <w:tcPr>
            <w:tcW w:w="1052" w:type="dxa"/>
            <w:noWrap/>
            <w:hideMark/>
          </w:tcPr>
          <w:p w14:paraId="74B2818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7F209FF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21A4B08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Post-injury: Withdrawn, excessively worried about money, nihilistic delusions about his lack of resources and convictions about impoverishment. Decline in mood, sleep, appetite, interest in self-care, and participation in daily activities. Stopped working.</w:t>
            </w:r>
          </w:p>
        </w:tc>
        <w:tc>
          <w:tcPr>
            <w:tcW w:w="2036" w:type="dxa"/>
            <w:noWrap/>
            <w:hideMark/>
          </w:tcPr>
          <w:p w14:paraId="4613F12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WAIS</w:t>
            </w:r>
          </w:p>
        </w:tc>
        <w:tc>
          <w:tcPr>
            <w:tcW w:w="1840" w:type="dxa"/>
            <w:noWrap/>
            <w:hideMark/>
          </w:tcPr>
          <w:p w14:paraId="0616FFB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subarachnoid hemorrhage, primarily involving the left fronto-parietal regions</w:t>
            </w:r>
          </w:p>
        </w:tc>
      </w:tr>
      <w:tr w:rsidR="00B10849" w:rsidRPr="00B10849" w14:paraId="0C2229E1" w14:textId="77777777" w:rsidTr="00E611F1">
        <w:tc>
          <w:tcPr>
            <w:tcW w:w="490" w:type="dxa"/>
            <w:noWrap/>
            <w:hideMark/>
          </w:tcPr>
          <w:p w14:paraId="55ABF9D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52</w:t>
            </w:r>
          </w:p>
        </w:tc>
        <w:tc>
          <w:tcPr>
            <w:tcW w:w="1320" w:type="dxa"/>
            <w:noWrap/>
            <w:hideMark/>
          </w:tcPr>
          <w:p w14:paraId="419C4B4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{"citationID":"QCrhM9bH","properties":{"formattedCitation":"(Obonsawin, Jefferis, Lowe, Crawford, Fernandes, Holland, &amp; Bowie, 2007)","plainCitation":"(Obonsawin, Jefferis, Lowe, Crawford, Fernandes, Holland, &amp; Bowie, 2007)","dontUpdate":true,"noteIndex":0},"citationItems":[{"id":20682,"uris":["http://zotero.org/users/1471066/items/6G3Q3C2Y"],"itemData":{"id":20682,"type":"article-journal","container-title":"Journal of Neurology, Neurosurgery &amp; Psychiatry","DOI":"10.1136/jnnp.2004.052654","issue":"11","language":"en","page":"1239–1247","title":"A model of personality change after traumatic brain injury and the development of the Brain Injury Personality Scales","volume":"78","author":[{"family":"Obonsawin","given":"M.C."},{"family":"Jefferis","given":"S."},{"family":"Lowe","given":"R."},{"family":"Crawford","given":"J.R."},{"family":"Fernandes","given":"J."},{"family":"Holland","given":"L."},{"family":"Bowie","given":"G."}],"issued":{"date-parts":[["2007"]]}}}],"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Obonsawin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2401AA88"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2007</w:t>
            </w:r>
          </w:p>
        </w:tc>
        <w:tc>
          <w:tcPr>
            <w:tcW w:w="1205" w:type="dxa"/>
            <w:noWrap/>
            <w:hideMark/>
          </w:tcPr>
          <w:p w14:paraId="6EF7E9E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37D58CE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TBI=184, m=152, age=35.2, age inj=28.8; C=87, m=57, age=35.8</w:t>
            </w:r>
          </w:p>
        </w:tc>
        <w:tc>
          <w:tcPr>
            <w:tcW w:w="1052" w:type="dxa"/>
            <w:noWrap/>
            <w:hideMark/>
          </w:tcPr>
          <w:p w14:paraId="168C2E8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1AE2918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00F55AE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123 personality characteristics gathered from (1) literature on TBI, (2) personality assessment scales, (3) rehabilitation staff (4) clients (5) the Scale for the Assessment of Negative Symptoms14 and the Scale for the Assessment of Positive Symptoms,15 and (6) literature on personality disorder.</w:t>
            </w:r>
          </w:p>
        </w:tc>
        <w:tc>
          <w:tcPr>
            <w:tcW w:w="2036" w:type="dxa"/>
            <w:noWrap/>
            <w:hideMark/>
          </w:tcPr>
          <w:p w14:paraId="5FAE3E7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 SANS; SPNS</w:t>
            </w:r>
          </w:p>
        </w:tc>
        <w:tc>
          <w:tcPr>
            <w:tcW w:w="1840" w:type="dxa"/>
            <w:noWrap/>
            <w:hideMark/>
          </w:tcPr>
          <w:p w14:paraId="3A9F4B8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1C1550F3" w14:textId="77777777" w:rsidTr="00E611F1">
        <w:tc>
          <w:tcPr>
            <w:tcW w:w="490" w:type="dxa"/>
            <w:noWrap/>
            <w:hideMark/>
          </w:tcPr>
          <w:p w14:paraId="15AD656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53</w:t>
            </w:r>
          </w:p>
        </w:tc>
        <w:tc>
          <w:tcPr>
            <w:tcW w:w="1320" w:type="dxa"/>
            <w:noWrap/>
            <w:hideMark/>
          </w:tcPr>
          <w:p w14:paraId="38189B0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{"citationID":"vjDImz1A","properties":{"formattedCitation":"(Ruocco et al., 2007a)","plainCitation":"(Ruocco et al., 2007a)","dontUpdate":true,"noteIndex":0},"citationItems":[{"id":20706,"uris":["http://zotero.org/users/1471066/items/2VJ5GQWF"],"itemData":{"id":20706,"type":"article-journal","container-title":"Brain Injury","DOI":"10.1080/02699050701716919","issue":"12","language":"en","page":"1233–1244","title":"Assessing personality and psychopathology after traumatic brain injury with the Millon Clinical Multiaxial Inventory-III","volume":"21","author":[{"family":"Ruocco","given":"A.C."},{"family":"Swirsky-Sacchetti","given":"T."},{"family":"Choca","given":"J.P."}],"issued":{"date-parts":[["2007"]]}}}],"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Ruocco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2301321E"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2007</w:t>
            </w:r>
          </w:p>
        </w:tc>
        <w:tc>
          <w:tcPr>
            <w:tcW w:w="1205" w:type="dxa"/>
            <w:noWrap/>
            <w:hideMark/>
          </w:tcPr>
          <w:p w14:paraId="7FEC6E0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control</w:t>
            </w:r>
          </w:p>
        </w:tc>
        <w:tc>
          <w:tcPr>
            <w:tcW w:w="2170" w:type="dxa"/>
            <w:noWrap/>
            <w:hideMark/>
          </w:tcPr>
          <w:p w14:paraId="2C47020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Total=462; TBI=231, age=40.6, edu=13.6yrs, m=128; Psychiatric=231, age=40.9, m=128, W=87, AA=29, H=11, A=3, edu=13.6</w:t>
            </w:r>
          </w:p>
        </w:tc>
        <w:tc>
          <w:tcPr>
            <w:tcW w:w="1052" w:type="dxa"/>
            <w:noWrap/>
            <w:hideMark/>
          </w:tcPr>
          <w:p w14:paraId="3B25929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2B75B91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 =74.8%, falls =11%, blows to the head =10.6%, physical assault =2.2%, aircraft crash =1.3%. mildTBI=84%, moderateTBI=16%</w:t>
            </w:r>
          </w:p>
        </w:tc>
        <w:tc>
          <w:tcPr>
            <w:tcW w:w="2444" w:type="dxa"/>
            <w:noWrap/>
            <w:hideMark/>
          </w:tcPr>
          <w:p w14:paraId="5E49B7F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MCMI</w:t>
            </w:r>
          </w:p>
        </w:tc>
        <w:tc>
          <w:tcPr>
            <w:tcW w:w="2036" w:type="dxa"/>
            <w:noWrap/>
            <w:hideMark/>
          </w:tcPr>
          <w:p w14:paraId="4D22483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MCMI</w:t>
            </w:r>
          </w:p>
        </w:tc>
        <w:tc>
          <w:tcPr>
            <w:tcW w:w="1840" w:type="dxa"/>
            <w:noWrap/>
            <w:hideMark/>
          </w:tcPr>
          <w:p w14:paraId="3738E0D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5583E7AB" w14:textId="77777777" w:rsidTr="00E611F1">
        <w:tc>
          <w:tcPr>
            <w:tcW w:w="490" w:type="dxa"/>
            <w:noWrap/>
            <w:hideMark/>
          </w:tcPr>
          <w:p w14:paraId="78CF356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54</w:t>
            </w:r>
          </w:p>
        </w:tc>
        <w:tc>
          <w:tcPr>
            <w:tcW w:w="1320" w:type="dxa"/>
            <w:noWrap/>
            <w:hideMark/>
          </w:tcPr>
          <w:p w14:paraId="4040499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{"citationID":"GxPVQ9X0","properties":{"formattedCitation":"(Corrigan &amp; and Deutschle Jr, 2008)","plainCitation":"(Corrigan &amp; and Deutschle Jr, 2008)","dontUpdate":true,"noteIndex":0},"citationItems":[{"id":20733,"uris":["http://zotero.org/users/1471066/items/UTNTJ5RH"],"itemData":{"id":20733,"type":"article-journal","abstract":"Objectives: To compare diagnostic and treatment-related differences between persons participating in treatment for dually diagnosed substance use disorders and severe mental illness who have or do not have a history of traumatic brain injury (TBI). Design: Prospective cohort. Interventions: Not applicable. Primary measures: Demographic information, diagnostic data, pre-treatment status, treatment participation and staff assessment of functioning. Results: Seventy-two percent of participants in treatment for dually diagnosed substance use disorders and severe mental illness reported a history of at least one TBI. Participants with TBI had greater morbidity as reflected in more complex psychiatric diagnoses and greater likelihood of being diagnosed with an Axis II personality disorder. Participants with a TBI showed tendencies toward earlier onset of substance use and worse current functioning. Both a greater number of injuries and earlier age at first TBI showed some indications of being associated with worse morbidity. Conclusions: Individuals dually diagnosed with substance use disorders and severe mental illness may have a high rate of TBI, which in turn could contribute to important clinical and treatment differences. Results also suggested the need for validated methods of identifying aspects of a prior history of TBI that provide more information than presence/absence.","container-title":"Brain Injury","DOI":"10.1080/02699050801938967","ISSN":"0269-9052","issue":"3","note":"_eprint: https://doi.org/10.1080/02699050801938967","page":"223-231","PMID":"18297594","publisher":"Taylor &amp; Francis","source":"Taylor and Francis+NEJM","title":"The presence and impact of traumatic brain injury among clients in treatment for co-occurring mental illness and substance abuse","volume":"22","author":[{"family":"Corrigan","given":"John D."},{"family":"Deutschle Jr","given":"James J.","non-dropping-particle":"and"}],"issued":{"date-parts":[["2008",1,1]]}}}],"schema":"https://github.com/citation-style-language/schema/raw/master/csl-citation.json"}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Corrigan &amp; Deutschle</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7D54274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2008</w:t>
            </w:r>
          </w:p>
        </w:tc>
        <w:tc>
          <w:tcPr>
            <w:tcW w:w="1205" w:type="dxa"/>
            <w:noWrap/>
            <w:hideMark/>
          </w:tcPr>
          <w:p w14:paraId="2072DD0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7197200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n=50; m=31, w=92%, age=37.5; less than high school diploma=44%, 42% = diploma or GED; 14% = college or advanced training. </w:t>
            </w:r>
          </w:p>
        </w:tc>
        <w:tc>
          <w:tcPr>
            <w:tcW w:w="1052" w:type="dxa"/>
            <w:noWrap/>
            <w:hideMark/>
          </w:tcPr>
          <w:p w14:paraId="4DB574E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4551B3C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COFD item = ‘Have you ever hurt your head or had a head injury that resulted in being knocked out or being taken to the hospital?’</w:t>
            </w:r>
          </w:p>
        </w:tc>
        <w:tc>
          <w:tcPr>
            <w:tcW w:w="2444" w:type="dxa"/>
            <w:noWrap/>
            <w:hideMark/>
          </w:tcPr>
          <w:p w14:paraId="6A6AC38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Axis II Personality disorder diagnoses. Borderline personality disorder TBI=4 (11%), nonTBI=0 (0%); Antisocial personality disorder TBI=2 (6%), nonTBI=0 (0%); Personality disorder. NOS TBI=3 (8%), nonTBI=0 (0%); Any personality disorder TBI=9 (25%), nonTBI=0 (0%)</w:t>
            </w:r>
          </w:p>
        </w:tc>
        <w:tc>
          <w:tcPr>
            <w:tcW w:w="2036" w:type="dxa"/>
            <w:noWrap/>
            <w:hideMark/>
          </w:tcPr>
          <w:p w14:paraId="1CDC74B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COFD</w:t>
            </w:r>
          </w:p>
        </w:tc>
        <w:tc>
          <w:tcPr>
            <w:tcW w:w="1840" w:type="dxa"/>
            <w:noWrap/>
            <w:hideMark/>
          </w:tcPr>
          <w:p w14:paraId="5075E2A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p>
        </w:tc>
      </w:tr>
      <w:tr w:rsidR="00B10849" w:rsidRPr="00B10849" w14:paraId="3CA6D84A" w14:textId="77777777" w:rsidTr="00E611F1">
        <w:tc>
          <w:tcPr>
            <w:tcW w:w="490" w:type="dxa"/>
            <w:noWrap/>
            <w:hideMark/>
          </w:tcPr>
          <w:p w14:paraId="405B7944"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55</w:t>
            </w:r>
          </w:p>
        </w:tc>
        <w:tc>
          <w:tcPr>
            <w:tcW w:w="1320" w:type="dxa"/>
            <w:noWrap/>
            <w:hideMark/>
          </w:tcPr>
          <w:p w14:paraId="1047FFF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{"citationID":"1Zb8IWfN","properties":{"formattedCitation":"(Namiki et al., 2008a)","plainCitation":"(Namiki et al., 2008a)","dontUpdate":true,"noteIndex":0},"citationItems":[{"id":20672,"uris":["http://zotero.org/users/1471066/items/HGA8T7HE"],"itemData":{"id":20672,"type":"article-journal","container-title":"Neurocase (Taylor &amp; Francis Ltd","DOI":"10.1080/13554790802459494","issue":"6","language":"en","page":"474–479","title":"Small orbitofrontal traumatic lesions detected by high resolution MRI in a patient with major behavioural changes","volume":"14","author":[{"family":"Namiki","given":"C."},{"family":"Yamada","given":"M."},{"family":"Yoshida","given":"H."},{"family":"Hanakawa","given":"T."},{"family":"Fukuyama","given":"H."},{"family":"Murai","given":"T."}],"issued":{"date-parts":[["2008"]]}}}],"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Namiki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534886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2008</w:t>
            </w:r>
          </w:p>
        </w:tc>
        <w:tc>
          <w:tcPr>
            <w:tcW w:w="1205" w:type="dxa"/>
            <w:noWrap/>
            <w:hideMark/>
          </w:tcPr>
          <w:p w14:paraId="3B614B5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1E94B28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54yo (inj @53)</w:t>
            </w:r>
          </w:p>
        </w:tc>
        <w:tc>
          <w:tcPr>
            <w:tcW w:w="1052" w:type="dxa"/>
            <w:noWrap/>
            <w:hideMark/>
          </w:tcPr>
          <w:p w14:paraId="4991E86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Japan</w:t>
            </w:r>
          </w:p>
        </w:tc>
        <w:tc>
          <w:tcPr>
            <w:tcW w:w="1892" w:type="dxa"/>
            <w:noWrap/>
            <w:hideMark/>
          </w:tcPr>
          <w:p w14:paraId="7D8D2E2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2C2F6DC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Post-injury: disinhibition relating to impulsivity and sexual matters. Easily angered or irritated, emotional outbursts, makes inappropriate sexual comments and advances, is too flirtatious, is hyperactive and unable to sit still.</w:t>
            </w:r>
          </w:p>
        </w:tc>
        <w:tc>
          <w:tcPr>
            <w:tcW w:w="2036" w:type="dxa"/>
            <w:noWrap/>
            <w:hideMark/>
          </w:tcPr>
          <w:p w14:paraId="3292166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FrSBS, WAIS, WMS, BFRT, WCST, BADS</w:t>
            </w:r>
          </w:p>
        </w:tc>
        <w:tc>
          <w:tcPr>
            <w:tcW w:w="1840" w:type="dxa"/>
            <w:noWrap/>
            <w:hideMark/>
          </w:tcPr>
          <w:p w14:paraId="2973058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Ambiguous findings in the orbitofrontal cortex area were found when using the MRI, EEG or SPECT with N-isopropyl-p-[123I] iodoamphetamine (IMP).</w:t>
            </w:r>
          </w:p>
        </w:tc>
      </w:tr>
      <w:tr w:rsidR="00B10849" w:rsidRPr="00B10849" w14:paraId="02A3A955" w14:textId="77777777" w:rsidTr="00E611F1">
        <w:tc>
          <w:tcPr>
            <w:tcW w:w="490" w:type="dxa"/>
            <w:noWrap/>
            <w:hideMark/>
          </w:tcPr>
          <w:p w14:paraId="67C4721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56</w:t>
            </w:r>
          </w:p>
        </w:tc>
        <w:tc>
          <w:tcPr>
            <w:tcW w:w="1320" w:type="dxa"/>
            <w:noWrap/>
            <w:hideMark/>
          </w:tcPr>
          <w:p w14:paraId="7659A2B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{"citationID":"Tm9B55ZF","properties":{"formattedCitation":"(Rao et al., 2008a)","plainCitation":"(Rao et al., 2008a)","dontUpdate":true,"noteIndex":0},"citationItems":[{"id":20701,"uris":["http://zotero.org/users/1471066/items/LQ4RF7VI"],"itemData":{"id":20701,"type":"article-journal","container-title":"Journal of Neuropsychiatry and Clinical Neurosciences","DOI":"10.1176/jnp.2008.20.1.118","issue":"1","language":"en","page":"118–119","title":"Clinical correlates of personality changes associated with traumatic brain injury","volume":"20","author":[{"family":"Rao","given":"V."},{"family":"Spiro","given":"J.R."},{"family":"Handel","given":"S."},{"family":"Onyike","given":"C.U."}],"issued":{"date-parts":[["2008"]]}}}],"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Rao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7C40F7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2008</w:t>
            </w:r>
          </w:p>
        </w:tc>
        <w:tc>
          <w:tcPr>
            <w:tcW w:w="1205" w:type="dxa"/>
            <w:noWrap/>
            <w:hideMark/>
          </w:tcPr>
          <w:p w14:paraId="6791F8B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Retrospective observational</w:t>
            </w:r>
          </w:p>
        </w:tc>
        <w:tc>
          <w:tcPr>
            <w:tcW w:w="2170" w:type="dxa"/>
            <w:noWrap/>
            <w:hideMark/>
          </w:tcPr>
          <w:p w14:paraId="65FF259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Total=54; age=41.1 years; male=37; w=81.5%; edu=13.4years.</w:t>
            </w:r>
          </w:p>
        </w:tc>
        <w:tc>
          <w:tcPr>
            <w:tcW w:w="1052" w:type="dxa"/>
            <w:noWrap/>
            <w:hideMark/>
          </w:tcPr>
          <w:p w14:paraId="0852435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56EF060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Closed Head-Injury; 44%=mTBI, 20.4%= moderate, 35.2% sTBI.</w:t>
            </w:r>
          </w:p>
        </w:tc>
        <w:tc>
          <w:tcPr>
            <w:tcW w:w="2444" w:type="dxa"/>
            <w:noWrap/>
            <w:hideMark/>
          </w:tcPr>
          <w:p w14:paraId="2AC6F9B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DSM-IV Criteria</w:t>
            </w:r>
          </w:p>
        </w:tc>
        <w:tc>
          <w:tcPr>
            <w:tcW w:w="2036" w:type="dxa"/>
            <w:noWrap/>
            <w:hideMark/>
          </w:tcPr>
          <w:p w14:paraId="2E66735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 MMSE</w:t>
            </w:r>
          </w:p>
        </w:tc>
        <w:tc>
          <w:tcPr>
            <w:tcW w:w="1840" w:type="dxa"/>
            <w:noWrap/>
            <w:hideMark/>
          </w:tcPr>
          <w:p w14:paraId="2B62A6B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5728CCF7" w14:textId="77777777" w:rsidTr="00E611F1">
        <w:tc>
          <w:tcPr>
            <w:tcW w:w="490" w:type="dxa"/>
            <w:noWrap/>
            <w:hideMark/>
          </w:tcPr>
          <w:p w14:paraId="5BA3E158"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57</w:t>
            </w:r>
          </w:p>
        </w:tc>
        <w:tc>
          <w:tcPr>
            <w:tcW w:w="1320" w:type="dxa"/>
            <w:noWrap/>
            <w:hideMark/>
          </w:tcPr>
          <w:p w14:paraId="3908C10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{"citationID":"slKoZkvr","properties":{"formattedCitation":"(Dasarathy et al., 2009a)","plainCitation":"(Dasarathy et al., 2009a)","dontUpdate":true,"noteIndex":0},"citationItems":[{"id":20604,"uris":["http://zotero.org/users/1471066/items/R3LNLJUK"],"itemData":{"id":20604,"type":"article-journal","container-title":"International Journal of Geriatric Psychiatry","issue":"12","language":"en","page":"1479–1480","title":"A rare subtype of delusional misidentification: Reduplicative paramnesia of the self-A case report","volume":"24","author":[{"family":"Dasarathy","given":"S."},{"family":"Huntley","given":"J.D."},{"family":"Howard","given":"R.J."}],"issued":{"date-parts":[["2009"]]}}}],"schema":"https://github.com/citation-style-language/schema/raw/master/csl-citation.json"}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Dasarathy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1FE285D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2009</w:t>
            </w:r>
          </w:p>
        </w:tc>
        <w:tc>
          <w:tcPr>
            <w:tcW w:w="1205" w:type="dxa"/>
            <w:noWrap/>
            <w:hideMark/>
          </w:tcPr>
          <w:p w14:paraId="5035171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1FC4B27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Female, 82yo</w:t>
            </w:r>
          </w:p>
        </w:tc>
        <w:tc>
          <w:tcPr>
            <w:tcW w:w="1052" w:type="dxa"/>
            <w:noWrap/>
            <w:hideMark/>
          </w:tcPr>
          <w:p w14:paraId="57FF4D8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784E2D2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6A2612D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Pre-injury: pleasant and polite.  Post-injury: agitation, verbal aggression and expression of obscene gestures. </w:t>
            </w:r>
          </w:p>
        </w:tc>
        <w:tc>
          <w:tcPr>
            <w:tcW w:w="2036" w:type="dxa"/>
            <w:noWrap/>
            <w:hideMark/>
          </w:tcPr>
          <w:p w14:paraId="51ADC9C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MMSE</w:t>
            </w:r>
          </w:p>
        </w:tc>
        <w:tc>
          <w:tcPr>
            <w:tcW w:w="1840" w:type="dxa"/>
            <w:noWrap/>
            <w:hideMark/>
          </w:tcPr>
          <w:p w14:paraId="1323957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Contra-coup bilateral frontal contusions and small sub-arachnoid, subdural and extradural haemorrhages</w:t>
            </w:r>
          </w:p>
        </w:tc>
      </w:tr>
      <w:tr w:rsidR="00B10849" w:rsidRPr="00B10849" w14:paraId="00ACD0DE" w14:textId="77777777" w:rsidTr="00E611F1">
        <w:tc>
          <w:tcPr>
            <w:tcW w:w="490" w:type="dxa"/>
            <w:noWrap/>
            <w:hideMark/>
          </w:tcPr>
          <w:p w14:paraId="534C136B"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58</w:t>
            </w:r>
          </w:p>
        </w:tc>
        <w:tc>
          <w:tcPr>
            <w:tcW w:w="1320" w:type="dxa"/>
            <w:noWrap/>
            <w:hideMark/>
          </w:tcPr>
          <w:p w14:paraId="2891DB1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{"citationID":"qwlNB6B0","properties":{"formattedCitation":"(McKee, Cantu, Nowinski, Hedley-Whyte, Gavett, Budson, &amp; Stern, 2009)","plainCitation":"(McKee, Cantu, Nowinski, Hedley-Whyte, Gavett, Budson, &amp; Stern, 2009)","dontUpdate":true,"noteIndex":0},"citationItems":[{"id":20663,"uris":["http://zotero.org/users/1471066/items/CUDBG974"],"itemData":{"id":20663,"type":"article-journal","container-title":"Journal of Neuropathology and Experimental Neurology","issue":"7","language":"en","page":"709–735","title":"Chronic traumatic encephalography in athletes: Progressive tauopathy after repetitive head injury","volume":"68","author":[{"family":"McKee","given":"A.C."},{"family":"Cantu","given":"R.C."},{"family":"Nowinski","given":"C.J."},{"family":"Hedley-Whyte","given":"T."},{"family":"Gavett","given":"B.E."},{"family":"Budson","given":"A.E."},{"family":"Stern","given":"R.A."}],"issued":{"date-parts":[["2009"]]}}}],"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McKee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7E8EFEC8"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2009</w:t>
            </w:r>
          </w:p>
        </w:tc>
        <w:tc>
          <w:tcPr>
            <w:tcW w:w="1205" w:type="dxa"/>
            <w:noWrap/>
            <w:hideMark/>
          </w:tcPr>
          <w:p w14:paraId="4ED1416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Retrospective observational </w:t>
            </w:r>
          </w:p>
        </w:tc>
        <w:tc>
          <w:tcPr>
            <w:tcW w:w="2170" w:type="dxa"/>
            <w:noWrap/>
            <w:hideMark/>
          </w:tcPr>
          <w:p w14:paraId="4CC70B4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n=51, m=49,  SymptomAge=42.8, age starting=15.4; Case A=45yo, white male; Case B = 80yo, african american man; Case C=73yo, male</w:t>
            </w:r>
          </w:p>
        </w:tc>
        <w:tc>
          <w:tcPr>
            <w:tcW w:w="1052" w:type="dxa"/>
            <w:noWrap/>
            <w:hideMark/>
          </w:tcPr>
          <w:p w14:paraId="0B0843C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571C66A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Sport-related injury; boxing=39, american football=5, wrestler=1, soccer=1.</w:t>
            </w:r>
          </w:p>
        </w:tc>
        <w:tc>
          <w:tcPr>
            <w:tcW w:w="2444" w:type="dxa"/>
            <w:noWrap/>
            <w:hideMark/>
          </w:tcPr>
          <w:p w14:paraId="779C0F0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A = NFL linebacker, became angry, verbally aggressive, more emotionally labile.; Case B = boxing for 5 yrs, wife referred to him as "punch-drunk" in mid-30s, and at age 78 became paranoid; Case C=boxing, late 50s became forgetful, mood swings, restless, apathetic, socially withdrawn, paranoid, irritable, and sometimes violently agitated. Previously happy, easy-going self.</w:t>
            </w:r>
          </w:p>
        </w:tc>
        <w:tc>
          <w:tcPr>
            <w:tcW w:w="2036" w:type="dxa"/>
            <w:noWrap/>
            <w:hideMark/>
          </w:tcPr>
          <w:p w14:paraId="38FA70D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7AC8B3F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Case C: Computed tomographic scan and magnetic resonance imaging (MRI) showed generalized cortical atrophy, enlargement of the cerebral ventricles, cavumseptum pellucidum, and a right globus pallidus lacuna. </w:t>
            </w:r>
          </w:p>
        </w:tc>
      </w:tr>
      <w:tr w:rsidR="00B10849" w:rsidRPr="00B10849" w14:paraId="3747987A" w14:textId="77777777" w:rsidTr="00E611F1">
        <w:tc>
          <w:tcPr>
            <w:tcW w:w="490" w:type="dxa"/>
            <w:noWrap/>
            <w:hideMark/>
          </w:tcPr>
          <w:p w14:paraId="00D588BA"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59</w:t>
            </w:r>
          </w:p>
        </w:tc>
        <w:tc>
          <w:tcPr>
            <w:tcW w:w="1320" w:type="dxa"/>
            <w:noWrap/>
            <w:hideMark/>
          </w:tcPr>
          <w:p w14:paraId="1AEB044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{"citationID":"udhGcFhN","properties":{"formattedCitation":"(Gracia-Garcia et al., 2011)","plainCitation":"(Gracia-Garcia et al., 2011)","dontUpdate":true,"noteIndex":0},"citationItems":[{"id":26179,"uris":["http://zotero.org/users/1471066/items/TH48ZUJD"],"itemData":{"id":26179,"type":"article-journal","container-title":"The Journal of neuropsychiatry and clinical neurosciences","issue":"2","note":"ISBN: 0895-0172","page":"E14-E14","publisher":"American Psychiatric Publishing, Inc. Arlington, VA","title":"Personality changes in brain injury","volume":"23","author":[{"family":"Gracia-Garcia","given":"Patricia"},{"family":"Mielke","given":"Michelle M."},{"family":"Rosenberg","given":"Paul"},{"family":"Bergey","given":"Alyssa"},{"family":"Rao","given":"Vani"}],"issued":{"date-parts":[["2011"]]}}}],"schema":"https://github.com/citation-style-language/schema/raw/master/csl-citation.json"}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Gracia-Garcia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450F68A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2010</w:t>
            </w:r>
          </w:p>
        </w:tc>
        <w:tc>
          <w:tcPr>
            <w:tcW w:w="1205" w:type="dxa"/>
            <w:noWrap/>
            <w:hideMark/>
          </w:tcPr>
          <w:p w14:paraId="7B2D8AF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1D3A11B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41 pts</w:t>
            </w:r>
          </w:p>
        </w:tc>
        <w:tc>
          <w:tcPr>
            <w:tcW w:w="1052" w:type="dxa"/>
            <w:noWrap/>
            <w:hideMark/>
          </w:tcPr>
          <w:p w14:paraId="57C71CA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0CA33E3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w:t>
            </w:r>
          </w:p>
        </w:tc>
        <w:tc>
          <w:tcPr>
            <w:tcW w:w="2444" w:type="dxa"/>
            <w:noWrap/>
            <w:hideMark/>
          </w:tcPr>
          <w:p w14:paraId="6D95732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personality profiles were captured with the 60-item NEO Five-Factor Inventory (NEO-FFI)</w:t>
            </w:r>
          </w:p>
        </w:tc>
        <w:tc>
          <w:tcPr>
            <w:tcW w:w="2036" w:type="dxa"/>
            <w:noWrap/>
            <w:hideMark/>
          </w:tcPr>
          <w:p w14:paraId="196F967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NEO-FFI</w:t>
            </w:r>
          </w:p>
        </w:tc>
        <w:tc>
          <w:tcPr>
            <w:tcW w:w="1840" w:type="dxa"/>
            <w:noWrap/>
            <w:hideMark/>
          </w:tcPr>
          <w:p w14:paraId="68EBC09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33917131" w14:textId="77777777" w:rsidTr="00E611F1">
        <w:tc>
          <w:tcPr>
            <w:tcW w:w="490" w:type="dxa"/>
            <w:noWrap/>
            <w:hideMark/>
          </w:tcPr>
          <w:p w14:paraId="50B1485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60</w:t>
            </w:r>
          </w:p>
        </w:tc>
        <w:tc>
          <w:tcPr>
            <w:tcW w:w="1320" w:type="dxa"/>
            <w:noWrap/>
            <w:hideMark/>
          </w:tcPr>
          <w:p w14:paraId="3C30875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{"citationID":"W6BEoNKm","properties":{"formattedCitation":"(Koponen et al., 2011a)","plainCitation":"(Koponen et al., 2011a)","dontUpdate":true,"noteIndex":0},"citationItems":[{"id":20642,"uris":["http://zotero.org/users/1471066/items/EL56YTL2"],"itemData":{"id":20642,"type":"article-journal","container-title":"Brain Injury","DOI":"10.3109/02699052.2011.607783","issue":"11","language":"en","page":"1029–1034","title":"Axis I and II psychiatric disorders in patients with traumatic brain injury: A 12-month follow-up study","volume":"25","author":[{"family":"Koponen","given":"S."},{"family":"Taiminen","given":"T."},{"family":"Hiekkanen","given":"H."},{"family":"Tenovuo","given":"O."}],"issued":{"date-parts":[["2011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Koponen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2CC52A1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2011</w:t>
            </w:r>
          </w:p>
        </w:tc>
        <w:tc>
          <w:tcPr>
            <w:tcW w:w="1205" w:type="dxa"/>
            <w:noWrap/>
            <w:hideMark/>
          </w:tcPr>
          <w:p w14:paraId="22EC762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647D2F5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n=38, m=27 (71.1%), ageinj=41.6, edu=10.7</w:t>
            </w:r>
          </w:p>
        </w:tc>
        <w:tc>
          <w:tcPr>
            <w:tcW w:w="1052" w:type="dxa"/>
            <w:noWrap/>
            <w:hideMark/>
          </w:tcPr>
          <w:p w14:paraId="318E553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Finland</w:t>
            </w:r>
          </w:p>
        </w:tc>
        <w:tc>
          <w:tcPr>
            <w:tcW w:w="1892" w:type="dxa"/>
            <w:noWrap/>
            <w:hideMark/>
          </w:tcPr>
          <w:p w14:paraId="3C68817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Fall n=26 (68.4%); RTA=10 (26.3%); Assault =1 (2.6%); Other cause =1 (2.6%); Mild = 27 (71.1%); Moderate = 6 (15.8%); Severe = 3 (7.9%); Very severe = 2 (5.3%)</w:t>
            </w:r>
          </w:p>
        </w:tc>
        <w:tc>
          <w:tcPr>
            <w:tcW w:w="2444" w:type="dxa"/>
            <w:noWrap/>
            <w:hideMark/>
          </w:tcPr>
          <w:p w14:paraId="103C761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SCID</w:t>
            </w:r>
          </w:p>
        </w:tc>
        <w:tc>
          <w:tcPr>
            <w:tcW w:w="2036" w:type="dxa"/>
            <w:noWrap/>
            <w:hideMark/>
          </w:tcPr>
          <w:p w14:paraId="7A8A6C5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SCAN; SCID</w:t>
            </w:r>
          </w:p>
        </w:tc>
        <w:tc>
          <w:tcPr>
            <w:tcW w:w="1840" w:type="dxa"/>
            <w:noWrap/>
            <w:hideMark/>
          </w:tcPr>
          <w:p w14:paraId="2B6A998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0BEB47C2" w14:textId="77777777" w:rsidTr="00E611F1">
        <w:tc>
          <w:tcPr>
            <w:tcW w:w="490" w:type="dxa"/>
            <w:noWrap/>
            <w:hideMark/>
          </w:tcPr>
          <w:p w14:paraId="6DB03CC4"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61</w:t>
            </w:r>
          </w:p>
        </w:tc>
        <w:tc>
          <w:tcPr>
            <w:tcW w:w="1320" w:type="dxa"/>
            <w:noWrap/>
            <w:hideMark/>
          </w:tcPr>
          <w:p w14:paraId="1D180E7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{"citationID":"vhkO0qm4","properties":{"formattedCitation":"(Paik et al., 2011a)","plainCitation":"(Paik et al., 2011a)","dontUpdate":true,"noteIndex":0},"citationItems":[{"id":20690,"uris":["http://zotero.org/users/1471066/items/KGEZXUQS"],"itemData":{"id":20690,"type":"article-journal","container-title":"Journal of Korean Neurosurgical Society","DOI":"10.3340/jkns.2011.50.2.114","issue":"2","language":"en","page":"114–118","title":"Influence of history of brain disease or brain trauma on psychopathological abnormality in young male in Korea: Analysis of multiphasic personal inventory test","volume":"50","author":[{"family":"Paik","given":"H.K."},{"family":"Oh","given":"C.H."},{"family":"Choi","given":"K."},{"family":"Kim","given":"C.E."},{"family":"Yoon","given":"S.H."},{"family":"Chung","given":"J."}],"issued":{"date-parts":[["2011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Paik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EF0787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2011</w:t>
            </w:r>
          </w:p>
        </w:tc>
        <w:tc>
          <w:tcPr>
            <w:tcW w:w="1205" w:type="dxa"/>
            <w:noWrap/>
            <w:hideMark/>
          </w:tcPr>
          <w:p w14:paraId="2A499F9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657CD04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Total = 237; Contol = 150, BT=54, BD=33, male=100%, 19yo, brain trauma = 2 weeks to 12 years ago</w:t>
            </w:r>
          </w:p>
        </w:tc>
        <w:tc>
          <w:tcPr>
            <w:tcW w:w="1052" w:type="dxa"/>
            <w:noWrap/>
            <w:hideMark/>
          </w:tcPr>
          <w:p w14:paraId="004E2A6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Korea</w:t>
            </w:r>
          </w:p>
        </w:tc>
        <w:tc>
          <w:tcPr>
            <w:tcW w:w="1892" w:type="dxa"/>
            <w:noWrap/>
            <w:hideMark/>
          </w:tcPr>
          <w:p w14:paraId="51BC79C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46984CB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KMPI</w:t>
            </w:r>
          </w:p>
        </w:tc>
        <w:tc>
          <w:tcPr>
            <w:tcW w:w="2036" w:type="dxa"/>
            <w:noWrap/>
            <w:hideMark/>
          </w:tcPr>
          <w:p w14:paraId="5BC2E72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KMPI</w:t>
            </w:r>
          </w:p>
        </w:tc>
        <w:tc>
          <w:tcPr>
            <w:tcW w:w="1840" w:type="dxa"/>
            <w:noWrap/>
            <w:hideMark/>
          </w:tcPr>
          <w:p w14:paraId="5F2AE6F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7AD929AF" w14:textId="77777777" w:rsidTr="00E611F1">
        <w:tc>
          <w:tcPr>
            <w:tcW w:w="490" w:type="dxa"/>
            <w:noWrap/>
            <w:hideMark/>
          </w:tcPr>
          <w:p w14:paraId="5C2C8F8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62</w:t>
            </w:r>
          </w:p>
        </w:tc>
        <w:tc>
          <w:tcPr>
            <w:tcW w:w="1320" w:type="dxa"/>
            <w:noWrap/>
            <w:hideMark/>
          </w:tcPr>
          <w:p w14:paraId="348B14C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{"citationID":"3ANQ7j7p","properties":{"formattedCitation":"(Ramanathan et al., 2011a)","plainCitation":"(Ramanathan et al., 2011a)","dontUpdate":true,"noteIndex":0},"citationItems":[{"id":20699,"uris":["http://zotero.org/users/1471066/items/INQNWUME"],"itemData":{"id":20699,"type":"article-journal","container-title":"Brain Injury","DOI":"10.3109/02699052.2011.554336","issue":"4","language":"en","page":"328–337","title":"Dispositional optimism and outcome following traumatic brain injury","volume":"25","author":[{"family":"Ramanathan","given":"D.M."},{"family":"Wardecker","given":"B.M."},{"family":"Slocomb","given":"J.E."},{"family":"Hillary","given":"F.G."}],"issued":{"date-parts":[["2011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Ramanathan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6A8A48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2011</w:t>
            </w:r>
          </w:p>
        </w:tc>
        <w:tc>
          <w:tcPr>
            <w:tcW w:w="1205" w:type="dxa"/>
            <w:noWrap/>
            <w:hideMark/>
          </w:tcPr>
          <w:p w14:paraId="1EBCBC8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4998D5E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Total =45; M=25; W=40, B=4, A=1; age=34.1;edu=13;</w:t>
            </w:r>
          </w:p>
        </w:tc>
        <w:tc>
          <w:tcPr>
            <w:tcW w:w="1052" w:type="dxa"/>
            <w:noWrap/>
            <w:hideMark/>
          </w:tcPr>
          <w:p w14:paraId="07525FA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7E2D2D2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262987E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036" w:type="dxa"/>
            <w:noWrap/>
            <w:hideMark/>
          </w:tcPr>
          <w:p w14:paraId="224EBFC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SCL-90-R; TICKS; CHARTS; LOT-R</w:t>
            </w:r>
          </w:p>
        </w:tc>
        <w:tc>
          <w:tcPr>
            <w:tcW w:w="1840" w:type="dxa"/>
            <w:noWrap/>
            <w:hideMark/>
          </w:tcPr>
          <w:p w14:paraId="4220AEA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75A350CB" w14:textId="77777777" w:rsidTr="00E611F1">
        <w:tc>
          <w:tcPr>
            <w:tcW w:w="490" w:type="dxa"/>
            <w:noWrap/>
            <w:hideMark/>
          </w:tcPr>
          <w:p w14:paraId="782129CA"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63</w:t>
            </w:r>
          </w:p>
        </w:tc>
        <w:tc>
          <w:tcPr>
            <w:tcW w:w="1320" w:type="dxa"/>
            <w:noWrap/>
            <w:hideMark/>
          </w:tcPr>
          <w:p w14:paraId="2B4D171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{"citationID":"CJhU6F2J","properties":{"formattedCitation":"(Colantonio &amp; Comper, 2012a)","plainCitation":"(Colantonio &amp; Comper, 2012a)","dontUpdate":true,"noteIndex":0},"citationItems":[{"id":20600,"uris":["http://zotero.org/users/1471066/items/24CXNYA8"],"itemData":{"id":20600,"type":"article-journal","container-title":"Work","DOI":"10.3233/wor-2012-1377","issue":"2","language":"en","page":"195–201","title":"Post-injury symptoms after work related traumatic brain injury in Canadian population","volume":"43","author":[{"family":"Colantonio","given":"A."},{"family":"Comper","given":"P."}],"issued":{"date-parts":[["2012"]]}}}],"schema":"https://github.com/citation-style-language/schema/raw/master/csl-citation.json"}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Colantonio &amp; Comper</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477C2FD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2012</w:t>
            </w:r>
          </w:p>
        </w:tc>
        <w:tc>
          <w:tcPr>
            <w:tcW w:w="1205" w:type="dxa"/>
            <w:noWrap/>
            <w:hideMark/>
          </w:tcPr>
          <w:p w14:paraId="02450EF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series</w:t>
            </w:r>
          </w:p>
        </w:tc>
        <w:tc>
          <w:tcPr>
            <w:tcW w:w="2170" w:type="dxa"/>
            <w:noWrap/>
            <w:hideMark/>
          </w:tcPr>
          <w:p w14:paraId="2E5B35B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 75%, &gt; 44 yo = 69%, married = 70%, less than high school education (47%).</w:t>
            </w:r>
          </w:p>
        </w:tc>
        <w:tc>
          <w:tcPr>
            <w:tcW w:w="1052" w:type="dxa"/>
            <w:noWrap/>
            <w:hideMark/>
          </w:tcPr>
          <w:p w14:paraId="7C28016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Canada</w:t>
            </w:r>
          </w:p>
        </w:tc>
        <w:tc>
          <w:tcPr>
            <w:tcW w:w="1892" w:type="dxa"/>
            <w:noWrap/>
            <w:hideMark/>
          </w:tcPr>
          <w:p w14:paraId="25CB849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Work-related accident</w:t>
            </w:r>
          </w:p>
        </w:tc>
        <w:tc>
          <w:tcPr>
            <w:tcW w:w="2444" w:type="dxa"/>
            <w:noWrap/>
            <w:hideMark/>
          </w:tcPr>
          <w:p w14:paraId="0BA9A41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036" w:type="dxa"/>
            <w:noWrap/>
            <w:hideMark/>
          </w:tcPr>
          <w:p w14:paraId="0608D20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RPQ</w:t>
            </w:r>
          </w:p>
        </w:tc>
        <w:tc>
          <w:tcPr>
            <w:tcW w:w="1840" w:type="dxa"/>
            <w:noWrap/>
            <w:hideMark/>
          </w:tcPr>
          <w:p w14:paraId="1B6E684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115A2A84" w14:textId="77777777" w:rsidTr="00E611F1">
        <w:tc>
          <w:tcPr>
            <w:tcW w:w="490" w:type="dxa"/>
            <w:noWrap/>
            <w:hideMark/>
          </w:tcPr>
          <w:p w14:paraId="155F764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64</w:t>
            </w:r>
          </w:p>
        </w:tc>
        <w:tc>
          <w:tcPr>
            <w:tcW w:w="1320" w:type="dxa"/>
            <w:noWrap/>
            <w:hideMark/>
          </w:tcPr>
          <w:p w14:paraId="0A4874D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{"citationID":"8jO7LY7V","properties":{"formattedCitation":"(Diaz, Schwarzbold, Thais, Hohl, Bertotti, Schmoeller, &amp; Walz, 2012)","plainCitation":"(Diaz, Schwarzbold, Thais, Hohl, Bertotti, Schmoeller, &amp; Walz, 2012)","dontUpdate":true,"noteIndex":0},"citationItems":[{"id":20611,"uris":["http://zotero.org/users/1471066/items/4JEKP9KV"],"itemData":{"id":20611,"type":"article-journal","container-title":"Journal of Neurotrauma","DOI":"10.1089/neu.2011.2089","issue":"6","language":"en","page":"1029–1037","title":"Psychiatric disorders and health-related quality of life after severe traumatic brain injury: A prospective study","volume":"29","author":[{"family":"Diaz","given":"A.P."},{"family":"Schwarzbold","given":"M.L."},{"family":"Thais","given":"M.E."},{"family":"Hohl","given":"A."},{"family":"Bertotti","given":"M.M."},{"family":"Schmoeller","given":"R."},{"family":"Walz","given":"R."}],"issued":{"date-parts":[["2012"]]}}}],"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Diaz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18B7B5DA"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2012</w:t>
            </w:r>
          </w:p>
        </w:tc>
        <w:tc>
          <w:tcPr>
            <w:tcW w:w="1205" w:type="dxa"/>
            <w:noWrap/>
            <w:hideMark/>
          </w:tcPr>
          <w:p w14:paraId="5AC819D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4993A53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Total n =48; male = 42, mean age = 32.33.; No Psych Dis = 15; male = 13, mean age = 34.45; Psych Dis = 33; male = 29, mean age = 31.36</w:t>
            </w:r>
          </w:p>
        </w:tc>
        <w:tc>
          <w:tcPr>
            <w:tcW w:w="1052" w:type="dxa"/>
            <w:noWrap/>
            <w:hideMark/>
          </w:tcPr>
          <w:p w14:paraId="4037237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Brazil</w:t>
            </w:r>
          </w:p>
        </w:tc>
        <w:tc>
          <w:tcPr>
            <w:tcW w:w="1892" w:type="dxa"/>
            <w:noWrap/>
            <w:hideMark/>
          </w:tcPr>
          <w:p w14:paraId="1E57CA2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Severe TBI</w:t>
            </w:r>
          </w:p>
        </w:tc>
        <w:tc>
          <w:tcPr>
            <w:tcW w:w="2444" w:type="dxa"/>
            <w:noWrap/>
            <w:hideMark/>
          </w:tcPr>
          <w:p w14:paraId="28F2BF5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Thus, for this study, ‘‘personality changes’’ is considered to be personality changes in general, more specifically due to a severe head trauma, reported by family.</w:t>
            </w:r>
          </w:p>
        </w:tc>
        <w:tc>
          <w:tcPr>
            <w:tcW w:w="2036" w:type="dxa"/>
            <w:noWrap/>
            <w:hideMark/>
          </w:tcPr>
          <w:p w14:paraId="03A3348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Glasgow Coma Scale; DSM-IV (Personality Change); HADS</w:t>
            </w:r>
          </w:p>
        </w:tc>
        <w:tc>
          <w:tcPr>
            <w:tcW w:w="1840" w:type="dxa"/>
            <w:noWrap/>
            <w:hideMark/>
          </w:tcPr>
          <w:p w14:paraId="272353F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n=11 (33.3%) experienced personality changes</w:t>
            </w:r>
          </w:p>
        </w:tc>
      </w:tr>
      <w:tr w:rsidR="00B10849" w:rsidRPr="00B10849" w14:paraId="7D441218" w14:textId="77777777" w:rsidTr="00E611F1">
        <w:tc>
          <w:tcPr>
            <w:tcW w:w="490" w:type="dxa"/>
            <w:noWrap/>
            <w:hideMark/>
          </w:tcPr>
          <w:p w14:paraId="4B1DCB5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65</w:t>
            </w:r>
          </w:p>
        </w:tc>
        <w:tc>
          <w:tcPr>
            <w:tcW w:w="1320" w:type="dxa"/>
            <w:noWrap/>
            <w:hideMark/>
          </w:tcPr>
          <w:p w14:paraId="510F9E9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{"citationID":"9yKQAUxV","properties":{"formattedCitation":"(Nuhu &amp; Yusuf, 2012)","plainCitation":"(Nuhu &amp; Yusuf, 2012)","dontUpdate":true,"noteIndex":0},"citationItems":[{"id":20679,"uris":["http://zotero.org/users/1471066/items/KWJN8IEA"],"itemData":{"id":20679,"type":"article-journal","container-title":"Nigerian Journal of Clinical Practice","DOI":"10.4103/1119-3077.104510","issue":"4","language":"en","page":"397–399","title":"Psychiatric sequelae of traumatic brain injury: Retrospective analysis of 75 subjects from Kaduna, Nigeria","volume":"15","author":[{"family":"Nuhu","given":"F.T."},{"family":"Yusuf","given":"A.J."}],"issued":{"date-parts":[["2012"]]}}}],"schema":"https://github.com/citation-style-language/schema/raw/master/csl-citation.json"}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Nuhu &amp; Yusuf</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F436DE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2012</w:t>
            </w:r>
          </w:p>
        </w:tc>
        <w:tc>
          <w:tcPr>
            <w:tcW w:w="1205" w:type="dxa"/>
            <w:noWrap/>
            <w:hideMark/>
          </w:tcPr>
          <w:p w14:paraId="38DC247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Retrospective observational </w:t>
            </w:r>
          </w:p>
        </w:tc>
        <w:tc>
          <w:tcPr>
            <w:tcW w:w="2170" w:type="dxa"/>
            <w:noWrap/>
            <w:hideMark/>
          </w:tcPr>
          <w:p w14:paraId="706FB22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n=75, m=68, age=32.2, PTA=5.45 days</w:t>
            </w:r>
          </w:p>
        </w:tc>
        <w:tc>
          <w:tcPr>
            <w:tcW w:w="1052" w:type="dxa"/>
            <w:noWrap/>
            <w:hideMark/>
          </w:tcPr>
          <w:p w14:paraId="0811B87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Nigeria</w:t>
            </w:r>
          </w:p>
        </w:tc>
        <w:tc>
          <w:tcPr>
            <w:tcW w:w="1892" w:type="dxa"/>
            <w:noWrap/>
            <w:hideMark/>
          </w:tcPr>
          <w:p w14:paraId="2ADD84B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RTA=69.3%; Other=30.7%</w:t>
            </w:r>
          </w:p>
        </w:tc>
        <w:tc>
          <w:tcPr>
            <w:tcW w:w="2444" w:type="dxa"/>
            <w:noWrap/>
            <w:hideMark/>
          </w:tcPr>
          <w:p w14:paraId="0F394D2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Premorbid personality n=71, maladjusted=5</w:t>
            </w:r>
          </w:p>
        </w:tc>
        <w:tc>
          <w:tcPr>
            <w:tcW w:w="2036" w:type="dxa"/>
            <w:noWrap/>
            <w:hideMark/>
          </w:tcPr>
          <w:p w14:paraId="2450AD0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4609B3D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6DA8F095" w14:textId="77777777" w:rsidTr="00E611F1">
        <w:tc>
          <w:tcPr>
            <w:tcW w:w="490" w:type="dxa"/>
            <w:noWrap/>
            <w:hideMark/>
          </w:tcPr>
          <w:p w14:paraId="3777134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66</w:t>
            </w:r>
          </w:p>
        </w:tc>
        <w:tc>
          <w:tcPr>
            <w:tcW w:w="1320" w:type="dxa"/>
            <w:noWrap/>
            <w:hideMark/>
          </w:tcPr>
          <w:p w14:paraId="6E2AC495" w14:textId="77777777" w:rsidR="00E8789B" w:rsidRPr="00B10849" w:rsidRDefault="00E8789B" w:rsidP="00E611F1">
            <w:pPr>
              <w:spacing w:after="0" w:line="240" w:lineRule="auto"/>
              <w:rPr>
                <w:rFonts w:ascii="Aptos Narrow" w:eastAsia="Times New Roman" w:hAnsi="Aptos Narrow" w:cs="Times New Roman"/>
                <w:kern w:val="0"/>
                <w:sz w:val="18"/>
                <w:szCs w:val="18"/>
                <w:lang w:val="es-CO"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val="es-CO" w:eastAsia="en-GB"/>
                <w14:ligatures w14:val="none"/>
              </w:rPr>
              <w:instrText xml:space="preserve"> ADDIN ZOTERO_ITEM CSL_CITATION {"citationID":"GnjZd5j4","properties":{"formattedCitation":"(Rodriguez-Bailon et al., 2012a)","plainCitation":"(Rodriguez-Bailon et al., 2012a)","dontUpdate":true,"noteIndex":0},"citationItems":[{"id":20705,"uris":["http://zotero.org/users/1471066/items/454Z2QVI"],"itemData":{"id":20705,"type":"article-journal","container-title":"Spanish Journal of Psychology","DOI":"10.5209/rev-SJOP.2012.v15.n3.39388","issue":"3","language":"en","page":"967–977","title":"Executive attention and personality variables in patients with frontal lobe damage","volume":"15","author":[{"family":"Rodriguez-Bailon","given":"M."},{"family":"Trivino","given":"M."},{"family":"Lupianez","given":"J."}],"issued":{"date-parts":[["2012"]]}}}],"schema":"https://github.com/citation-style-language/schema/raw/master/csl-citation.json"}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val="es-CO" w:eastAsia="en-GB"/>
              </w:rPr>
              <w:t>Rodriguez-Bailon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79C480C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2012</w:t>
            </w:r>
          </w:p>
        </w:tc>
        <w:tc>
          <w:tcPr>
            <w:tcW w:w="1205" w:type="dxa"/>
            <w:noWrap/>
            <w:hideMark/>
          </w:tcPr>
          <w:p w14:paraId="028CA3C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6873517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TBI=9, M=7, age=29.4, edu=13yrs; C=9, M=6, age=30.89, edu=14 yrs</w:t>
            </w:r>
          </w:p>
        </w:tc>
        <w:tc>
          <w:tcPr>
            <w:tcW w:w="1052" w:type="dxa"/>
            <w:noWrap/>
            <w:hideMark/>
          </w:tcPr>
          <w:p w14:paraId="2B095C7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Spain</w:t>
            </w:r>
          </w:p>
        </w:tc>
        <w:tc>
          <w:tcPr>
            <w:tcW w:w="1892" w:type="dxa"/>
            <w:noWrap/>
            <w:hideMark/>
          </w:tcPr>
          <w:p w14:paraId="212BF82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The inclusion criterion for the frontal group was the presence of damage in the prefrontal lobe confirmed by neuroimaging and the neuropsychological assessment performed.</w:t>
            </w:r>
          </w:p>
        </w:tc>
        <w:tc>
          <w:tcPr>
            <w:tcW w:w="2444" w:type="dxa"/>
            <w:noWrap/>
            <w:hideMark/>
          </w:tcPr>
          <w:p w14:paraId="2EDAA96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DSM-IV Criteria</w:t>
            </w:r>
          </w:p>
        </w:tc>
        <w:tc>
          <w:tcPr>
            <w:tcW w:w="2036" w:type="dxa"/>
            <w:noWrap/>
            <w:hideMark/>
          </w:tcPr>
          <w:p w14:paraId="15A0F29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MCMI; DSM</w:t>
            </w:r>
          </w:p>
        </w:tc>
        <w:tc>
          <w:tcPr>
            <w:tcW w:w="1840" w:type="dxa"/>
            <w:noWrap/>
            <w:hideMark/>
          </w:tcPr>
          <w:p w14:paraId="5A864F9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All the patients had impairment in the dorsolateral prefrontal cortex, the orbital prefrontal cortex or the anterior cingulate cortex.</w:t>
            </w:r>
          </w:p>
        </w:tc>
      </w:tr>
      <w:tr w:rsidR="00B10849" w:rsidRPr="00B10849" w14:paraId="2E1BC2C5" w14:textId="77777777" w:rsidTr="00E611F1">
        <w:tc>
          <w:tcPr>
            <w:tcW w:w="490" w:type="dxa"/>
            <w:noWrap/>
            <w:hideMark/>
          </w:tcPr>
          <w:p w14:paraId="052266F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67</w:t>
            </w:r>
          </w:p>
        </w:tc>
        <w:tc>
          <w:tcPr>
            <w:tcW w:w="1320" w:type="dxa"/>
            <w:noWrap/>
            <w:hideMark/>
          </w:tcPr>
          <w:p w14:paraId="13D4B55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{"citationID":"Sai0Hb1v","properties":{"formattedCitation":"(Huang et al., 2014)","plainCitation":"(Huang et al., 2014)","dontUpdate":true,"noteIndex":0},"citationItems":[{"id":20636,"uris":["http://zotero.org/users/1471066/items/65V6I83H"],"itemData":{"id":20636,"type":"article-journal","container-title":"NeuroImage: Clinical","DOI":"10.1016/j.nicl.2014.06.004","language":"en","page":"109–119","title":"Single-subject-based whole-brain MEG slow-wave imaging approach for detecting abnormality in patients with mild traumatic brain injury","volume":"5","author":[{"family":"Huang","given":"M.X."},{"family":"Nichols","given":"S."},{"family":"Baker","given":"D.G."},{"family":"Robb","given":"A."},{"family":"Angeles","given":"A."},{"family":"Yurgil","given":"K.A."},{"family":"Lee","given":"R.R."}],"issued":{"date-parts":[["2014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Huang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23CEF5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2014</w:t>
            </w:r>
          </w:p>
        </w:tc>
        <w:tc>
          <w:tcPr>
            <w:tcW w:w="1205" w:type="dxa"/>
            <w:noWrap/>
            <w:hideMark/>
          </w:tcPr>
          <w:p w14:paraId="56B6D3A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3EE312A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B-TBI n=84, PostInj=8.7m, m=84, age=28.3.; NonB-TBI n=48; m=34; age=30.2.; Control n=79; civ=68; m=27; age=28.4</w:t>
            </w:r>
          </w:p>
        </w:tc>
        <w:tc>
          <w:tcPr>
            <w:tcW w:w="1052" w:type="dxa"/>
            <w:noWrap/>
            <w:hideMark/>
          </w:tcPr>
          <w:p w14:paraId="284F47B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04800AE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War: Blast injury (B-TBI); RTA, Sport, Falls (nonB-TBI)</w:t>
            </w:r>
          </w:p>
        </w:tc>
        <w:tc>
          <w:tcPr>
            <w:tcW w:w="2444" w:type="dxa"/>
            <w:noWrap/>
            <w:hideMark/>
          </w:tcPr>
          <w:p w14:paraId="3F2F39A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HISC</w:t>
            </w:r>
          </w:p>
        </w:tc>
        <w:tc>
          <w:tcPr>
            <w:tcW w:w="2036" w:type="dxa"/>
            <w:noWrap/>
            <w:hideMark/>
          </w:tcPr>
          <w:p w14:paraId="11C4820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 HISC (Personality Change)</w:t>
            </w:r>
          </w:p>
        </w:tc>
        <w:tc>
          <w:tcPr>
            <w:tcW w:w="1840" w:type="dxa"/>
            <w:noWrap/>
            <w:hideMark/>
          </w:tcPr>
          <w:p w14:paraId="3ABE359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52794DEA" w14:textId="77777777" w:rsidTr="00E611F1">
        <w:tc>
          <w:tcPr>
            <w:tcW w:w="490" w:type="dxa"/>
            <w:noWrap/>
            <w:hideMark/>
          </w:tcPr>
          <w:p w14:paraId="7A0BC74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68</w:t>
            </w:r>
          </w:p>
        </w:tc>
        <w:tc>
          <w:tcPr>
            <w:tcW w:w="1320" w:type="dxa"/>
            <w:noWrap/>
            <w:hideMark/>
          </w:tcPr>
          <w:p w14:paraId="30E89BC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{"citationID":"vpZ3uNzt","properties":{"formattedCitation":"(Mathiesen et al., 2014)","plainCitation":"(Mathiesen et al., 2014)","dontUpdate":true,"noteIndex":0},"citationItems":[{"id":20659,"uris":["http://zotero.org/users/1471066/items/B8KGL967"],"itemData":{"id":20659,"type":"article-journal","container-title":"Cognitive Neuropsychiatry","DOI":"10.1080/13546805.2013.776494","issue":"1","language":"en","page":"1–16","title":"Similarities and differences in borderline and organic personality disorder","volume":"19","author":[{"family":"Mathiesen","given":"B.B."},{"family":"Simonsen","given":"E."},{"family":"Soegaard","given":"U."},{"family":"Kvist","given":"K."}],"issued":{"date-parts":[["2014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Mathiesen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6ABEDF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2014</w:t>
            </w:r>
          </w:p>
        </w:tc>
        <w:tc>
          <w:tcPr>
            <w:tcW w:w="1205" w:type="dxa"/>
            <w:noWrap/>
            <w:hideMark/>
          </w:tcPr>
          <w:p w14:paraId="6CD5E98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Case-control study</w:t>
            </w:r>
          </w:p>
        </w:tc>
        <w:tc>
          <w:tcPr>
            <w:tcW w:w="2170" w:type="dxa"/>
            <w:noWrap/>
            <w:hideMark/>
          </w:tcPr>
          <w:p w14:paraId="656E0D4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BPD=20, m=3, 18-50; OPD=24, m=15, 20-60</w:t>
            </w:r>
          </w:p>
        </w:tc>
        <w:tc>
          <w:tcPr>
            <w:tcW w:w="1052" w:type="dxa"/>
            <w:noWrap/>
            <w:hideMark/>
          </w:tcPr>
          <w:p w14:paraId="4A015B0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Denmark</w:t>
            </w:r>
          </w:p>
        </w:tc>
        <w:tc>
          <w:tcPr>
            <w:tcW w:w="1892" w:type="dxa"/>
            <w:noWrap/>
            <w:hideMark/>
          </w:tcPr>
          <w:p w14:paraId="310CFDE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5A750D6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OPD</w:t>
            </w:r>
          </w:p>
        </w:tc>
        <w:tc>
          <w:tcPr>
            <w:tcW w:w="2036" w:type="dxa"/>
            <w:noWrap/>
            <w:hideMark/>
          </w:tcPr>
          <w:p w14:paraId="579153F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DSM-IV; KAPP</w:t>
            </w:r>
          </w:p>
        </w:tc>
        <w:tc>
          <w:tcPr>
            <w:tcW w:w="1840" w:type="dxa"/>
            <w:noWrap/>
            <w:hideMark/>
          </w:tcPr>
          <w:p w14:paraId="7D4EC8C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46CE44EE" w14:textId="77777777" w:rsidTr="00E611F1">
        <w:tc>
          <w:tcPr>
            <w:tcW w:w="490" w:type="dxa"/>
            <w:noWrap/>
            <w:hideMark/>
          </w:tcPr>
          <w:p w14:paraId="12AED8C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69</w:t>
            </w:r>
          </w:p>
        </w:tc>
        <w:tc>
          <w:tcPr>
            <w:tcW w:w="1320" w:type="dxa"/>
            <w:noWrap/>
            <w:hideMark/>
          </w:tcPr>
          <w:p w14:paraId="58BE60A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{"citationID":"zUhGlMy1","properties":{"formattedCitation":"(Pachalska, Bulinski, Jauer-Niworowska, Rasmus, Daniluk, Mirski, &amp; Kropotov, 2014)","plainCitation":"(Pachalska, Bulinski, Jauer-Niworowska, Rasmus, Daniluk, Mirski, &amp; Kropotov, 2014)","dontUpdate":true,"noteIndex":0},"citationItems":[{"id":20689,"uris":["http://zotero.org/users/1471066/items/L6EBFMW2"],"itemData":{"id":20689,"type":"article-journal","container-title":"Acta Neuropsychologica","DOI":"10.5604/17307503.1138851","issue":"4","language":"en","page":"503–516","title":"Neuropsychological functioning after traumatic injury to the orbito-frontal area: A Polish Phineas Gage","volume":"12","author":[{"family":"Pachalska","given":"M."},{"family":"Bulinski","given":"L."},{"family":"Jauer-Niworowska","given":"O."},{"family":"Rasmus","given":"A."},{"family":"Daniluk","given":"B."},{"family":"Mirski","given":"A."},{"family":"Kropotov","given":"J.D."}],"issued":{"date-parts":[["2014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Pachalska et al</w:t>
            </w:r>
            <w:r w:rsidRPr="00B10849">
              <w:rPr>
                <w:rFonts w:ascii="Aptos Narrow" w:eastAsia="Times New Roman" w:hAnsi="Aptos Narrow" w:cs="Times New Roman"/>
                <w:kern w:val="0"/>
                <w:sz w:val="18"/>
                <w:szCs w:val="18"/>
                <w:lang w:eastAsia="en-GB"/>
                <w14:ligatures w14:val="none"/>
              </w:rPr>
              <w:fldChar w:fldCharType="end"/>
            </w:r>
            <w:r w:rsidRPr="00B10849">
              <w:rPr>
                <w:rFonts w:ascii="Aptos Narrow" w:eastAsia="Times New Roman" w:hAnsi="Aptos Narrow" w:cs="Times New Roman"/>
                <w:kern w:val="0"/>
                <w:sz w:val="18"/>
                <w:szCs w:val="18"/>
                <w:lang w:eastAsia="en-GB"/>
                <w14:ligatures w14:val="none"/>
              </w:rPr>
              <w:t xml:space="preserve"> </w:t>
            </w:r>
          </w:p>
        </w:tc>
        <w:tc>
          <w:tcPr>
            <w:tcW w:w="719" w:type="dxa"/>
            <w:noWrap/>
            <w:hideMark/>
          </w:tcPr>
          <w:p w14:paraId="1A8E6F7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2014</w:t>
            </w:r>
          </w:p>
        </w:tc>
        <w:tc>
          <w:tcPr>
            <w:tcW w:w="1205" w:type="dxa"/>
            <w:noWrap/>
            <w:hideMark/>
          </w:tcPr>
          <w:p w14:paraId="6555D8D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296C1F4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27yo</w:t>
            </w:r>
          </w:p>
        </w:tc>
        <w:tc>
          <w:tcPr>
            <w:tcW w:w="1052" w:type="dxa"/>
            <w:noWrap/>
            <w:hideMark/>
          </w:tcPr>
          <w:p w14:paraId="33F792B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Poland</w:t>
            </w:r>
          </w:p>
        </w:tc>
        <w:tc>
          <w:tcPr>
            <w:tcW w:w="1892" w:type="dxa"/>
            <w:noWrap/>
            <w:hideMark/>
          </w:tcPr>
          <w:p w14:paraId="3BC5819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Work-related accident</w:t>
            </w:r>
          </w:p>
        </w:tc>
        <w:tc>
          <w:tcPr>
            <w:tcW w:w="2444" w:type="dxa"/>
            <w:noWrap/>
            <w:hideMark/>
          </w:tcPr>
          <w:p w14:paraId="2308DC9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Post-injury: aggressiveness, anxiety, impulsiveness, inappropriateness and lack of good manners, unreasonable behaviour, hypersensitivity, and irritability.</w:t>
            </w:r>
          </w:p>
        </w:tc>
        <w:tc>
          <w:tcPr>
            <w:tcW w:w="2036" w:type="dxa"/>
            <w:noWrap/>
            <w:hideMark/>
          </w:tcPr>
          <w:p w14:paraId="26034DD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FBInv</w:t>
            </w:r>
          </w:p>
        </w:tc>
        <w:tc>
          <w:tcPr>
            <w:tcW w:w="1840" w:type="dxa"/>
            <w:noWrap/>
            <w:hideMark/>
          </w:tcPr>
          <w:p w14:paraId="67CD374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Frontal Lobe</w:t>
            </w:r>
          </w:p>
        </w:tc>
      </w:tr>
      <w:tr w:rsidR="00B10849" w:rsidRPr="00B10849" w14:paraId="5E8B61A5" w14:textId="77777777" w:rsidTr="00E611F1">
        <w:tc>
          <w:tcPr>
            <w:tcW w:w="490" w:type="dxa"/>
            <w:noWrap/>
            <w:hideMark/>
          </w:tcPr>
          <w:p w14:paraId="723749C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70</w:t>
            </w:r>
          </w:p>
        </w:tc>
        <w:tc>
          <w:tcPr>
            <w:tcW w:w="1320" w:type="dxa"/>
            <w:noWrap/>
            <w:hideMark/>
          </w:tcPr>
          <w:p w14:paraId="4E15758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{"citationID":"qgFyczjV","properties":{"formattedCitation":"(Snell et al., 2014a)","plainCitation":"(Snell et al., 2014a)","dontUpdate":true,"noteIndex":0},"citationItems":[{"id":20712,"uris":["http://zotero.org/users/1471066/items/9L3BAQMQ"],"itemData":{"id":20712,"type":"article-journal","container-title":"The Journal of Craniofacial Surgery","DOI":"10.1097/SCS.0000000000000779","issue":"4","language":"en","page":"1164–1167","title":"Neuropsychologic outcomes in patients treated for complex maxillofacial trauma","volume":"25","author":[{"family":"Snell","given":"B.J."},{"family":"Roberts","given":"R.M."},{"family":"Anderson","given":"P."},{"family":"David","given":"D.J."}],"issued":{"date-parts":[["2014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Snell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2849FAEF"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2014</w:t>
            </w:r>
          </w:p>
        </w:tc>
        <w:tc>
          <w:tcPr>
            <w:tcW w:w="1205" w:type="dxa"/>
            <w:noWrap/>
            <w:hideMark/>
          </w:tcPr>
          <w:p w14:paraId="392C5C3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Retrospective observational </w:t>
            </w:r>
          </w:p>
        </w:tc>
        <w:tc>
          <w:tcPr>
            <w:tcW w:w="2170" w:type="dxa"/>
            <w:noWrap/>
            <w:hideMark/>
          </w:tcPr>
          <w:p w14:paraId="75DAAF6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n=14, m=12, age=41 years; follow-up= 5.8 yrs post-inj. </w:t>
            </w:r>
          </w:p>
        </w:tc>
        <w:tc>
          <w:tcPr>
            <w:tcW w:w="1052" w:type="dxa"/>
            <w:noWrap/>
            <w:hideMark/>
          </w:tcPr>
          <w:p w14:paraId="6188D5B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Australia</w:t>
            </w:r>
          </w:p>
        </w:tc>
        <w:tc>
          <w:tcPr>
            <w:tcW w:w="1892" w:type="dxa"/>
            <w:noWrap/>
            <w:hideMark/>
          </w:tcPr>
          <w:p w14:paraId="597AD31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 9; sport-related injury = 2; fall= 2; firecracker explosion=1</w:t>
            </w:r>
          </w:p>
        </w:tc>
        <w:tc>
          <w:tcPr>
            <w:tcW w:w="2444" w:type="dxa"/>
            <w:noWrap/>
            <w:hideMark/>
          </w:tcPr>
          <w:p w14:paraId="580234B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EBIQ</w:t>
            </w:r>
          </w:p>
        </w:tc>
        <w:tc>
          <w:tcPr>
            <w:tcW w:w="2036" w:type="dxa"/>
            <w:noWrap/>
            <w:hideMark/>
          </w:tcPr>
          <w:p w14:paraId="67AD0BE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EBIQ</w:t>
            </w:r>
          </w:p>
        </w:tc>
        <w:tc>
          <w:tcPr>
            <w:tcW w:w="1840" w:type="dxa"/>
            <w:noWrap/>
            <w:hideMark/>
          </w:tcPr>
          <w:p w14:paraId="74AE51F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Complex fracture; 3 of the 4 axial facial levels (upper and lower maxillae, naso-orbito-zygomatic, and cranial vault) were impacted</w:t>
            </w:r>
          </w:p>
        </w:tc>
      </w:tr>
      <w:tr w:rsidR="00B10849" w:rsidRPr="00B10849" w14:paraId="32C67F54" w14:textId="77777777" w:rsidTr="00E611F1">
        <w:tc>
          <w:tcPr>
            <w:tcW w:w="490" w:type="dxa"/>
            <w:noWrap/>
            <w:hideMark/>
          </w:tcPr>
          <w:p w14:paraId="242DECF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71</w:t>
            </w:r>
          </w:p>
        </w:tc>
        <w:tc>
          <w:tcPr>
            <w:tcW w:w="1320" w:type="dxa"/>
            <w:noWrap/>
            <w:hideMark/>
          </w:tcPr>
          <w:p w14:paraId="10E829B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{"citationID":"e6sKCH1S","properties":{"formattedCitation":"(Diaz, Schwarzbold, Guarnieri, et al., 2014)","plainCitation":"(Diaz, Schwarzbold, Guarnieri, et al., 2014)","dontUpdate":true,"noteIndex":0},"citationItems":[{"id":20609,"uris":["http://zotero.org/users/1471066/items/LWY5N8ZH"],"itemData":{"id":20609,"type":"article-journal","container-title":"CNS Neuroscience and Therapeutics","DOI":"10.1111/cns.12256","issue":"5","language":"en","page":"479–482","title":"Posttraumatic Amnesia and Personality Changes after Severe Traumatic Brain Injury: Preliminary Findings","volume":"20","author":[{"family":"Diaz","given":"A.P."},{"family":"Schwarzbold","given":"M.L."},{"family":"Guarnieri","given":"R."},{"family":"Oliveira Thais","given":"M.E.R."},{"family":"Hohl","given":"A."},{"family":"Nunes","given":"J.C."},{"family":"Walz","given":"R."}],"issued":{"date-parts":[["2014"]]}}}],"schema":"https://github.com/citation-style-language/schema/raw/master/csl-citation.json"}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Diaz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594A8C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2014.1</w:t>
            </w:r>
          </w:p>
        </w:tc>
        <w:tc>
          <w:tcPr>
            <w:tcW w:w="1205" w:type="dxa"/>
            <w:noWrap/>
            <w:hideMark/>
          </w:tcPr>
          <w:p w14:paraId="231C5BC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control</w:t>
            </w:r>
          </w:p>
        </w:tc>
        <w:tc>
          <w:tcPr>
            <w:tcW w:w="2170" w:type="dxa"/>
            <w:noWrap/>
            <w:hideMark/>
          </w:tcPr>
          <w:p w14:paraId="11F88CB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Total=41, m=35, age=31; PChange=14, m=13, age=33.9; nPChange=29, m= 22, age=29.8</w:t>
            </w:r>
          </w:p>
        </w:tc>
        <w:tc>
          <w:tcPr>
            <w:tcW w:w="1052" w:type="dxa"/>
            <w:noWrap/>
            <w:hideMark/>
          </w:tcPr>
          <w:p w14:paraId="073B62F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Brazil</w:t>
            </w:r>
          </w:p>
        </w:tc>
        <w:tc>
          <w:tcPr>
            <w:tcW w:w="1892" w:type="dxa"/>
            <w:noWrap/>
            <w:hideMark/>
          </w:tcPr>
          <w:p w14:paraId="0C5125D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nonmissile traumatic brain injury</w:t>
            </w:r>
          </w:p>
        </w:tc>
        <w:tc>
          <w:tcPr>
            <w:tcW w:w="2444" w:type="dxa"/>
            <w:noWrap/>
            <w:hideMark/>
          </w:tcPr>
          <w:p w14:paraId="202600E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DSM-IV</w:t>
            </w:r>
          </w:p>
        </w:tc>
        <w:tc>
          <w:tcPr>
            <w:tcW w:w="2036" w:type="dxa"/>
            <w:noWrap/>
            <w:hideMark/>
          </w:tcPr>
          <w:p w14:paraId="6CFD563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DSM-IV</w:t>
            </w:r>
          </w:p>
        </w:tc>
        <w:tc>
          <w:tcPr>
            <w:tcW w:w="1840" w:type="dxa"/>
            <w:noWrap/>
            <w:hideMark/>
          </w:tcPr>
          <w:p w14:paraId="4DE0591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33A3222C" w14:textId="77777777" w:rsidTr="00E611F1">
        <w:tc>
          <w:tcPr>
            <w:tcW w:w="490" w:type="dxa"/>
            <w:noWrap/>
            <w:hideMark/>
          </w:tcPr>
          <w:p w14:paraId="040F874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72</w:t>
            </w:r>
          </w:p>
        </w:tc>
        <w:tc>
          <w:tcPr>
            <w:tcW w:w="1320" w:type="dxa"/>
            <w:noWrap/>
            <w:hideMark/>
          </w:tcPr>
          <w:p w14:paraId="62C6108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{"citationID":"LtAkhqQH","properties":{"formattedCitation":"(Diaz, Schwarzbold, Thais, Cavallazzi, Schmoeller, Nunes, &amp; Walz, 2014)","plainCitation":"(Diaz, Schwarzbold, Thais, Cavallazzi, Schmoeller, Nunes, &amp; Walz, 2014)","dontUpdate":true,"noteIndex":0},"citationItems":[{"id":20610,"uris":["http://zotero.org/users/1471066/items/Z24RFMSB"],"itemData":{"id":20610,"type":"article-journal","container-title":"Revista Brasileira de Psiquiatria","DOI":"10.1590/1516-4446-2013-1303","issue":"3","language":"en","page":"213–219","title":"Personality changes and return to work after severe traumatic brain injury: A prospective study","volume":"36","author":[{"family":"Diaz","given":"A.P."},{"family":"Schwarzbold","given":"M.L."},{"family":"Thais","given":"M.E."},{"family":"Cavallazzi","given":"G.G."},{"family":"Schmoeller","given":"R."},{"family":"Nunes","given":"J.C."},{"family":"Walz","given":"R."}],"issued":{"date-parts":[["2014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Diaz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375D5E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2014.2</w:t>
            </w:r>
          </w:p>
        </w:tc>
        <w:tc>
          <w:tcPr>
            <w:tcW w:w="1205" w:type="dxa"/>
            <w:noWrap/>
            <w:hideMark/>
          </w:tcPr>
          <w:p w14:paraId="3A9CC3B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2B0DC69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N=43, m=36, age=31.6, </w:t>
            </w:r>
          </w:p>
        </w:tc>
        <w:tc>
          <w:tcPr>
            <w:tcW w:w="1052" w:type="dxa"/>
            <w:noWrap/>
            <w:hideMark/>
          </w:tcPr>
          <w:p w14:paraId="4A88205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Brazil</w:t>
            </w:r>
          </w:p>
        </w:tc>
        <w:tc>
          <w:tcPr>
            <w:tcW w:w="1892" w:type="dxa"/>
            <w:noWrap/>
            <w:hideMark/>
          </w:tcPr>
          <w:p w14:paraId="634C834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Two pts trauma were not mentioned. 69.7% =RTA, 7%= assault,16.3%= falls, 2.3%= a bicycle accident.</w:t>
            </w:r>
          </w:p>
        </w:tc>
        <w:tc>
          <w:tcPr>
            <w:tcW w:w="2444" w:type="dxa"/>
            <w:noWrap/>
            <w:hideMark/>
          </w:tcPr>
          <w:p w14:paraId="0954984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SCID</w:t>
            </w:r>
          </w:p>
        </w:tc>
        <w:tc>
          <w:tcPr>
            <w:tcW w:w="2036" w:type="dxa"/>
            <w:noWrap/>
            <w:hideMark/>
          </w:tcPr>
          <w:p w14:paraId="0D61B33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 DSM-IV; SCAT</w:t>
            </w:r>
          </w:p>
        </w:tc>
        <w:tc>
          <w:tcPr>
            <w:tcW w:w="1840" w:type="dxa"/>
            <w:noWrap/>
            <w:hideMark/>
          </w:tcPr>
          <w:p w14:paraId="7824B79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1484F56E" w14:textId="77777777" w:rsidTr="00E611F1">
        <w:tc>
          <w:tcPr>
            <w:tcW w:w="490" w:type="dxa"/>
            <w:noWrap/>
            <w:hideMark/>
          </w:tcPr>
          <w:p w14:paraId="1462CC6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73</w:t>
            </w:r>
          </w:p>
        </w:tc>
        <w:tc>
          <w:tcPr>
            <w:tcW w:w="1320" w:type="dxa"/>
            <w:noWrap/>
            <w:hideMark/>
          </w:tcPr>
          <w:p w14:paraId="2D492E4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{"citationID":"t6cETRI4","properties":{"formattedCitation":"(Bodley-Scott &amp; Riley, 2015a)","plainCitation":"(Bodley-Scott &amp; Riley, 2015a)","dontUpdate":true,"noteIndex":0},"citationItems":[{"id":20587,"uris":["http://zotero.org/users/1471066/items/DVYRAL4L"],"itemData":{"id":20587,"type":"article-journal","container-title":"Brain Impairment","DOI":"10.1017/BrImp.2015.22","issue":"3","language":"en","page":"205–220","title":"How Partners Experience Personality Change after Traumatic Brain Injury-Its Impact on Their Emotions and their Relationship","volume":"16","author":[{"family":"Bodley-Scott","given":"S.E.M."},{"family":"Riley","given":"G.A."}],"issued":{"date-parts":[["2015"]]}}}],"schema":"https://github.com/citation-style-language/schema/raw/master/csl-citation.json"}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Bodley-Scott &amp; Riley</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B81ABAA"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2015</w:t>
            </w:r>
          </w:p>
        </w:tc>
        <w:tc>
          <w:tcPr>
            <w:tcW w:w="1205" w:type="dxa"/>
            <w:noWrap/>
            <w:hideMark/>
          </w:tcPr>
          <w:p w14:paraId="68A3905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Qualitative</w:t>
            </w:r>
          </w:p>
        </w:tc>
        <w:tc>
          <w:tcPr>
            <w:tcW w:w="2170" w:type="dxa"/>
            <w:noWrap/>
            <w:hideMark/>
          </w:tcPr>
          <w:p w14:paraId="65E555E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Small group n= 5; 29-42yo; 9months-7years post injury</w:t>
            </w:r>
          </w:p>
        </w:tc>
        <w:tc>
          <w:tcPr>
            <w:tcW w:w="1052" w:type="dxa"/>
            <w:noWrap/>
            <w:hideMark/>
          </w:tcPr>
          <w:p w14:paraId="2A1DB29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5059611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Sporting accident n=1; fall n=3; assault n=1</w:t>
            </w:r>
          </w:p>
        </w:tc>
        <w:tc>
          <w:tcPr>
            <w:tcW w:w="2444" w:type="dxa"/>
            <w:noWrap/>
            <w:hideMark/>
          </w:tcPr>
          <w:p w14:paraId="0FEE6A1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"Personality changes" not defined</w:t>
            </w:r>
          </w:p>
        </w:tc>
        <w:tc>
          <w:tcPr>
            <w:tcW w:w="2036" w:type="dxa"/>
            <w:noWrap/>
            <w:hideMark/>
          </w:tcPr>
          <w:p w14:paraId="48692A8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Interview Schedule</w:t>
            </w:r>
          </w:p>
        </w:tc>
        <w:tc>
          <w:tcPr>
            <w:tcW w:w="1840" w:type="dxa"/>
            <w:noWrap/>
            <w:hideMark/>
          </w:tcPr>
          <w:p w14:paraId="0590868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4B37D337" w14:textId="77777777" w:rsidTr="00E611F1">
        <w:tc>
          <w:tcPr>
            <w:tcW w:w="490" w:type="dxa"/>
            <w:noWrap/>
            <w:hideMark/>
          </w:tcPr>
          <w:p w14:paraId="4BC84C6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74</w:t>
            </w:r>
          </w:p>
        </w:tc>
        <w:tc>
          <w:tcPr>
            <w:tcW w:w="1320" w:type="dxa"/>
            <w:noWrap/>
            <w:hideMark/>
          </w:tcPr>
          <w:p w14:paraId="5E273A1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{"citationID":"yYHjKOUL","properties":{"formattedCitation":"(Lauterbach et al., 2015)","plainCitation":"(Lauterbach et al., 2015)","dontUpdate":true,"noteIndex":0},"citationItems":[{"id":26180,"uris":["http://zotero.org/users/1471066/items/GVCV6LC6"],"itemData":{"id":26180,"type":"article-journal","container-title":"Neuropsychiatric disease and treatment","note":"ISBN: 1178-2021","page":"1601-1607","publisher":"Taylor &amp; Francis","title":"Diagnostic and treatment challenges in traumatic brain injury patients with severe neuropsychiatric symptoms: insights into psychiatric practice","author":[{"family":"Lauterbach","given":"Margo D."},{"family":"Notarangelo","given":"Paula L."},{"family":"Nichols","given":"Stephen J."},{"family":"Lane","given":"Kristy S."},{"family":"Koliatsos","given":"Vassilis E."}],"issued":{"date-parts":[["2015"]]}}}],"schema":"https://github.com/citation-style-language/schema/raw/master/csl-citation.json"}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Lauterbach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21ED8E08"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2015</w:t>
            </w:r>
          </w:p>
        </w:tc>
        <w:tc>
          <w:tcPr>
            <w:tcW w:w="1205" w:type="dxa"/>
            <w:noWrap/>
            <w:hideMark/>
          </w:tcPr>
          <w:p w14:paraId="316E896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Retrospective observational </w:t>
            </w:r>
          </w:p>
        </w:tc>
        <w:tc>
          <w:tcPr>
            <w:tcW w:w="2170" w:type="dxa"/>
            <w:noWrap/>
            <w:hideMark/>
          </w:tcPr>
          <w:p w14:paraId="789AB6C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n=60; m=47, age=46,</w:t>
            </w:r>
          </w:p>
        </w:tc>
        <w:tc>
          <w:tcPr>
            <w:tcW w:w="1052" w:type="dxa"/>
            <w:noWrap/>
            <w:hideMark/>
          </w:tcPr>
          <w:p w14:paraId="626288C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7926BCD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 Falls</w:t>
            </w:r>
          </w:p>
        </w:tc>
        <w:tc>
          <w:tcPr>
            <w:tcW w:w="2444" w:type="dxa"/>
            <w:noWrap/>
            <w:hideMark/>
          </w:tcPr>
          <w:p w14:paraId="5E288AC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036" w:type="dxa"/>
            <w:noWrap/>
            <w:hideMark/>
          </w:tcPr>
          <w:p w14:paraId="5460F77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w:t>
            </w:r>
          </w:p>
        </w:tc>
        <w:tc>
          <w:tcPr>
            <w:tcW w:w="1840" w:type="dxa"/>
            <w:noWrap/>
            <w:hideMark/>
          </w:tcPr>
          <w:p w14:paraId="270378A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50C078B9" w14:textId="77777777" w:rsidTr="00E611F1">
        <w:tc>
          <w:tcPr>
            <w:tcW w:w="490" w:type="dxa"/>
            <w:noWrap/>
            <w:hideMark/>
          </w:tcPr>
          <w:p w14:paraId="37AEC23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75</w:t>
            </w:r>
          </w:p>
        </w:tc>
        <w:tc>
          <w:tcPr>
            <w:tcW w:w="1320" w:type="dxa"/>
            <w:noWrap/>
            <w:hideMark/>
          </w:tcPr>
          <w:p w14:paraId="465CAA2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{"citationID":"g7B6EFqy","properties":{"formattedCitation":"(Manjila et al., 2015a)","plainCitation":"(Manjila et al., 2015a)","dontUpdate":true,"noteIndex":0},"citationItems":[{"id":20654,"uris":["http://zotero.org/users/1471066/items/MILBRFDX"],"itemData":{"id":20654,"type":"article-journal","container-title":"Neurosurgical Focus","DOI":"10.3171/2015.4.FOCUS15121","issue":"1","language":"en","page":"4","title":"Understanding Edward Muybridge: historical review of behavioral alterations after a 19th-century head injury and their multifactorial influence on human life and culture","volume":"39","author":[{"family":"Manjila","given":"S."},{"family":"Singh","given":"G."},{"family":"Alkhachroum","given":"A.M."},{"family":"Ramos-Estebanez","given":"C."}],"issued":{"date-parts":[["2015"]]}}}],"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 xml:space="preserve">Manjila et al. </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BF806D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2015</w:t>
            </w:r>
          </w:p>
        </w:tc>
        <w:tc>
          <w:tcPr>
            <w:tcW w:w="1205" w:type="dxa"/>
            <w:noWrap/>
            <w:hideMark/>
          </w:tcPr>
          <w:p w14:paraId="252B1ED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024A71D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30yo,</w:t>
            </w:r>
          </w:p>
        </w:tc>
        <w:tc>
          <w:tcPr>
            <w:tcW w:w="1052" w:type="dxa"/>
            <w:noWrap/>
            <w:hideMark/>
          </w:tcPr>
          <w:p w14:paraId="7CFD781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22F47B9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18366F6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Post-injury: emotional instability, aggressiveness, possessiveness, impulsivity. Rechristened himself. Grandiose thoughts, obsessive-compulsive traits. Took risky decisions.</w:t>
            </w:r>
          </w:p>
        </w:tc>
        <w:tc>
          <w:tcPr>
            <w:tcW w:w="2036" w:type="dxa"/>
            <w:noWrap/>
            <w:hideMark/>
          </w:tcPr>
          <w:p w14:paraId="7B5BAB0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06BE61F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Frontal Lobe</w:t>
            </w:r>
          </w:p>
        </w:tc>
      </w:tr>
      <w:tr w:rsidR="00B10849" w:rsidRPr="00B10849" w14:paraId="63DAB0A2" w14:textId="77777777" w:rsidTr="00E611F1">
        <w:tc>
          <w:tcPr>
            <w:tcW w:w="490" w:type="dxa"/>
            <w:noWrap/>
            <w:hideMark/>
          </w:tcPr>
          <w:p w14:paraId="02E43C0F"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76</w:t>
            </w:r>
          </w:p>
        </w:tc>
        <w:tc>
          <w:tcPr>
            <w:tcW w:w="1320" w:type="dxa"/>
            <w:noWrap/>
            <w:hideMark/>
          </w:tcPr>
          <w:p w14:paraId="08E0BFA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{"citationID":"Ojwnp9O0","properties":{"formattedCitation":"(Menger et al., 2017)","plainCitation":"(Menger et al., 2017)","dontUpdate":true,"noteIndex":0},"citationItems":[{"id":20666,"uris":["http://zotero.org/users/1471066/items/XD5DFU5K"],"itemData":{"id":20666,"type":"article-journal","container-title":"Neurosurgery","DOI":"10.1093/neuros/nyx152","issue":"3","language":"pt","page":"545–551","title":"A political case of penetrating cranial trauma: The injury of James Scott Brady","volume":"81","author":[{"family":"Menger","given":"R."},{"family":"Kalakoti","given":"P."},{"family":"Hanif","given":"R."},{"family":"Ahmed","given":"O."},{"family":"Nanda","given":"A."},{"family":"Guthikonda","given":"B."}],"issued":{"date-parts":[["2017"]]}}}],"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Menger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1261A7B"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2015</w:t>
            </w:r>
          </w:p>
        </w:tc>
        <w:tc>
          <w:tcPr>
            <w:tcW w:w="1205" w:type="dxa"/>
            <w:noWrap/>
            <w:hideMark/>
          </w:tcPr>
          <w:p w14:paraId="1DD2A7D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357E5C9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Male, 41yo (inj) </w:t>
            </w:r>
          </w:p>
        </w:tc>
        <w:tc>
          <w:tcPr>
            <w:tcW w:w="1052" w:type="dxa"/>
            <w:noWrap/>
            <w:hideMark/>
          </w:tcPr>
          <w:p w14:paraId="4BB27E0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199AD0F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Work-related accident: Assassination Attempt</w:t>
            </w:r>
          </w:p>
        </w:tc>
        <w:tc>
          <w:tcPr>
            <w:tcW w:w="2444" w:type="dxa"/>
            <w:noWrap/>
            <w:hideMark/>
          </w:tcPr>
          <w:p w14:paraId="634FE44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036" w:type="dxa"/>
            <w:noWrap/>
            <w:hideMark/>
          </w:tcPr>
          <w:p w14:paraId="0AF47ED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60B3915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Left frontal lobe, corpus callosum, right frontal and temporal lobes. There was also a bullet fragment with an associated intraparenchymal haemorrhage in right temporal lobe.</w:t>
            </w:r>
          </w:p>
        </w:tc>
      </w:tr>
      <w:tr w:rsidR="00B10849" w:rsidRPr="00B10849" w14:paraId="38BBFDAB" w14:textId="77777777" w:rsidTr="00E611F1">
        <w:tc>
          <w:tcPr>
            <w:tcW w:w="490" w:type="dxa"/>
            <w:noWrap/>
            <w:hideMark/>
          </w:tcPr>
          <w:p w14:paraId="57B7196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77</w:t>
            </w:r>
          </w:p>
        </w:tc>
        <w:tc>
          <w:tcPr>
            <w:tcW w:w="1320" w:type="dxa"/>
            <w:noWrap/>
            <w:hideMark/>
          </w:tcPr>
          <w:p w14:paraId="265598F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{"citationID":"CcRnFKR6","properties":{"formattedCitation":"(Miskey et al., 2015)","plainCitation":"(Miskey et al., 2015)","dontUpdate":true,"noteIndex":0},"citationItems":[{"id":20669,"uris":["http://zotero.org/users/1471066/items/Z73TDB2L"],"itemData":{"id":20669,"type":"article-journal","container-title":"Brain Imaging &amp; Behavior","DOI":"10.1007/s11682-015-9391-7","issue":"3","language":"en","page":"461–471","title":"Personality Assessment Inventory profiles of veterans: Differential effects of mild traumatic brain injury and psychopathology","volume":"9","author":[{"family":"Miskey","given":"H."},{"family":"Shura","given":"R."},{"family":"Yoash-Gantz","given":"R."},{"family":"Rowland","given":"J."},{"family":"Miskey","given":"H.M."},{"family":"Shura","given":"R.D."},{"family":"Rowland","given":"J.A."}],"issued":{"date-parts":[["2015"]]}}}],"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Miskey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CDA502A"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2015</w:t>
            </w:r>
          </w:p>
        </w:tc>
        <w:tc>
          <w:tcPr>
            <w:tcW w:w="1205" w:type="dxa"/>
            <w:noWrap/>
            <w:hideMark/>
          </w:tcPr>
          <w:p w14:paraId="1E422E9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6C01BD0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n=144, m=89.6%, age=35.29, edu=13.92. C=40; mTBI=31; H=25; mTBI/PTSD=23; mTBI/PTSD=25.</w:t>
            </w:r>
          </w:p>
        </w:tc>
        <w:tc>
          <w:tcPr>
            <w:tcW w:w="1052" w:type="dxa"/>
            <w:noWrap/>
            <w:hideMark/>
          </w:tcPr>
          <w:p w14:paraId="19BCB60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779F8B9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3EBB45B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PAI</w:t>
            </w:r>
          </w:p>
        </w:tc>
        <w:tc>
          <w:tcPr>
            <w:tcW w:w="2036" w:type="dxa"/>
            <w:noWrap/>
            <w:hideMark/>
          </w:tcPr>
          <w:p w14:paraId="316F903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PAI</w:t>
            </w:r>
          </w:p>
        </w:tc>
        <w:tc>
          <w:tcPr>
            <w:tcW w:w="1840" w:type="dxa"/>
            <w:noWrap/>
            <w:hideMark/>
          </w:tcPr>
          <w:p w14:paraId="1FFC9A6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37D48F19" w14:textId="77777777" w:rsidTr="00E611F1">
        <w:tc>
          <w:tcPr>
            <w:tcW w:w="490" w:type="dxa"/>
            <w:noWrap/>
            <w:hideMark/>
          </w:tcPr>
          <w:p w14:paraId="1EFF4EF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78</w:t>
            </w:r>
          </w:p>
        </w:tc>
        <w:tc>
          <w:tcPr>
            <w:tcW w:w="1320" w:type="dxa"/>
            <w:noWrap/>
            <w:hideMark/>
          </w:tcPr>
          <w:p w14:paraId="4384CB9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{"citationID":"LEOQw0Wl","properties":{"formattedCitation":"(Norup &amp; Mortensen, 2015a)","plainCitation":"(Norup &amp; Mortensen, 2015a)","dontUpdate":true,"noteIndex":0},"citationItems":[{"id":20678,"uris":["http://zotero.org/users/1471066/items/RT77LV92"],"itemData":{"id":20678,"type":"article-journal","container-title":"Archives of Physical Medicine &amp; Rehabilitation","DOI":"10.1016/j.apmr.2014.08.009","issue":"1","language":"en","page":"56–62","title":"Prevalence and Predictors of Personality Change After Severe Brain Injury","volume":"96","author":[{"family":"Norup","given":"A."},{"family":"Mortensen","given":"E.L."}],"issued":{"date-parts":[["2015"]]}}}],"schema":"https://github.com/citation-style-language/schema/raw/master/csl-citation.json"}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Norup &amp; Mortensen</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8826D3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2015</w:t>
            </w:r>
          </w:p>
        </w:tc>
        <w:tc>
          <w:tcPr>
            <w:tcW w:w="1205" w:type="dxa"/>
            <w:noWrap/>
            <w:hideMark/>
          </w:tcPr>
          <w:p w14:paraId="1EA4B44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2FA4740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TBI=22, TBI-SO=22; C=22, C-SO=22.</w:t>
            </w:r>
          </w:p>
        </w:tc>
        <w:tc>
          <w:tcPr>
            <w:tcW w:w="1052" w:type="dxa"/>
            <w:noWrap/>
            <w:hideMark/>
          </w:tcPr>
          <w:p w14:paraId="530372B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Denmark</w:t>
            </w:r>
          </w:p>
        </w:tc>
        <w:tc>
          <w:tcPr>
            <w:tcW w:w="1892" w:type="dxa"/>
            <w:noWrap/>
            <w:hideMark/>
          </w:tcPr>
          <w:p w14:paraId="4655290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4C13DB1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NEO-FFI; EPQ</w:t>
            </w:r>
          </w:p>
        </w:tc>
        <w:tc>
          <w:tcPr>
            <w:tcW w:w="2036" w:type="dxa"/>
            <w:noWrap/>
            <w:hideMark/>
          </w:tcPr>
          <w:p w14:paraId="30C9E51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NEO-FFI; HRQOL; EPQ</w:t>
            </w:r>
          </w:p>
        </w:tc>
        <w:tc>
          <w:tcPr>
            <w:tcW w:w="1840" w:type="dxa"/>
            <w:noWrap/>
            <w:hideMark/>
          </w:tcPr>
          <w:p w14:paraId="4C6773D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2CEEF69C" w14:textId="77777777" w:rsidTr="00E611F1">
        <w:tc>
          <w:tcPr>
            <w:tcW w:w="490" w:type="dxa"/>
            <w:noWrap/>
            <w:hideMark/>
          </w:tcPr>
          <w:p w14:paraId="7082733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80</w:t>
            </w:r>
          </w:p>
        </w:tc>
        <w:tc>
          <w:tcPr>
            <w:tcW w:w="1320" w:type="dxa"/>
            <w:noWrap/>
            <w:hideMark/>
          </w:tcPr>
          <w:p w14:paraId="578A191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{"citationID":"wrLAeb27","properties":{"formattedCitation":"(Ikram et al., 2016a)","plainCitation":"(Ikram et al., 2016a)","dontUpdate":true,"noteIndex":0},"citationItems":[{"id":20637,"uris":["http://zotero.org/users/1471066/items/4D6DA7EU"],"itemData":{"id":20637,"type":"article-journal","container-title":"Journal of Clinical Neuroscience","DOI":"10.1016/j.jocn.2015.10.035","language":"en","page":"16–19","title":"The head that wears the crown: Henry VIII and traumatic brain injury","volume":"28","author":[{"family":"Ikram","given":"M.Q."},{"family":"Sajjad","given":"F.H."},{"family":"Salardini","given":"A."}],"issued":{"date-parts":[["2016"]]}}}],"schema":"https://github.com/citation-style-language/schema/raw/master/csl-citation.json"}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Ikram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7F1254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2016</w:t>
            </w:r>
          </w:p>
        </w:tc>
        <w:tc>
          <w:tcPr>
            <w:tcW w:w="1205" w:type="dxa"/>
            <w:noWrap/>
            <w:hideMark/>
          </w:tcPr>
          <w:p w14:paraId="292EF44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095EDE9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Henry VIII</w:t>
            </w:r>
          </w:p>
        </w:tc>
        <w:tc>
          <w:tcPr>
            <w:tcW w:w="1052" w:type="dxa"/>
            <w:noWrap/>
            <w:hideMark/>
          </w:tcPr>
          <w:p w14:paraId="178E8F5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p>
        </w:tc>
        <w:tc>
          <w:tcPr>
            <w:tcW w:w="1892" w:type="dxa"/>
            <w:noWrap/>
            <w:hideMark/>
          </w:tcPr>
          <w:p w14:paraId="531EBF5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Multiple Sport-Related Incidents</w:t>
            </w:r>
          </w:p>
        </w:tc>
        <w:tc>
          <w:tcPr>
            <w:tcW w:w="2444" w:type="dxa"/>
            <w:noWrap/>
            <w:hideMark/>
          </w:tcPr>
          <w:p w14:paraId="5D9E932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Impulse control, irritability, anger outbursts, depression, sleeplessness, forgetfulness.</w:t>
            </w:r>
          </w:p>
        </w:tc>
        <w:tc>
          <w:tcPr>
            <w:tcW w:w="2036" w:type="dxa"/>
            <w:noWrap/>
            <w:hideMark/>
          </w:tcPr>
          <w:p w14:paraId="277FAA9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67BF320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71A2125F" w14:textId="77777777" w:rsidTr="00E611F1">
        <w:tc>
          <w:tcPr>
            <w:tcW w:w="490" w:type="dxa"/>
            <w:noWrap/>
            <w:hideMark/>
          </w:tcPr>
          <w:p w14:paraId="66777DC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81</w:t>
            </w:r>
          </w:p>
        </w:tc>
        <w:tc>
          <w:tcPr>
            <w:tcW w:w="1320" w:type="dxa"/>
            <w:noWrap/>
            <w:hideMark/>
          </w:tcPr>
          <w:p w14:paraId="1120796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{"citationID":"rb4YrbaX","properties":{"formattedCitation":"(R. A. Weddell &amp; Wood, 2016a)","plainCitation":"(R. A. Weddell &amp; Wood, 2016a)","dontUpdate":true,"noteIndex":0},"citationItems":[{"id":20728,"uris":["http://zotero.org/users/1471066/items/3IZNHLF3"],"itemData":{"id":20728,"type":"article-journal","container-title":"Brain Injury","DOI":"10.1080/02699052.2016.1195921","issue":"11","language":"en","page":"1362–1371","title":"Exploration of correlates of self-reported personality change after moderate–severe traumatic brain injury","volume":"30","author":[{"family":"Weddell","given":"Rodger A."},{"family":"Wood","given":"R.L."}],"issued":{"date-parts":[["2016"]]}}}],"schema":"https://github.com/citation-style-language/schema/raw/master/csl-citation.json"}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Weddell &amp; Wood</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25DF57C4"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2016</w:t>
            </w:r>
          </w:p>
        </w:tc>
        <w:tc>
          <w:tcPr>
            <w:tcW w:w="1205" w:type="dxa"/>
            <w:noWrap/>
            <w:hideMark/>
          </w:tcPr>
          <w:p w14:paraId="0436B5C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41E82FE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NHS = 40; m=30; Age=39.8; MSinceInj=64.5; ML = 31; M=22; age=33.8; MSinceInj=49.3</w:t>
            </w:r>
          </w:p>
        </w:tc>
        <w:tc>
          <w:tcPr>
            <w:tcW w:w="1052" w:type="dxa"/>
            <w:noWrap/>
            <w:hideMark/>
          </w:tcPr>
          <w:p w14:paraId="03830CB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558A65E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NHS: RTA=45%, Fall=30%, Assault=17.5%, other = 7.5%; ML: RTA=87.1%, Fall=9.6%, Assault=3.2%, other = 0.0%</w:t>
            </w:r>
          </w:p>
        </w:tc>
        <w:tc>
          <w:tcPr>
            <w:tcW w:w="2444" w:type="dxa"/>
            <w:noWrap/>
            <w:hideMark/>
          </w:tcPr>
          <w:p w14:paraId="3973F79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Self-reported personality changes</w:t>
            </w:r>
          </w:p>
        </w:tc>
        <w:tc>
          <w:tcPr>
            <w:tcW w:w="2036" w:type="dxa"/>
            <w:noWrap/>
            <w:hideMark/>
          </w:tcPr>
          <w:p w14:paraId="30EEC0F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 DEX; BIS-11; WAIS; WMS; BADS; BSIT; SIT; HADS; BDI-FS; STAXI-II; Family questionnaire</w:t>
            </w:r>
          </w:p>
        </w:tc>
        <w:tc>
          <w:tcPr>
            <w:tcW w:w="1840" w:type="dxa"/>
            <w:noWrap/>
            <w:hideMark/>
          </w:tcPr>
          <w:p w14:paraId="526E6EE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61F399DC" w14:textId="77777777" w:rsidTr="00E611F1">
        <w:tc>
          <w:tcPr>
            <w:tcW w:w="490" w:type="dxa"/>
            <w:noWrap/>
            <w:hideMark/>
          </w:tcPr>
          <w:p w14:paraId="71A7C104"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82</w:t>
            </w:r>
          </w:p>
        </w:tc>
        <w:tc>
          <w:tcPr>
            <w:tcW w:w="1320" w:type="dxa"/>
            <w:noWrap/>
            <w:hideMark/>
          </w:tcPr>
          <w:p w14:paraId="4BA4B60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{"citationID":"W7taoHXP","properties":{"formattedCitation":"(Wong et al., 2016)","plainCitation":"(Wong et al., 2016)","dontUpdate":true,"noteIndex":0},"citationItems":[{"id":6832,"uris":["http://zotero.org/users/1471066/items/YRMTRZG7","http://zotero.org/users/1471066/items/G3WJ92CQ"],"itemData":{"id":6832,"type":"article-journal","abstract":"Purpose/Objective: Personality has been linked to cognitive appraisal and health outcomes; however, research specific to traumatic brain injury (TBI) has been sparse. Gray’s theory of behavioral inhibition system and behavioral activation system (BIS/BAS) offers a neurobiologic view of personality that may be especially relevant to neurobehavioral change associated with TBI. The present study examined theoretical and psychometric issues of using the BIS/BAS scale among adults with TBI as well as BIS/BAS personality correlates of TBI. Research Method/Design: Eighty-one adults with complicated-mild to severe TBI and 76 of their significant others (SOs) participated. Measures included the BIS/BAS scale, Positive and Negative Affect Schedule, and Awareness Questionnaire. Results: Among adults with TBI, BIS/BAS internal consistency reliabilities were similar to those found in normative samples of adults without TBI. The TBI group endorsed significantly higher BAS than did the SO group, and injury severity was positively correlated to BAS. The SO group showed expected patterns of correlation between personality and affect; positive affect was associated with BAS, and negative affect with BIS. In contrast, in the TBI group, BAS was positively correlated to both positive and negative affect. Impaired awareness of abilities moderated the intensity of relationships between BIS/BAS and affect. Conclusions/Implications: TBI was associated with relatively intensified BAS (approach behavior) but not BIS (avoidance behavior). The observed pattern is consistent with the neurobiology of TBI-related personality change and with theory regarding the independence of the BIS and BAS systems. The BIS/BAS scale shows promise as a personality measure in TBI. (PsycInfo Database Record (c) 2020 APA, all rights reserved)","container-title":"Rehabilitation Psychology","DOI":"10.1037/rep0000109","ISSN":"1939-1544","issue":"4","page":"397-407","publisher":"American Psychological Association","publisher-place":"US","source":"APA PsycNet","title":"Behavioral inhibition and activation systems in traumatic brain injury","volume":"61","author":[{"family":"Wong","given":"Christina G."},{"family":"Rapport","given":"Lisa J."},{"family":"Meachen","given":"Sarah-Jane"},{"family":"Hanks","given":"Robin A."},{"family":"Lumley","given":"Mark A."}],"issued":{"date-parts":[["2016"]]}}}],"schema":"https://github.com/citation-style-language/schema/raw/master/csl-citation.json"}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Wong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08E91DD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2016</w:t>
            </w:r>
          </w:p>
        </w:tc>
        <w:tc>
          <w:tcPr>
            <w:tcW w:w="1205" w:type="dxa"/>
            <w:noWrap/>
            <w:hideMark/>
          </w:tcPr>
          <w:p w14:paraId="72298F8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3F73F52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TBI=81, m=61, age=44.6, edu=12, AA=60 W=17 H=1; SO= 76, m=23, age=49.9, edu=12.7, AA=57 W=18</w:t>
            </w:r>
          </w:p>
        </w:tc>
        <w:tc>
          <w:tcPr>
            <w:tcW w:w="1052" w:type="dxa"/>
            <w:noWrap/>
            <w:hideMark/>
          </w:tcPr>
          <w:p w14:paraId="5E909B2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4336" w:type="dxa"/>
            <w:gridSpan w:val="2"/>
            <w:noWrap/>
            <w:hideMark/>
          </w:tcPr>
          <w:p w14:paraId="6C9E0E8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medically documented complicated-mild, moderate, or severe TBI</w:t>
            </w:r>
          </w:p>
        </w:tc>
        <w:tc>
          <w:tcPr>
            <w:tcW w:w="2036" w:type="dxa"/>
            <w:noWrap/>
            <w:hideMark/>
          </w:tcPr>
          <w:p w14:paraId="06A00A38" w14:textId="77777777" w:rsidR="00E8789B" w:rsidRPr="00B10849" w:rsidRDefault="00E8789B" w:rsidP="00E611F1">
            <w:pPr>
              <w:spacing w:after="0" w:line="240" w:lineRule="auto"/>
              <w:rPr>
                <w:rFonts w:ascii="Aptos Narrow" w:eastAsia="Times New Roman" w:hAnsi="Aptos Narrow" w:cs="Times New Roman"/>
                <w:kern w:val="0"/>
                <w:sz w:val="18"/>
                <w:szCs w:val="18"/>
                <w:lang w:val="es-CO" w:eastAsia="en-GB"/>
                <w14:ligatures w14:val="none"/>
              </w:rPr>
            </w:pPr>
            <w:r w:rsidRPr="00B10849">
              <w:rPr>
                <w:rFonts w:ascii="Aptos Narrow" w:eastAsia="Times New Roman" w:hAnsi="Aptos Narrow" w:cs="Times New Roman"/>
                <w:kern w:val="0"/>
                <w:sz w:val="18"/>
                <w:szCs w:val="18"/>
                <w:lang w:val="es-CO" w:eastAsia="en-GB"/>
                <w14:ligatures w14:val="none"/>
              </w:rPr>
              <w:t>BIS/BAS; PNAS; AQ; GCS; WTAR</w:t>
            </w:r>
          </w:p>
        </w:tc>
        <w:tc>
          <w:tcPr>
            <w:tcW w:w="1840" w:type="dxa"/>
            <w:noWrap/>
            <w:hideMark/>
          </w:tcPr>
          <w:p w14:paraId="44B4AA3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26D7A783" w14:textId="77777777" w:rsidTr="00E611F1">
        <w:tc>
          <w:tcPr>
            <w:tcW w:w="490" w:type="dxa"/>
            <w:noWrap/>
            <w:hideMark/>
          </w:tcPr>
          <w:p w14:paraId="5962737F"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79</w:t>
            </w:r>
          </w:p>
        </w:tc>
        <w:tc>
          <w:tcPr>
            <w:tcW w:w="1320" w:type="dxa"/>
            <w:noWrap/>
            <w:hideMark/>
          </w:tcPr>
          <w:p w14:paraId="30F5C28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{"citationID":"3rhia9G0","properties":{"formattedCitation":"(Achinivu, 2017)","plainCitation":"(Achinivu, 2017)","dontUpdate":true,"noteIndex":0},"citationItems":[{"id":26181,"uris":["http://zotero.org/users/1471066/items/GW9Y67BI"],"itemData":{"id":26181,"type":"chapter","container-title":"Neuropsychiatry Case Studies","page":"207-210","publisher":"Springer","title":"Case Vignette. Brain Injury Can Make One Better!","author":[{"family":"Achinivu","given":"Kanu"}],"issued":{"date-parts":[["2017"]]}}}],"schema":"https://github.com/citation-style-language/schema/raw/master/csl-citation.json"}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Achinivu</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F348464"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2017</w:t>
            </w:r>
          </w:p>
        </w:tc>
        <w:tc>
          <w:tcPr>
            <w:tcW w:w="1205" w:type="dxa"/>
            <w:noWrap/>
            <w:hideMark/>
          </w:tcPr>
          <w:p w14:paraId="7CC7D7E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19B1ADA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Female, 58yo, inj at 54</w:t>
            </w:r>
          </w:p>
        </w:tc>
        <w:tc>
          <w:tcPr>
            <w:tcW w:w="1052" w:type="dxa"/>
            <w:noWrap/>
            <w:hideMark/>
          </w:tcPr>
          <w:p w14:paraId="505EB9B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5D06FB6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6FE8073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OPD</w:t>
            </w:r>
          </w:p>
        </w:tc>
        <w:tc>
          <w:tcPr>
            <w:tcW w:w="2036" w:type="dxa"/>
            <w:noWrap/>
            <w:hideMark/>
          </w:tcPr>
          <w:p w14:paraId="3369D6E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w:t>
            </w:r>
          </w:p>
        </w:tc>
        <w:tc>
          <w:tcPr>
            <w:tcW w:w="1840" w:type="dxa"/>
            <w:noWrap/>
            <w:hideMark/>
          </w:tcPr>
          <w:p w14:paraId="7E65EA3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bilateral small acute subdural hematomas and multiple contusions especially in both temporal lobes</w:t>
            </w:r>
          </w:p>
        </w:tc>
      </w:tr>
      <w:tr w:rsidR="00B10849" w:rsidRPr="00B10849" w14:paraId="018E10B2" w14:textId="77777777" w:rsidTr="00E611F1">
        <w:tc>
          <w:tcPr>
            <w:tcW w:w="490" w:type="dxa"/>
            <w:noWrap/>
            <w:hideMark/>
          </w:tcPr>
          <w:p w14:paraId="3A420A8E"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83</w:t>
            </w:r>
          </w:p>
        </w:tc>
        <w:tc>
          <w:tcPr>
            <w:tcW w:w="1320" w:type="dxa"/>
            <w:noWrap/>
            <w:hideMark/>
          </w:tcPr>
          <w:p w14:paraId="129BCBB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Cohen-Zimerman et al.</w:t>
            </w:r>
          </w:p>
        </w:tc>
        <w:tc>
          <w:tcPr>
            <w:tcW w:w="719" w:type="dxa"/>
            <w:noWrap/>
            <w:hideMark/>
          </w:tcPr>
          <w:p w14:paraId="7DE40FE9"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2017</w:t>
            </w:r>
          </w:p>
        </w:tc>
        <w:tc>
          <w:tcPr>
            <w:tcW w:w="1205" w:type="dxa"/>
            <w:noWrap/>
            <w:hideMark/>
          </w:tcPr>
          <w:p w14:paraId="3143605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00D2FB3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val="es-CO" w:eastAsia="en-GB"/>
                <w14:ligatures w14:val="none"/>
              </w:rPr>
              <w:t>HC = 62.23yo; education = 15.06; N= 39. PC  = 63.70yo; education = 15.45; N=33. R dlPFC = 63.27yo; education = 13.64; N=11. L dlPFC = 62.31yo; education = 13.56; N=15</w:t>
            </w:r>
          </w:p>
        </w:tc>
        <w:tc>
          <w:tcPr>
            <w:tcW w:w="1052" w:type="dxa"/>
            <w:noWrap/>
            <w:hideMark/>
          </w:tcPr>
          <w:p w14:paraId="38FD17A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6080EF8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4D720A8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Machiavellianism</w:t>
            </w:r>
          </w:p>
        </w:tc>
        <w:tc>
          <w:tcPr>
            <w:tcW w:w="2036" w:type="dxa"/>
            <w:noWrap/>
            <w:hideMark/>
          </w:tcPr>
          <w:p w14:paraId="2B099F0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AFQT; WAIS; Mississippi PTSD scale; BDI; STAI; BNT; Faux Pas story/Control; BEES; MSCEIT; D-KEFS</w:t>
            </w:r>
          </w:p>
        </w:tc>
        <w:tc>
          <w:tcPr>
            <w:tcW w:w="1840" w:type="dxa"/>
            <w:noWrap/>
            <w:hideMark/>
          </w:tcPr>
          <w:p w14:paraId="2B2690C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Left dorsolateral prefrontal cortex</w:t>
            </w:r>
          </w:p>
        </w:tc>
      </w:tr>
      <w:tr w:rsidR="00B10849" w:rsidRPr="00B10849" w14:paraId="3B732EDD" w14:textId="77777777" w:rsidTr="00E611F1">
        <w:tc>
          <w:tcPr>
            <w:tcW w:w="490" w:type="dxa"/>
            <w:noWrap/>
            <w:hideMark/>
          </w:tcPr>
          <w:p w14:paraId="422338AF"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84</w:t>
            </w:r>
          </w:p>
        </w:tc>
        <w:tc>
          <w:tcPr>
            <w:tcW w:w="1320" w:type="dxa"/>
            <w:noWrap/>
            <w:hideMark/>
          </w:tcPr>
          <w:p w14:paraId="5C42580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{"citationID":"a7Jw71Yv","properties":{"formattedCitation":"(Margetic &amp; Margetic, 2018a)","plainCitation":"(Margetic &amp; Margetic, 2018a)","dontUpdate":true,"noteIndex":0},"citationItems":[{"id":20655,"uris":["http://zotero.org/users/1471066/items/9XT7Y4KL"],"itemData":{"id":20655,"type":"article-journal","container-title":"Psychiatric Annals","issue":"11","language":"en","page":"528–530","title":"Improvement of depression and cognitive dysfunction 6 years after severe traumatic brain injury","volume":"48","author":[{"family":"Margetic","given":"B."},{"family":"Margetic","given":"B.A."}],"issued":{"date-parts":[["2018"]]}}}],"schema":"https://github.com/citation-style-language/schema/raw/master/csl-citation.json"}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Margetic &amp; Margetic</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7837202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2018</w:t>
            </w:r>
          </w:p>
        </w:tc>
        <w:tc>
          <w:tcPr>
            <w:tcW w:w="1205" w:type="dxa"/>
            <w:noWrap/>
            <w:hideMark/>
          </w:tcPr>
          <w:p w14:paraId="75D8CFA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19A2498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Male, 52yo</w:t>
            </w:r>
          </w:p>
        </w:tc>
        <w:tc>
          <w:tcPr>
            <w:tcW w:w="1052" w:type="dxa"/>
            <w:noWrap/>
            <w:hideMark/>
          </w:tcPr>
          <w:p w14:paraId="01EA90A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Croatia</w:t>
            </w:r>
          </w:p>
        </w:tc>
        <w:tc>
          <w:tcPr>
            <w:tcW w:w="1892" w:type="dxa"/>
            <w:noWrap/>
            <w:hideMark/>
          </w:tcPr>
          <w:p w14:paraId="1EBB8E9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Work-related accident</w:t>
            </w:r>
          </w:p>
        </w:tc>
        <w:tc>
          <w:tcPr>
            <w:tcW w:w="2444" w:type="dxa"/>
            <w:noWrap/>
            <w:hideMark/>
          </w:tcPr>
          <w:p w14:paraId="1C59F46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OPD</w:t>
            </w:r>
          </w:p>
        </w:tc>
        <w:tc>
          <w:tcPr>
            <w:tcW w:w="2036" w:type="dxa"/>
            <w:noWrap/>
            <w:hideMark/>
          </w:tcPr>
          <w:p w14:paraId="4200D63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 ICD-10 (personality); WBI; WMS</w:t>
            </w:r>
          </w:p>
        </w:tc>
        <w:tc>
          <w:tcPr>
            <w:tcW w:w="1840" w:type="dxa"/>
            <w:noWrap/>
            <w:hideMark/>
          </w:tcPr>
          <w:p w14:paraId="3527304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 fracture of the skull base and the right temporal bone, along with temporal epidural hemorrhage</w:t>
            </w:r>
          </w:p>
        </w:tc>
      </w:tr>
      <w:tr w:rsidR="00B10849" w:rsidRPr="00B10849" w14:paraId="2619D814" w14:textId="77777777" w:rsidTr="00E611F1">
        <w:tc>
          <w:tcPr>
            <w:tcW w:w="490" w:type="dxa"/>
            <w:noWrap/>
            <w:hideMark/>
          </w:tcPr>
          <w:p w14:paraId="4CD9BAC9"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85</w:t>
            </w:r>
          </w:p>
        </w:tc>
        <w:tc>
          <w:tcPr>
            <w:tcW w:w="1320" w:type="dxa"/>
            <w:noWrap/>
            <w:hideMark/>
          </w:tcPr>
          <w:p w14:paraId="57DF9D7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{"citationID":"GMNpGOci","properties":{"formattedCitation":"(R. A. Weddell &amp; Wood, 2018a)","plainCitation":"(R. A. Weddell &amp; Wood, 2018a)","dontUpdate":true,"noteIndex":0},"citationItems":[{"id":20729,"uris":["http://zotero.org/users/1471066/items/95ADW2RP"],"itemData":{"id":20729,"type":"article-journal","container-title":"Brain Injury","DOI":"10.1080/02699052.2018.1429657","issue":"4","language":"en","page":"442–452","title":"Perceived personality change after traumatic brain injury II: comparing participant and informant perspectives","volume":"32","author":[{"family":"Weddell","given":"Rodger A."},{"family":"Wood","given":"R.L."}],"issued":{"date-parts":[["2018"]]}}}],"schema":"https://github.com/citation-style-language/schema/raw/master/csl-citation.json"}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Weddell &amp; Wood</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8A7CB8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2018</w:t>
            </w:r>
          </w:p>
        </w:tc>
        <w:tc>
          <w:tcPr>
            <w:tcW w:w="1205" w:type="dxa"/>
            <w:noWrap/>
            <w:hideMark/>
          </w:tcPr>
          <w:p w14:paraId="1837947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2748842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N=71, M=52, age=37.2, mntssinceinj=57.9</w:t>
            </w:r>
          </w:p>
        </w:tc>
        <w:tc>
          <w:tcPr>
            <w:tcW w:w="1052" w:type="dxa"/>
            <w:noWrap/>
            <w:hideMark/>
          </w:tcPr>
          <w:p w14:paraId="2403D3D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UK</w:t>
            </w:r>
          </w:p>
        </w:tc>
        <w:tc>
          <w:tcPr>
            <w:tcW w:w="1892" w:type="dxa"/>
            <w:noWrap/>
            <w:hideMark/>
          </w:tcPr>
          <w:p w14:paraId="41E1E37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 = 60.6%, Fall = 14.1%, assault=7%, other=18.3%</w:t>
            </w:r>
          </w:p>
        </w:tc>
        <w:tc>
          <w:tcPr>
            <w:tcW w:w="2444" w:type="dxa"/>
            <w:noWrap/>
            <w:hideMark/>
          </w:tcPr>
          <w:p w14:paraId="11E07E0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Self-reported personality changes</w:t>
            </w:r>
          </w:p>
        </w:tc>
        <w:tc>
          <w:tcPr>
            <w:tcW w:w="2036" w:type="dxa"/>
            <w:noWrap/>
            <w:hideMark/>
          </w:tcPr>
          <w:p w14:paraId="6C4FFA6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GCS; BSIT; FSBQ; HADS, BDI-FS, STAXI-II; Family Questionnaire; WAIS, WMS; DKEFS; DEX</w:t>
            </w:r>
          </w:p>
        </w:tc>
        <w:tc>
          <w:tcPr>
            <w:tcW w:w="1840" w:type="dxa"/>
            <w:noWrap/>
            <w:hideMark/>
          </w:tcPr>
          <w:p w14:paraId="534556A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42B595CC" w14:textId="77777777" w:rsidTr="00E611F1">
        <w:tc>
          <w:tcPr>
            <w:tcW w:w="490" w:type="dxa"/>
            <w:noWrap/>
            <w:hideMark/>
          </w:tcPr>
          <w:p w14:paraId="48832C7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86</w:t>
            </w:r>
          </w:p>
        </w:tc>
        <w:tc>
          <w:tcPr>
            <w:tcW w:w="1320" w:type="dxa"/>
            <w:noWrap/>
            <w:hideMark/>
          </w:tcPr>
          <w:p w14:paraId="6B4DA9B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{"citationID":"r0Z32E2I","properties":{"formattedCitation":"(Aldossary et al., 2019)","plainCitation":"(Aldossary et al., 2019)","dontUpdate":true,"noteIndex":0},"citationItems":[{"id":20578,"uris":["http://zotero.org/users/1471066/items/LUF63XFT"],"itemData":{"id":20578,"type":"article-journal","container-title":"Journal of Affective Disorders","DOI":"10.1016/j.jad.2018.09.001","language":"en","page":"1–7","title":"Predictive value of early MRI findings on neurocognitive and psychiatric outcomes in patients with severe traumatic brain injury","volume":"243","author":[{"family":"Aldossary","given":"N.M."},{"family":"Kotb","given":"M.A."},{"family":"Kamal","given":"A.M."}],"issued":{"date-parts":[["2019"]]}}}],"schema":"https://github.com/citation-style-language/schema/raw/master/csl-citation.json"}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Aldossary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1D74E58B"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2019</w:t>
            </w:r>
          </w:p>
        </w:tc>
        <w:tc>
          <w:tcPr>
            <w:tcW w:w="1205" w:type="dxa"/>
            <w:noWrap/>
            <w:hideMark/>
          </w:tcPr>
          <w:p w14:paraId="2896B5F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38CFFF4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Pts with (n=70[m=52]; 39.4 +- 9.2) vs without diffuse axonal injury (n=181[m=141]; 40.3 +- 8.4)</w:t>
            </w:r>
          </w:p>
        </w:tc>
        <w:tc>
          <w:tcPr>
            <w:tcW w:w="1052" w:type="dxa"/>
            <w:noWrap/>
            <w:hideMark/>
          </w:tcPr>
          <w:p w14:paraId="1E8211C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Saudi Arabia</w:t>
            </w:r>
          </w:p>
        </w:tc>
        <w:tc>
          <w:tcPr>
            <w:tcW w:w="1892" w:type="dxa"/>
            <w:noWrap/>
            <w:hideMark/>
          </w:tcPr>
          <w:p w14:paraId="7EEFD85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Traffic (w/oDAI n=52; w/DAI n=134); Fall (w/oDAI n=10; w/DAI n=33); Pupillary Abnormality (w/oDAI n=8; w/DAI n=23); Other (w/oDAI n=8; w/DAI n=14)</w:t>
            </w:r>
          </w:p>
        </w:tc>
        <w:tc>
          <w:tcPr>
            <w:tcW w:w="2444" w:type="dxa"/>
            <w:noWrap/>
            <w:hideMark/>
          </w:tcPr>
          <w:p w14:paraId="524BDA3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"Personality changes" not defined</w:t>
            </w:r>
          </w:p>
        </w:tc>
        <w:tc>
          <w:tcPr>
            <w:tcW w:w="2036" w:type="dxa"/>
            <w:noWrap/>
            <w:hideMark/>
          </w:tcPr>
          <w:p w14:paraId="42FF9B5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GOSE; SCAN (perhaps used for personality?); MMSE</w:t>
            </w:r>
          </w:p>
        </w:tc>
        <w:tc>
          <w:tcPr>
            <w:tcW w:w="1840" w:type="dxa"/>
            <w:noWrap/>
            <w:hideMark/>
          </w:tcPr>
          <w:p w14:paraId="62F7424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29482185" w14:textId="77777777" w:rsidTr="00E611F1">
        <w:tc>
          <w:tcPr>
            <w:tcW w:w="490" w:type="dxa"/>
            <w:noWrap/>
            <w:hideMark/>
          </w:tcPr>
          <w:p w14:paraId="4B40995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87</w:t>
            </w:r>
          </w:p>
        </w:tc>
        <w:tc>
          <w:tcPr>
            <w:tcW w:w="1320" w:type="dxa"/>
            <w:noWrap/>
            <w:hideMark/>
          </w:tcPr>
          <w:p w14:paraId="0846629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{"citationID":"KIQRPUNI","properties":{"formattedCitation":"(Merz et al., 2019)","plainCitation":"(Merz et al., 2019)","dontUpdate":true,"noteIndex":0},"citationItems":[{"id":20667,"uris":["http://zotero.org/users/1471066/items/EZCK3IUJ"],"itemData":{"id":20667,"type":"article-journal","container-title":"Brain Injury","DOI":"10.1080/02699052.2019.1581949","issue":"8","language":"en","page":"1003–1011","title":"Examining the relationship between neuroticism and post-concussion syndrome in mild traumatic brain injury","volume":"33","author":[{"family":"Merz","given":"Z.C."},{"family":"Zane","given":"K."},{"family":"Emmert","given":"N.A."},{"family":"Lace","given":"J."},{"family":"Grant","given":"A."}],"issued":{"date-parts":[["2019"]]}}}],"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Merz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0F41DEA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2019</w:t>
            </w:r>
          </w:p>
        </w:tc>
        <w:tc>
          <w:tcPr>
            <w:tcW w:w="1205" w:type="dxa"/>
            <w:noWrap/>
            <w:hideMark/>
          </w:tcPr>
          <w:p w14:paraId="6D0685C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2E47F5F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Total=612, m=201, age = 35.63, w=74.8%; TBI =110, time since inj=427.3 weeks</w:t>
            </w:r>
          </w:p>
        </w:tc>
        <w:tc>
          <w:tcPr>
            <w:tcW w:w="1052" w:type="dxa"/>
            <w:noWrap/>
            <w:hideMark/>
          </w:tcPr>
          <w:p w14:paraId="19B4058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2A45157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37552EA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NEO-FFI</w:t>
            </w:r>
          </w:p>
        </w:tc>
        <w:tc>
          <w:tcPr>
            <w:tcW w:w="2036" w:type="dxa"/>
            <w:noWrap/>
            <w:hideMark/>
          </w:tcPr>
          <w:p w14:paraId="59EB8DE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IPIP-NEO-FFI; PCSS</w:t>
            </w:r>
          </w:p>
        </w:tc>
        <w:tc>
          <w:tcPr>
            <w:tcW w:w="1840" w:type="dxa"/>
            <w:noWrap/>
            <w:hideMark/>
          </w:tcPr>
          <w:p w14:paraId="3CAF39C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6AE954E7" w14:textId="77777777" w:rsidTr="00E611F1">
        <w:tc>
          <w:tcPr>
            <w:tcW w:w="490" w:type="dxa"/>
            <w:noWrap/>
            <w:hideMark/>
          </w:tcPr>
          <w:p w14:paraId="4F3AB4D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88</w:t>
            </w:r>
          </w:p>
        </w:tc>
        <w:tc>
          <w:tcPr>
            <w:tcW w:w="1320" w:type="dxa"/>
            <w:noWrap/>
            <w:hideMark/>
          </w:tcPr>
          <w:p w14:paraId="1A37BD6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{"citationID":"mSrdoPwH","properties":{"formattedCitation":"(Durcan et al., 2020a)","plainCitation":"(Durcan et al., 2020a)","dontUpdate":true,"noteIndex":0},"citationItems":[{"id":20615,"uris":["http://zotero.org/users/1471066/items/DJCAETRG"],"itemData":{"id":20615,"type":"article-journal","container-title":"Irish Medical Journal","issue":"9","language":"sn","page":"1–4","title":"The irish phineas gage: Frontal lobe traumatic brain injury","volume":"113","author":[{"family":"Durcan","given":"R."},{"family":"Mulroy","given":"E."},{"family":"Kavanagh","given":"E."},{"family":"Lynch","given":"T."}],"issued":{"date-parts":[["2020"]]}}}],"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Durcan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6769B51D"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2020</w:t>
            </w:r>
          </w:p>
        </w:tc>
        <w:tc>
          <w:tcPr>
            <w:tcW w:w="1205" w:type="dxa"/>
            <w:noWrap/>
            <w:hideMark/>
          </w:tcPr>
          <w:p w14:paraId="5D56092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48AAF5E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46yo male</w:t>
            </w:r>
          </w:p>
        </w:tc>
        <w:tc>
          <w:tcPr>
            <w:tcW w:w="1052" w:type="dxa"/>
            <w:noWrap/>
            <w:hideMark/>
          </w:tcPr>
          <w:p w14:paraId="61A8E16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Ireland</w:t>
            </w:r>
          </w:p>
        </w:tc>
        <w:tc>
          <w:tcPr>
            <w:tcW w:w="1892" w:type="dxa"/>
            <w:noWrap/>
            <w:hideMark/>
          </w:tcPr>
          <w:p w14:paraId="26DD277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Work-related accident</w:t>
            </w:r>
          </w:p>
        </w:tc>
        <w:tc>
          <w:tcPr>
            <w:tcW w:w="2444" w:type="dxa"/>
            <w:noWrap/>
            <w:hideMark/>
          </w:tcPr>
          <w:p w14:paraId="0D40707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Pre-injury: affable and gregarious. Post-injury: paranoid, irritable, short-tempered; difficulties socialising, withdrew from society. Poor concentration, memory, and lost his job. Readily insults people, showing no remorse or empathy </w:t>
            </w:r>
          </w:p>
        </w:tc>
        <w:tc>
          <w:tcPr>
            <w:tcW w:w="2036" w:type="dxa"/>
            <w:noWrap/>
            <w:hideMark/>
          </w:tcPr>
          <w:p w14:paraId="7C26D2A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786C399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left fronto-parietal and temporal lobe damage. </w:t>
            </w:r>
          </w:p>
        </w:tc>
      </w:tr>
      <w:tr w:rsidR="00B10849" w:rsidRPr="00B10849" w14:paraId="5A0D0D8A" w14:textId="77777777" w:rsidTr="00E611F1">
        <w:tc>
          <w:tcPr>
            <w:tcW w:w="490" w:type="dxa"/>
            <w:noWrap/>
            <w:hideMark/>
          </w:tcPr>
          <w:p w14:paraId="146B0B0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89</w:t>
            </w:r>
          </w:p>
        </w:tc>
        <w:tc>
          <w:tcPr>
            <w:tcW w:w="1320" w:type="dxa"/>
            <w:noWrap/>
            <w:hideMark/>
          </w:tcPr>
          <w:p w14:paraId="699378D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{"citationID":"TPm8egih","properties":{"formattedCitation":"(McIntyre et al., 2020)","plainCitation":"(McIntyre et al., 2020)","dontUpdate":true,"noteIndex":0},"citationItems":[{"id":20662,"uris":["http://zotero.org/users/1471066/items/DLVFH89I"],"itemData":{"id":20662,"type":"article-journal","container-title":"NeuroRehabilitation","DOI":"10.3233/NRE-203081","issue":"1","language":"en","page":"25–34","title":"Coping strategies and personality traits among individuals with brain injury and depressive symptoms","volume":"47","author":[{"family":"McIntyre","given":"A."},{"family":"Mehta","given":"S."},{"family":"Janzen","given":"S."},{"family":"Rice","given":"D."},{"family":"Harnett","given":"A."},{"family":"MacKenzie","given":"H.M."},{"family":"Kamen","given":"L."}],"issued":{"date-parts":[["2020"]]}}}],"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McIntyre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98FB3C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2020</w:t>
            </w:r>
          </w:p>
        </w:tc>
        <w:tc>
          <w:tcPr>
            <w:tcW w:w="1205" w:type="dxa"/>
            <w:noWrap/>
            <w:hideMark/>
          </w:tcPr>
          <w:p w14:paraId="78F009A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2BAED58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N=89; M=39, Age=46.6</w:t>
            </w:r>
          </w:p>
        </w:tc>
        <w:tc>
          <w:tcPr>
            <w:tcW w:w="1052" w:type="dxa"/>
            <w:noWrap/>
            <w:hideMark/>
          </w:tcPr>
          <w:p w14:paraId="6D43A7E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Canada</w:t>
            </w:r>
          </w:p>
        </w:tc>
        <w:tc>
          <w:tcPr>
            <w:tcW w:w="1892" w:type="dxa"/>
            <w:noWrap/>
            <w:hideMark/>
          </w:tcPr>
          <w:p w14:paraId="578CA09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48FA3EF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BFI</w:t>
            </w:r>
          </w:p>
        </w:tc>
        <w:tc>
          <w:tcPr>
            <w:tcW w:w="2036" w:type="dxa"/>
            <w:noWrap/>
            <w:hideMark/>
          </w:tcPr>
          <w:p w14:paraId="434D54D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PHQ-9; AAQ; ASI; ADHS; BFI; BCOPE; RSES; GCS</w:t>
            </w:r>
          </w:p>
        </w:tc>
        <w:tc>
          <w:tcPr>
            <w:tcW w:w="1840" w:type="dxa"/>
            <w:noWrap/>
            <w:hideMark/>
          </w:tcPr>
          <w:p w14:paraId="08BD1CF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71331814" w14:textId="77777777" w:rsidTr="00E611F1">
        <w:tc>
          <w:tcPr>
            <w:tcW w:w="490" w:type="dxa"/>
            <w:noWrap/>
            <w:hideMark/>
          </w:tcPr>
          <w:p w14:paraId="41CD50DB"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90</w:t>
            </w:r>
          </w:p>
        </w:tc>
        <w:tc>
          <w:tcPr>
            <w:tcW w:w="1320" w:type="dxa"/>
            <w:noWrap/>
            <w:hideMark/>
          </w:tcPr>
          <w:p w14:paraId="7CA3C6B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{"citationID":"kDMynt5u","properties":{"formattedCitation":"(Balan et al., 2021a)","plainCitation":"(Balan et al., 2021a)","dontUpdate":true,"noteIndex":0},"citationItems":[{"id":20582,"uris":["http://zotero.org/users/1471066/items/CV7VH2U2"],"itemData":{"id":20582,"type":"article-journal","container-title":"Brazilian Journal of Psychiatry","DOI":"10.1590/1516-4446-2020-1660","issue":"3","language":"en","page":"340–342","title":"Return to work after severe traumatic brain injury: further investigation of the role of personality changes","volume":"43","author":[{"family":"Balan","given":"A.B."},{"family":"Walz","given":"R."},{"family":"Diaz","given":"A.P."},{"family":"Schwarzbold","given":"M.L."}],"issued":{"date-parts":[["2021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Balan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20B163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2021</w:t>
            </w:r>
          </w:p>
        </w:tc>
        <w:tc>
          <w:tcPr>
            <w:tcW w:w="1205" w:type="dxa"/>
            <w:noWrap/>
            <w:hideMark/>
          </w:tcPr>
          <w:p w14:paraId="6E5F738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5EDFC31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Total n=41 [m=34]; 32 avg. No R2W = n=21 [m=18]; 35 avg. R2W = 20 [m=16]; 29.5 avg.</w:t>
            </w:r>
          </w:p>
        </w:tc>
        <w:tc>
          <w:tcPr>
            <w:tcW w:w="1052" w:type="dxa"/>
            <w:noWrap/>
            <w:hideMark/>
          </w:tcPr>
          <w:p w14:paraId="494BC99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Brazil</w:t>
            </w:r>
          </w:p>
        </w:tc>
        <w:tc>
          <w:tcPr>
            <w:tcW w:w="1892" w:type="dxa"/>
            <w:noWrap/>
            <w:hideMark/>
          </w:tcPr>
          <w:p w14:paraId="7B81218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w:t>
            </w:r>
          </w:p>
        </w:tc>
        <w:tc>
          <w:tcPr>
            <w:tcW w:w="2444" w:type="dxa"/>
            <w:noWrap/>
            <w:hideMark/>
          </w:tcPr>
          <w:p w14:paraId="23EF63E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"Personality changes" not defined</w:t>
            </w:r>
          </w:p>
        </w:tc>
        <w:tc>
          <w:tcPr>
            <w:tcW w:w="2036" w:type="dxa"/>
            <w:noWrap/>
            <w:hideMark/>
          </w:tcPr>
          <w:p w14:paraId="31D8492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DSM-5 ("personality change"); Overt Aggression Scale; Neuropsychiatric Inventory-Questionnaire; Starkstein Apathy Scale</w:t>
            </w:r>
          </w:p>
        </w:tc>
        <w:tc>
          <w:tcPr>
            <w:tcW w:w="1840" w:type="dxa"/>
            <w:noWrap/>
            <w:hideMark/>
          </w:tcPr>
          <w:p w14:paraId="517ADB1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76448A5C" w14:textId="77777777" w:rsidTr="00E611F1">
        <w:tc>
          <w:tcPr>
            <w:tcW w:w="490" w:type="dxa"/>
            <w:noWrap/>
            <w:hideMark/>
          </w:tcPr>
          <w:p w14:paraId="502FAF9A"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91</w:t>
            </w:r>
          </w:p>
        </w:tc>
        <w:tc>
          <w:tcPr>
            <w:tcW w:w="1320" w:type="dxa"/>
            <w:noWrap/>
            <w:hideMark/>
          </w:tcPr>
          <w:p w14:paraId="507075F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{"citationID":"Phsl61EP","properties":{"formattedCitation":"(Banerjee et al., 2021a)","plainCitation":"(Banerjee et al., 2021a)","dontUpdate":true,"noteIndex":0},"citationItems":[{"id":20583,"uris":["http://zotero.org/users/1471066/items/8JJIWLS6"],"itemData":{"id":20583,"type":"article-journal","container-title":"NeuroRehabilitation","DOI":"10.3233/NRE-208017","issue":"2","language":"en","page":"231–242","title":"In search of the “self”: Holistic rehabilitation in restoring cognition and recovering the “self” following traumatic brain injury: A case report","volume":"48","author":[{"family":"Banerjee","given":"M."},{"family":"Hegde","given":"S."},{"family":"Thippeswamy","given":"H."},{"family":"Kulkarni","given":"G.B."},{"family":"Rao","given":"N."}],"issued":{"date-parts":[["2021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Banerjee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056B835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2021</w:t>
            </w:r>
          </w:p>
        </w:tc>
        <w:tc>
          <w:tcPr>
            <w:tcW w:w="1205" w:type="dxa"/>
            <w:noWrap/>
            <w:hideMark/>
          </w:tcPr>
          <w:p w14:paraId="08997F7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03BAAA5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25yo female (RTA age 23)</w:t>
            </w:r>
          </w:p>
        </w:tc>
        <w:tc>
          <w:tcPr>
            <w:tcW w:w="1052" w:type="dxa"/>
            <w:noWrap/>
            <w:hideMark/>
          </w:tcPr>
          <w:p w14:paraId="2B252CA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India</w:t>
            </w:r>
          </w:p>
        </w:tc>
        <w:tc>
          <w:tcPr>
            <w:tcW w:w="1892" w:type="dxa"/>
            <w:noWrap/>
            <w:hideMark/>
          </w:tcPr>
          <w:p w14:paraId="4C2F288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RTA</w:t>
            </w:r>
          </w:p>
        </w:tc>
        <w:tc>
          <w:tcPr>
            <w:tcW w:w="2444" w:type="dxa"/>
            <w:noWrap/>
            <w:hideMark/>
          </w:tcPr>
          <w:p w14:paraId="4833D5A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Post-injury changes included: Increased irritability, anger outbursts, stubbornness and rigidity, an inability to experience her sense of ‘self’, uncomfortable in social situations, inability to engage in conversations, or social interactions, unable to comprehend humour, sarcasm, pun, metaphors. Premorbid Personality; fun-loving extrovert, good at extra-curricular activities. K.S. found it difficult to relate to this change. </w:t>
            </w:r>
          </w:p>
        </w:tc>
        <w:tc>
          <w:tcPr>
            <w:tcW w:w="2036" w:type="dxa"/>
            <w:noWrap/>
            <w:hideMark/>
          </w:tcPr>
          <w:p w14:paraId="07977FF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NIMHANS neuropsychological battery; Beck’s Depression Inventory</w:t>
            </w:r>
          </w:p>
        </w:tc>
        <w:tc>
          <w:tcPr>
            <w:tcW w:w="1840" w:type="dxa"/>
            <w:noWrap/>
            <w:hideMark/>
          </w:tcPr>
          <w:p w14:paraId="5A1517F2" w14:textId="54F334E5"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K.S often reported how ‘she is not the same following the injury’. </w:t>
            </w:r>
          </w:p>
        </w:tc>
      </w:tr>
      <w:tr w:rsidR="00B10849" w:rsidRPr="00B10849" w14:paraId="243CBC48" w14:textId="77777777" w:rsidTr="00E611F1">
        <w:tc>
          <w:tcPr>
            <w:tcW w:w="490" w:type="dxa"/>
            <w:noWrap/>
            <w:hideMark/>
          </w:tcPr>
          <w:p w14:paraId="3E7CD76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92</w:t>
            </w:r>
          </w:p>
        </w:tc>
        <w:tc>
          <w:tcPr>
            <w:tcW w:w="1320" w:type="dxa"/>
            <w:noWrap/>
            <w:hideMark/>
          </w:tcPr>
          <w:p w14:paraId="56600DC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{"citationID":"ZJqMqdzX","properties":{"formattedCitation":"(Li et al., 2021)","plainCitation":"(Li et al., 2021)","dontUpdate":true,"noteIndex":0},"citationItems":[{"id":20652,"uris":["http://zotero.org/users/1471066/items/RI5XQ8HU"],"itemData":{"id":20652,"type":"article-journal","container-title":"Frontiers in Neurology","DOI":"10.3389/fneur.2021.690792","language":"en","page":"690792","title":"P300 as a Potential Indicator in the Evaluation of Neurocognitive Disorders After Traumatic Brain Injury","volume":"12","author":[{"family":"Li","given":"H."},{"family":"Li","given":"N."},{"family":"Xing","given":"Y."},{"family":"Zhang","given":"S."},{"family":"Liu","given":"C."},{"family":"Cai","given":"W."},{"family":"Zhang","given":"Q."}],"issued":{"date-parts":[["2021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Li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3DFDDEE4"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2021</w:t>
            </w:r>
          </w:p>
        </w:tc>
        <w:tc>
          <w:tcPr>
            <w:tcW w:w="1205" w:type="dxa"/>
            <w:noWrap/>
            <w:hideMark/>
          </w:tcPr>
          <w:p w14:paraId="4F5CA8D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30C736E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TBI=234, m=166, age=44.43; C=277, male = 183, age = 46.03</w:t>
            </w:r>
          </w:p>
        </w:tc>
        <w:tc>
          <w:tcPr>
            <w:tcW w:w="1052" w:type="dxa"/>
            <w:noWrap/>
            <w:hideMark/>
          </w:tcPr>
          <w:p w14:paraId="6591DEC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China</w:t>
            </w:r>
          </w:p>
        </w:tc>
        <w:tc>
          <w:tcPr>
            <w:tcW w:w="1892" w:type="dxa"/>
            <w:noWrap/>
            <w:hideMark/>
          </w:tcPr>
          <w:p w14:paraId="281BA41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4772407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ICD-10 criterion F07 and Z87.820</w:t>
            </w:r>
          </w:p>
        </w:tc>
        <w:tc>
          <w:tcPr>
            <w:tcW w:w="2036" w:type="dxa"/>
            <w:noWrap/>
            <w:hideMark/>
          </w:tcPr>
          <w:p w14:paraId="051F439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ADL scale, SDSS scale, and scale of personality change following a traumatic brain injury </w:t>
            </w:r>
          </w:p>
        </w:tc>
        <w:tc>
          <w:tcPr>
            <w:tcW w:w="1840" w:type="dxa"/>
            <w:noWrap/>
            <w:hideMark/>
          </w:tcPr>
          <w:p w14:paraId="1B6F9F3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1BA742C5" w14:textId="77777777" w:rsidTr="00E611F1">
        <w:tc>
          <w:tcPr>
            <w:tcW w:w="490" w:type="dxa"/>
            <w:noWrap/>
            <w:hideMark/>
          </w:tcPr>
          <w:p w14:paraId="490FD6D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93</w:t>
            </w:r>
          </w:p>
        </w:tc>
        <w:tc>
          <w:tcPr>
            <w:tcW w:w="1320" w:type="dxa"/>
            <w:noWrap/>
            <w:hideMark/>
          </w:tcPr>
          <w:p w14:paraId="7FB106C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{"citationID":"7oP7cJ9X","properties":{"formattedCitation":"(Mundluru, Subhan, Lo, Churchill, Fornazzari, Munoz, &amp; Fischer, 2021)","plainCitation":"(Mundluru, Subhan, Lo, Churchill, Fornazzari, Munoz, &amp; Fischer, 2021)","dontUpdate":true,"noteIndex":0},"citationItems":[{"id":20671,"uris":["http://zotero.org/users/1471066/items/FSWPSIZ3"],"itemData":{"id":20671,"type":"article-journal","container-title":"Journal of Neurotrauma","DOI":"10.1089/neu.2020.7282","issue":"5","language":"en","page":"566–572","title":"Neuropsychiatric Presentations due to Traumatic Brain Injury in Cognitively Normal Older Adults","volume":"38","author":[{"family":"Mundluru","given":"J."},{"family":"Subhan","given":"A."},{"family":"Lo","given":"T.W.B."},{"family":"Churchill","given":"N."},{"family":"Fornazzari","given":"L."},{"family":"Munoz","given":"D.G."},{"family":"Fischer","given":"C.E."}],"issued":{"date-parts":[["2021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Mundluru et al</w:t>
            </w:r>
            <w:r w:rsidRPr="00B10849">
              <w:rPr>
                <w:rFonts w:ascii="Aptos Narrow" w:eastAsia="Times New Roman" w:hAnsi="Aptos Narrow" w:cs="Times New Roman"/>
                <w:kern w:val="0"/>
                <w:sz w:val="18"/>
                <w:szCs w:val="18"/>
                <w:lang w:eastAsia="en-GB"/>
                <w14:ligatures w14:val="none"/>
              </w:rPr>
              <w:fldChar w:fldCharType="end"/>
            </w:r>
            <w:r w:rsidRPr="00B10849">
              <w:rPr>
                <w:rFonts w:ascii="Aptos Narrow" w:eastAsia="Times New Roman" w:hAnsi="Aptos Narrow" w:cs="Times New Roman"/>
                <w:kern w:val="0"/>
                <w:sz w:val="18"/>
                <w:szCs w:val="18"/>
                <w:lang w:eastAsia="en-GB"/>
                <w14:ligatures w14:val="none"/>
              </w:rPr>
              <w:t>.</w:t>
            </w:r>
          </w:p>
        </w:tc>
        <w:tc>
          <w:tcPr>
            <w:tcW w:w="719" w:type="dxa"/>
            <w:noWrap/>
            <w:hideMark/>
          </w:tcPr>
          <w:p w14:paraId="455D43D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2021</w:t>
            </w:r>
          </w:p>
        </w:tc>
        <w:tc>
          <w:tcPr>
            <w:tcW w:w="1205" w:type="dxa"/>
            <w:noWrap/>
            <w:hideMark/>
          </w:tcPr>
          <w:p w14:paraId="25FFDF8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642F0AC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Total = 1774, m=612 (age=68.7 edu=16.4), f=1162 (age=69.8 edu=16.3); TBI=266 (M=118, age=68.7, edu=16.4); C=1508 (m=494, age=69.8, edu=16.3)</w:t>
            </w:r>
          </w:p>
        </w:tc>
        <w:tc>
          <w:tcPr>
            <w:tcW w:w="1052" w:type="dxa"/>
            <w:noWrap/>
            <w:hideMark/>
          </w:tcPr>
          <w:p w14:paraId="7BBD016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Canada</w:t>
            </w:r>
          </w:p>
        </w:tc>
        <w:tc>
          <w:tcPr>
            <w:tcW w:w="1892" w:type="dxa"/>
            <w:noWrap/>
            <w:hideMark/>
          </w:tcPr>
          <w:p w14:paraId="1CEBC47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2444" w:type="dxa"/>
            <w:noWrap/>
            <w:hideMark/>
          </w:tcPr>
          <w:p w14:paraId="1BDC6FA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NPI-Q</w:t>
            </w:r>
          </w:p>
        </w:tc>
        <w:tc>
          <w:tcPr>
            <w:tcW w:w="2036" w:type="dxa"/>
            <w:noWrap/>
            <w:hideMark/>
          </w:tcPr>
          <w:p w14:paraId="72B5425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NPI-Q</w:t>
            </w:r>
          </w:p>
        </w:tc>
        <w:tc>
          <w:tcPr>
            <w:tcW w:w="1840" w:type="dxa"/>
            <w:noWrap/>
            <w:hideMark/>
          </w:tcPr>
          <w:p w14:paraId="2EC0206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7F98E6B7" w14:textId="77777777" w:rsidTr="00E611F1">
        <w:tc>
          <w:tcPr>
            <w:tcW w:w="490" w:type="dxa"/>
            <w:noWrap/>
            <w:hideMark/>
          </w:tcPr>
          <w:p w14:paraId="7AB93A0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94</w:t>
            </w:r>
          </w:p>
        </w:tc>
        <w:tc>
          <w:tcPr>
            <w:tcW w:w="1320" w:type="dxa"/>
            <w:noWrap/>
            <w:hideMark/>
          </w:tcPr>
          <w:p w14:paraId="2EF352A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{"citationID":"Y9JQHrZW","properties":{"formattedCitation":"(Brett et al., 2022a)","plainCitation":"(Brett et al., 2022a)","dontUpdate":true,"noteIndex":0},"citationItems":[{"id":20588,"uris":["http://zotero.org/users/1471066/items/E98MNFXX"],"itemData":{"id":20588,"type":"article-journal","container-title":"Journal of Head Trauma Rehabilitation","DOI":"10.1097/HTR.0000000000000724","issue":"4","language":"en","page":"258– 267","title":"The Association Between Concussion History and Increased Symptom Severity Reporting Is Independent of Common Medical Comorbidities, Personality Factors, and Sleep Quality in Collegiate Athletes","volume":"37","author":[{"family":"Brett","given":"B.L."},{"family":"Nelson","given":"L.D."},{"family":"Meier","given":"T.B."}],"issued":{"date-parts":[["2022"]]}}}],"schema":"https://github.com/citation-style-language/schema/raw/master/csl-citation.json"}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Brett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47B6376B"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2022</w:t>
            </w:r>
          </w:p>
        </w:tc>
        <w:tc>
          <w:tcPr>
            <w:tcW w:w="1205" w:type="dxa"/>
            <w:noWrap/>
            <w:hideMark/>
          </w:tcPr>
          <w:p w14:paraId="3478D58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1AA50EE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Total = 106; m=73, age=21.37, ethnicity B=8, W=97, O=1</w:t>
            </w:r>
          </w:p>
        </w:tc>
        <w:tc>
          <w:tcPr>
            <w:tcW w:w="1052" w:type="dxa"/>
            <w:noWrap/>
            <w:hideMark/>
          </w:tcPr>
          <w:p w14:paraId="4938E8B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27439A0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Sport-Related Incident</w:t>
            </w:r>
          </w:p>
        </w:tc>
        <w:tc>
          <w:tcPr>
            <w:tcW w:w="2444" w:type="dxa"/>
            <w:noWrap/>
            <w:hideMark/>
          </w:tcPr>
          <w:p w14:paraId="6779D71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Big Five Inventory</w:t>
            </w:r>
          </w:p>
        </w:tc>
        <w:tc>
          <w:tcPr>
            <w:tcW w:w="2036" w:type="dxa"/>
            <w:noWrap/>
            <w:hideMark/>
          </w:tcPr>
          <w:p w14:paraId="483C61B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BFI; BSI-GSI; MPQ; PSQI; SCAT; WTAR</w:t>
            </w:r>
          </w:p>
        </w:tc>
        <w:tc>
          <w:tcPr>
            <w:tcW w:w="1840" w:type="dxa"/>
            <w:noWrap/>
            <w:hideMark/>
          </w:tcPr>
          <w:p w14:paraId="4F7CBE2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4549545B" w14:textId="77777777" w:rsidTr="00E611F1">
        <w:tc>
          <w:tcPr>
            <w:tcW w:w="490" w:type="dxa"/>
            <w:noWrap/>
            <w:hideMark/>
          </w:tcPr>
          <w:p w14:paraId="27D7EBE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96</w:t>
            </w:r>
          </w:p>
        </w:tc>
        <w:tc>
          <w:tcPr>
            <w:tcW w:w="1320" w:type="dxa"/>
            <w:noWrap/>
            <w:hideMark/>
          </w:tcPr>
          <w:p w14:paraId="218296E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{"citationID":"TmYdzBKB","properties":{"formattedCitation":"(Guzowski et al., 2022)","plainCitation":"(Guzowski et al., 2022)","dontUpdate":true,"noteIndex":0},"citationItems":[{"id":26183,"uris":["http://zotero.org/users/1471066/items/D5A3HZND"],"itemData":{"id":26183,"type":"article-journal","container-title":"The Clinical Neuropsychologist","issue":"8","note":"ISBN: 1385-4046","page":"2135-2152","publisher":"Taylor &amp; Francis","title":"Differing associations between measures of somatic symptom reporting, personality, and mild traumatic brain injury (mTBI)","volume":"36","author":[{"family":"Guzowski","given":"Nicholas S."},{"family":"Hoelzle","given":"James B."},{"family":"McCrea","given":"Michael A."},{"family":"Nelson","given":"Lindsay D."}],"issued":{"date-parts":[["2022"]]}}}],"schema":"https://github.com/citation-style-language/schema/raw/master/csl-citation.json"}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Guzowski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29E2D68F"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2022</w:t>
            </w:r>
          </w:p>
        </w:tc>
        <w:tc>
          <w:tcPr>
            <w:tcW w:w="1205" w:type="dxa"/>
            <w:noWrap/>
            <w:hideMark/>
          </w:tcPr>
          <w:p w14:paraId="7E4DF4D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Cohort study</w:t>
            </w:r>
          </w:p>
        </w:tc>
        <w:tc>
          <w:tcPr>
            <w:tcW w:w="2170" w:type="dxa"/>
            <w:noWrap/>
            <w:hideMark/>
          </w:tcPr>
          <w:p w14:paraId="0FB7454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Athlete n=100: Male n=100, Age=18, Race white=75, black=23, other=2; CTBI n=75: Male=35, age=49.7, Race white=50, black=18, other=7; Control n=79: Male=56, age=48, Race white=57, black=18, other=5</w:t>
            </w:r>
          </w:p>
        </w:tc>
        <w:tc>
          <w:tcPr>
            <w:tcW w:w="1052" w:type="dxa"/>
            <w:noWrap/>
            <w:hideMark/>
          </w:tcPr>
          <w:p w14:paraId="04E9BF3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16585AB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Sport-Related Incident</w:t>
            </w:r>
          </w:p>
        </w:tc>
        <w:tc>
          <w:tcPr>
            <w:tcW w:w="2444" w:type="dxa"/>
            <w:noWrap/>
            <w:hideMark/>
          </w:tcPr>
          <w:p w14:paraId="569D2D3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positive and negative emotionality; negative affect, detachment, antagonism, disinhibition, and psychoticism</w:t>
            </w:r>
          </w:p>
        </w:tc>
        <w:tc>
          <w:tcPr>
            <w:tcW w:w="2036" w:type="dxa"/>
            <w:noWrap/>
            <w:hideMark/>
          </w:tcPr>
          <w:p w14:paraId="66DC982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MPQ; DSM-5; DIS-11</w:t>
            </w:r>
          </w:p>
        </w:tc>
        <w:tc>
          <w:tcPr>
            <w:tcW w:w="1840" w:type="dxa"/>
            <w:noWrap/>
            <w:hideMark/>
          </w:tcPr>
          <w:p w14:paraId="37C6161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275030EE" w14:textId="77777777" w:rsidTr="00E611F1">
        <w:tc>
          <w:tcPr>
            <w:tcW w:w="490" w:type="dxa"/>
            <w:noWrap/>
            <w:hideMark/>
          </w:tcPr>
          <w:p w14:paraId="2935FA28"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97</w:t>
            </w:r>
          </w:p>
        </w:tc>
        <w:tc>
          <w:tcPr>
            <w:tcW w:w="1320" w:type="dxa"/>
            <w:noWrap/>
            <w:hideMark/>
          </w:tcPr>
          <w:p w14:paraId="16CA94D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{"citationID":"K56Qwv9s","properties":{"formattedCitation":"(B. Li et al., 2022)","plainCitation":"(B. Li et al., 2022)","dontUpdate":true,"noteIndex":0},"citationItems":[{"id":20651,"uris":["http://zotero.org/users/1471066/items/QWUN7SFZ"],"itemData":{"id":20651,"type":"article-journal","container-title":"Frontiers in Psychiatry","DOI":"10.3389/fpsyt.2022.944888","language":"en","page":"944888","title":"Forensic psychiatric analysis of organic personality disorders after craniocerebral injury in Shanghai, China","volume":"13","author":[{"family":"Li","given":"B."},{"family":"Fang","given":"Y."},{"family":"Lin","given":"J."},{"family":"Chen","given":"X."},{"family":"Li","given":"C."},{"family":"He","given":"M."}],"issued":{"date-parts":[["2022"]]}}}],"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Li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74BDD54C"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2022</w:t>
            </w:r>
          </w:p>
        </w:tc>
        <w:tc>
          <w:tcPr>
            <w:tcW w:w="1205" w:type="dxa"/>
            <w:noWrap/>
            <w:hideMark/>
          </w:tcPr>
          <w:p w14:paraId="31ACBDD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4AFBDD6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OPD=340, m=198, age=41.4, edu=8.8; nOPD=687, m=363, age=37.9, edu=11.3</w:t>
            </w:r>
          </w:p>
        </w:tc>
        <w:tc>
          <w:tcPr>
            <w:tcW w:w="1052" w:type="dxa"/>
            <w:noWrap/>
            <w:hideMark/>
          </w:tcPr>
          <w:p w14:paraId="3B69EC1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China</w:t>
            </w:r>
          </w:p>
        </w:tc>
        <w:tc>
          <w:tcPr>
            <w:tcW w:w="1892" w:type="dxa"/>
            <w:noWrap/>
            <w:hideMark/>
          </w:tcPr>
          <w:p w14:paraId="6993449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p>
        </w:tc>
        <w:tc>
          <w:tcPr>
            <w:tcW w:w="2444" w:type="dxa"/>
            <w:noWrap/>
            <w:hideMark/>
          </w:tcPr>
          <w:p w14:paraId="51BB0F9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Neuroticism Extraversion Openness Five-Factor Inventory</w:t>
            </w:r>
          </w:p>
        </w:tc>
        <w:tc>
          <w:tcPr>
            <w:tcW w:w="2036" w:type="dxa"/>
            <w:noWrap/>
            <w:hideMark/>
          </w:tcPr>
          <w:p w14:paraId="10524A0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NEO-FFI; ICD-10</w:t>
            </w:r>
          </w:p>
        </w:tc>
        <w:tc>
          <w:tcPr>
            <w:tcW w:w="1840" w:type="dxa"/>
            <w:noWrap/>
            <w:hideMark/>
          </w:tcPr>
          <w:p w14:paraId="3FEDF80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4E62AB74" w14:textId="77777777" w:rsidTr="00E611F1">
        <w:tc>
          <w:tcPr>
            <w:tcW w:w="490" w:type="dxa"/>
            <w:noWrap/>
            <w:hideMark/>
          </w:tcPr>
          <w:p w14:paraId="4A71E9E2"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39</w:t>
            </w:r>
          </w:p>
        </w:tc>
        <w:tc>
          <w:tcPr>
            <w:tcW w:w="1320" w:type="dxa"/>
            <w:noWrap/>
            <w:hideMark/>
          </w:tcPr>
          <w:p w14:paraId="0F2671A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{"citationID":"XDbzzcHs","properties":{"formattedCitation":"(Belfry et al., 2023a)","plainCitation":"(Belfry et al., 2023a)","dontUpdate":true,"noteIndex":0},"citationItems":[{"id":20585,"uris":["http://zotero.org/users/1471066/items/PIE3CLCJ"],"itemData":{"id":20585,"type":"article-journal","container-title":"Canadian Journal of Psychiatry","DOI":"10.1177/07067437221144629","issue":"6","language":"en","page":"453–460","title":"Adverse Childhood Experiences and Offending as a Function of Acquired Brain Injury Among Men in a High Secure Forensic Psychiatric Hospital","volume":"68","author":[{"family":"Belfry","given":"K.D."},{"family":"Ham","given":"E."},{"family":"Kolla","given":"N.J."},{"family":"Hilton","given":"N.Z."}],"issued":{"date-parts":[["2023"]]}}}],"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Belfry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0E1B787"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2023</w:t>
            </w:r>
          </w:p>
        </w:tc>
        <w:tc>
          <w:tcPr>
            <w:tcW w:w="1205" w:type="dxa"/>
            <w:noWrap/>
            <w:hideMark/>
          </w:tcPr>
          <w:p w14:paraId="7E4A9CE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0F72CC4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n=637, m=100%, age=m35</w:t>
            </w:r>
          </w:p>
        </w:tc>
        <w:tc>
          <w:tcPr>
            <w:tcW w:w="1052" w:type="dxa"/>
            <w:noWrap/>
            <w:hideMark/>
          </w:tcPr>
          <w:p w14:paraId="4213584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Canada</w:t>
            </w:r>
          </w:p>
        </w:tc>
        <w:tc>
          <w:tcPr>
            <w:tcW w:w="1892" w:type="dxa"/>
            <w:noWrap/>
            <w:hideMark/>
          </w:tcPr>
          <w:p w14:paraId="7B2F1E4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ABI based on several coded variables regarding events consistent with the potential to cause brain injury documented in the medical file</w:t>
            </w:r>
          </w:p>
        </w:tc>
        <w:tc>
          <w:tcPr>
            <w:tcW w:w="2444" w:type="dxa"/>
            <w:noWrap/>
            <w:hideMark/>
          </w:tcPr>
          <w:p w14:paraId="59AA166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Personality disorder TBI=36 (28%) C=73 (14%); Antisocial personality disorder TBI= 22 (17%), C=51 (10%)</w:t>
            </w:r>
          </w:p>
        </w:tc>
        <w:tc>
          <w:tcPr>
            <w:tcW w:w="2036" w:type="dxa"/>
            <w:noWrap/>
            <w:hideMark/>
          </w:tcPr>
          <w:p w14:paraId="6D2A9B0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non-standardised; VRAG; CATS</w:t>
            </w:r>
          </w:p>
        </w:tc>
        <w:tc>
          <w:tcPr>
            <w:tcW w:w="1840" w:type="dxa"/>
            <w:noWrap/>
            <w:hideMark/>
          </w:tcPr>
          <w:p w14:paraId="168A301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57792176" w14:textId="77777777" w:rsidTr="00E611F1">
        <w:tc>
          <w:tcPr>
            <w:tcW w:w="490" w:type="dxa"/>
            <w:noWrap/>
            <w:hideMark/>
          </w:tcPr>
          <w:p w14:paraId="3A58729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98</w:t>
            </w:r>
          </w:p>
        </w:tc>
        <w:tc>
          <w:tcPr>
            <w:tcW w:w="1320" w:type="dxa"/>
            <w:noWrap/>
            <w:hideMark/>
          </w:tcPr>
          <w:p w14:paraId="6E30981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{"citationID":"fBdehY8C","properties":{"formattedCitation":"(Ling et al., 2023)","plainCitation":"(Ling et al., 2023)","dontUpdate":true,"noteIndex":0},"citationItems":[{"id":26160,"uris":["http://zotero.org/users/1471066/items/45N59GC5"],"itemData":{"id":26160,"type":"article-journal","abstract":"Neurocognitive disorders are commonly observed in patients suffering from traumatic brain injury (TBI). Methods to assess neurocognitive disorders have thus drawn the general attention of the public, especially electrophysiology parameter such as contingent negative variation (CNV), which has been given more emphasis as a neurophysiological marker in event-related potentials (ERPs) for diagnosing a neurocognitive disorder and assessing its severity. The present study focused on the correlations between CNV parameters and levels of daily living activities and social function to explore the potential of CNV as an objective assessment tool. Thirty-one patients with a diagnosis of neurocognitive disorder after a TBI according to ICD-10 were enrolled as the patient group, and 24 matched healthy volunteers were enrolled as the control group. The activity of daily living scale, functional activities questionnaire, social disability screening schedule, and scale of personality change following TBI were used to assess daily living activity and social function. The scale scores in patients were significantly higher than those in controls. Maximum amplitudes before S2 and during the post-imperative negative variation (PINV) period were also significantly higher in the patient group compared to the control group and were positively correlated with four scale scores. The duration of PINV at Fz and Cz was significantly shorter in the patient group than in the control group. The CNV return to baseline from a positive wave at electrode Fz and Cz occurred significantly earlier in the control group than in the patient group, while at Pz, the result showed the opposite. In conclusion, lower amplitudes of CNV were associated with more severe neurocognitive disorder and greater impairments in daily life abilities and social function. The duration of PINV and the latency of returning to baseline from a positive wave were correlated with the neurocognitive disorder to some extent. CNV could be used as an objective, electrophysiology-based parameter for evaluating the severity of the neurocognitive disorder and personality changes after a TBI.","container-title":"Frontiers in Psychiatry","DOI":"10.3389/fpsyt.2023.1255608","ISSN":"1664-0640","journalAbbreviation":"Front. Psychiatry","language":"English","publisher":"Frontiers","source":"Frontiers","title":"Contingent negative variation as an evaluation indicator of neurocognitive disorder after traumatic brain injury","URL":"https://www.frontiersin.org/journals/psychiatry/articles/10.3389/fpsyt.2023.1255608/full","volume":"14","author":[{"family":"Ling","given":"Xindi"},{"family":"Wang","given":"Shujian"},{"family":"Zhang","given":"Shengyu"},{"family":"Li","given":"Wen"},{"family":"Zhang","given":"Qinting"},{"family":"Cai","given":"Weixiong"},{"family":"Li","given":"Haozhe"}],"accessed":{"date-parts":[["2026",1,18]]},"issued":{"date-parts":[["2023",12,19]]}}}],"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Ling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9489681"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2023</w:t>
            </w:r>
          </w:p>
        </w:tc>
        <w:tc>
          <w:tcPr>
            <w:tcW w:w="1205" w:type="dxa"/>
            <w:noWrap/>
            <w:hideMark/>
          </w:tcPr>
          <w:p w14:paraId="50C2CA6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5BDA93D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 n=31, Controls n=24; TBI: M age=36.90 (SD=10.81), 14 male/17 female, edu=12.81y (SD=2.50); Controls: M age=32.96 (SD=12.10), 15 male/9 female, edu=14.77y (SD=3.66)</w:t>
            </w:r>
          </w:p>
        </w:tc>
        <w:tc>
          <w:tcPr>
            <w:tcW w:w="1052" w:type="dxa"/>
            <w:noWrap/>
            <w:hideMark/>
          </w:tcPr>
          <w:p w14:paraId="6B66D6E7"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China</w:t>
            </w:r>
          </w:p>
        </w:tc>
        <w:tc>
          <w:tcPr>
            <w:tcW w:w="1892" w:type="dxa"/>
            <w:noWrap/>
            <w:hideMark/>
          </w:tcPr>
          <w:p w14:paraId="634F4B6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Neurocognitive disorder after TBI diagnosed per ICD-10; Patients recovered for at least 6 months after TBI; Received clinical care</w:t>
            </w:r>
          </w:p>
        </w:tc>
        <w:tc>
          <w:tcPr>
            <w:tcW w:w="2444" w:type="dxa"/>
            <w:noWrap/>
            <w:hideMark/>
          </w:tcPr>
          <w:p w14:paraId="740CDFC5"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Scale of personality change following</w:t>
            </w:r>
            <w:r w:rsidRPr="00B10849">
              <w:rPr>
                <w:rFonts w:ascii="Aptos Narrow" w:eastAsia="Times New Roman" w:hAnsi="Aptos Narrow" w:cs="Times New Roman"/>
                <w:kern w:val="0"/>
                <w:sz w:val="18"/>
                <w:szCs w:val="18"/>
                <w:lang w:eastAsia="en-GB"/>
                <w14:ligatures w14:val="none"/>
              </w:rPr>
              <w:br/>
              <w:t>TBI</w:t>
            </w:r>
          </w:p>
        </w:tc>
        <w:tc>
          <w:tcPr>
            <w:tcW w:w="2036" w:type="dxa"/>
            <w:noWrap/>
            <w:hideMark/>
          </w:tcPr>
          <w:p w14:paraId="2CF18699"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EEG contingent negative variation correlated with personality change</w:t>
            </w:r>
          </w:p>
        </w:tc>
        <w:tc>
          <w:tcPr>
            <w:tcW w:w="1840" w:type="dxa"/>
            <w:noWrap/>
            <w:hideMark/>
          </w:tcPr>
          <w:p w14:paraId="48C5632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75C681F9" w14:textId="77777777" w:rsidTr="00E611F1">
        <w:tc>
          <w:tcPr>
            <w:tcW w:w="490" w:type="dxa"/>
            <w:noWrap/>
            <w:hideMark/>
          </w:tcPr>
          <w:p w14:paraId="5D058D59"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95</w:t>
            </w:r>
          </w:p>
        </w:tc>
        <w:tc>
          <w:tcPr>
            <w:tcW w:w="1320" w:type="dxa"/>
            <w:noWrap/>
            <w:hideMark/>
          </w:tcPr>
          <w:p w14:paraId="390C753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{"citationID":"Z1WX5j30","properties":{"formattedCitation":"(Filip\\uc0\\u269{}\\uc0\\u237{}kov\\uc0\\u225{} et al., 2024)","plainCitation":"(Filipčíková et al., 2024)","dontUpdate":true,"noteIndex":0},"citationItems":[{"id":26182,"uris":["http://zotero.org/users/1471066/items/QYV4P6HD"],"itemData":{"id":26182,"type":"article-journal","container-title":"Neuropsychological rehabilitation","issue":"1","note":"ISBN: 0960-2011","page":"23-44","publisher":"Taylor &amp; Francis","title":"Disinhibited and angry: Investigating the relationship between social disinhibition and the components of aggression following severe TBI","volume":"34","author":[{"family":"Filipčíková","given":"Michaela"},{"family":"Wearne","given":"Travis"},{"family":"McDonald","given":"Skye"}],"issued":{"date-parts":[["2024"]]}}}],"schema":"https://github.com/citation-style-language/schema/raw/master/csl-citation.json"}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cs="Times New Roman"/>
                <w:kern w:val="0"/>
                <w:sz w:val="18"/>
              </w:rPr>
              <w:t>Filipčíková et al.</w:t>
            </w:r>
            <w:r w:rsidRPr="00B10849">
              <w:rPr>
                <w:rFonts w:ascii="Aptos Narrow" w:eastAsia="Times New Roman" w:hAnsi="Aptos Narrow" w:cs="Times New Roman"/>
                <w:kern w:val="0"/>
                <w:sz w:val="18"/>
                <w:szCs w:val="18"/>
                <w:lang w:eastAsia="en-GB"/>
                <w14:ligatures w14:val="none"/>
              </w:rPr>
              <w:fldChar w:fldCharType="end"/>
            </w:r>
            <w:r w:rsidRPr="00B10849">
              <w:rPr>
                <w:rFonts w:ascii="Aptos Narrow" w:eastAsia="Times New Roman" w:hAnsi="Aptos Narrow" w:cs="Times New Roman"/>
                <w:kern w:val="0"/>
                <w:sz w:val="18"/>
                <w:szCs w:val="18"/>
                <w:lang w:eastAsia="en-GB"/>
                <w14:ligatures w14:val="none"/>
              </w:rPr>
              <w:t xml:space="preserve"> </w:t>
            </w:r>
          </w:p>
        </w:tc>
        <w:tc>
          <w:tcPr>
            <w:tcW w:w="719" w:type="dxa"/>
            <w:noWrap/>
            <w:hideMark/>
          </w:tcPr>
          <w:p w14:paraId="2DFA59D6"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2024</w:t>
            </w:r>
          </w:p>
        </w:tc>
        <w:tc>
          <w:tcPr>
            <w:tcW w:w="1205" w:type="dxa"/>
            <w:noWrap/>
            <w:hideMark/>
          </w:tcPr>
          <w:p w14:paraId="785534D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77D81A1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25 TBI (19M, 6F); 25 controls (18M, 7F). TBI group: mean age 46.76 (SD=15.78), mean education 12.76 years (SD=2.31), average time since injury 14.67 years (SD=11.67)</w:t>
            </w:r>
          </w:p>
        </w:tc>
        <w:tc>
          <w:tcPr>
            <w:tcW w:w="1052" w:type="dxa"/>
            <w:noWrap/>
            <w:hideMark/>
          </w:tcPr>
          <w:p w14:paraId="386E521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Australia</w:t>
            </w:r>
          </w:p>
        </w:tc>
        <w:tc>
          <w:tcPr>
            <w:tcW w:w="1892" w:type="dxa"/>
            <w:noWrap/>
            <w:hideMark/>
          </w:tcPr>
          <w:p w14:paraId="7B50969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Severe TBI: PTA &gt; 7 days, or ≥1 day altered consciousness, or GCS 3-8. Median PTA: 52 days (IQR=53, range 9-180). Average age at injury: 31.54 years (SD=15.55, range 13-59). At least 1 year post-injury.</w:t>
            </w:r>
          </w:p>
        </w:tc>
        <w:tc>
          <w:tcPr>
            <w:tcW w:w="2444" w:type="dxa"/>
            <w:noWrap/>
            <w:hideMark/>
          </w:tcPr>
          <w:p w14:paraId="5DAF302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Social disinhibition and aggression components (physical aggression, verbal aggression, anger, hostility). Higher self-reported anger associated with higher self-reported social disinhibition, controlling for age and mood.</w:t>
            </w:r>
          </w:p>
        </w:tc>
        <w:tc>
          <w:tcPr>
            <w:tcW w:w="2036" w:type="dxa"/>
            <w:noWrap/>
            <w:hideMark/>
          </w:tcPr>
          <w:p w14:paraId="24D7DCB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Frontal Systems Behaviour Scale (FrSBe) - Disinhibition subscale; Social Disinhibition Interview (SDI); Buss-Perry Aggression Questionnaire (BPAQ) - Physical, Verbal, Anger, Hostility subscales</w:t>
            </w:r>
          </w:p>
        </w:tc>
        <w:tc>
          <w:tcPr>
            <w:tcW w:w="1840" w:type="dxa"/>
            <w:noWrap/>
            <w:hideMark/>
          </w:tcPr>
          <w:p w14:paraId="083BB61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1FCB5942" w14:textId="77777777" w:rsidTr="00E611F1">
        <w:tc>
          <w:tcPr>
            <w:tcW w:w="490" w:type="dxa"/>
            <w:noWrap/>
            <w:hideMark/>
          </w:tcPr>
          <w:p w14:paraId="5B752EEF"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99</w:t>
            </w:r>
          </w:p>
        </w:tc>
        <w:tc>
          <w:tcPr>
            <w:tcW w:w="1320" w:type="dxa"/>
            <w:noWrap/>
            <w:hideMark/>
          </w:tcPr>
          <w:p w14:paraId="39965BD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{"citationID":"PUacYQoY","properties":{"formattedCitation":"(Edwards et al., 2024)","plainCitation":"(Edwards et al., 2024)","dontUpdate":true,"noteIndex":0},"citationItems":[{"id":26158,"uris":["http://zotero.org/users/1471066/items/4YWRBAAG"],"itemData":{"id":26158,"type":"article-journal","abstract":"The purpose of this study was to examine whether blood-based biomarkers associate with neurobehavioral functioning at three time points following traumatic brain injury (TBI).Participants were 328 United States service members and veterans (SMVs) prospectively enrolled in the Defense and Veterans Brain Injury Center-Traumatic Brain Injury Center of Excellence (DVBIC-TBICoE) 15-Year Longitudinal TBI Study, recruited into three groups: uncomplicated mild TBI (MTBI, n=155); complicated mild, moderate, severe TBI combined (STBI, n=97); non-injured controls (NIC, n=76). Participants were further divided into three cohorts based on time since injury (≤12 months, 3-5 years, and 8-10 years). Participants completed the Minnesota Multiphasic Personality Inventory-2-Restructured Format (MMPI-2-RF) and underwent blood draw to measure serum concentrations of glial fibrillary acidic protein (GFAP), neurofilament light (NfL), and tau. A total of 11 MMPI-2-RF scales were examined (e.g., depression, anxiety, anger, somatic, cognitive symptoms). Stepwise hierarchical regression models were conducted within each group.Results: Significant associations were found between biomarkers and MMPI-2-RF scales (all p0.10). GFAP was inversely related to (a) neurological complaints in the MTBI group at ≤12 months, (b) demoralization, anger proneness in the STBI group at ≤12 months, and (c) head pain complaints in the STBI group at 8-10 years. NfL was (a) related to low positive emotions in the NIC group; and inversely related to (b) demoralization, somatic complaints, neurological complaints, cognitive complaints in the MTBI group at ≤12 months, (c) demoralization in the STBI group at ≤12 months, and (d) demoralization, head pain complaints, stress/worry in the STBI group at 3-5 years. In the STBI group, there were meaningful findings (R2Δ &gt;.10) for tau, NFL, and GFAP that did not reach statistical significance.Results indicate worse scores on some MMPI-2-RF scales (e.g., depression, stress/worry, neurological and head pain complaints) were associated with lower concentrations of serum GFAP, NfL, and tau in the sub-acute and chronic phase of the recovery trajectory up to 5 years post-injury, with a reverse trend observed at 8-10 years. Longitudinal studies are needed to help elucidate any patterns of association between blood-based biomarkers and neurobehavioral outcome over the recovery trajectory following TBI.","container-title":"Frontiers in Neurology","DOI":"10.3389/fneur.2023.1223960","ISSN":"1664-2295","journalAbbreviation":"Front. Neurol.","language":"English","publisher":"Frontiers","source":"Frontiers","title":"Serum GFAP, NfL, and tau concentrations are associated with worse neurobehavioral functioning following mild, moderate, and severe TBI: a cross-sectional multiple-cohort study","title-short":"Serum GFAP, NfL, and tau concentrations are associated with worse neurobehavioral functioning following mild, moderate, and severe TBI","URL":"https://www.frontiersin.org/journals/neurology/articles/10.3389/fneur.2023.1223960/full","volume":"14","author":[{"family":"Edwards","given":"Katie A."},{"family":"Lange","given":"Rael T."},{"family":"Lippa","given":"Sara M."},{"family":"Brickell","given":"Tracey A."},{"family":"Gill","given":"Jessica M."},{"family":"French","given":"Louis M."}],"accessed":{"date-parts":[["2026",1,18]]},"issued":{"date-parts":[["2024",1,16]]}}}],"schema":"https://github.com/citation-style-language/schema/raw/master/csl-citation.json"}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 xml:space="preserve">Edwards et al. </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584F33B5"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2024</w:t>
            </w:r>
          </w:p>
        </w:tc>
        <w:tc>
          <w:tcPr>
            <w:tcW w:w="1205" w:type="dxa"/>
            <w:noWrap/>
            <w:hideMark/>
          </w:tcPr>
          <w:p w14:paraId="717F7B5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Cross-sectional</w:t>
            </w:r>
          </w:p>
        </w:tc>
        <w:tc>
          <w:tcPr>
            <w:tcW w:w="2170" w:type="dxa"/>
            <w:noWrap/>
            <w:hideMark/>
          </w:tcPr>
          <w:p w14:paraId="42ABE1F2"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328 US service members and veterans: Uncomplicated mild TBI (MTBI, n=155), Complicated mild/moderate/severe TBI (STBI, n=97), Non-injured controls (NIC, n=76). Three cohorts by time since injury: ≤12 months (MTBI n=46, STBI n=41), 3-5 years (MTBI n=57, STBI n=30), 8-10 years (MTBI n=52, STBI n=26). Predominantly male (87-100% in TBI groups). Mean age at assessment ranged 29.5-40.3 years across cohorts.</w:t>
            </w:r>
          </w:p>
        </w:tc>
        <w:tc>
          <w:tcPr>
            <w:tcW w:w="1052" w:type="dxa"/>
            <w:noWrap/>
            <w:hideMark/>
          </w:tcPr>
          <w:p w14:paraId="5707C7D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608B906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TBI severity classified: (1) Uncomplicated mild: GCS 13-15, PTA &lt;24h, LOC &lt;30min, no intracranial abnormality; (2) Complicated mild: same criteria but with intracranial abnormality on CT/MRI; (3) Moderate: LOC &gt;30min-24h, PTA 1-7 days; (4) Severe: LOC &gt;24h, PTA &gt;7 days. Combat or non-combat related. Part of DVBIC-TBICoE 15-Year Longitudinal TBI Study. Cross-sectional assessment at three time points post-injury.</w:t>
            </w:r>
          </w:p>
        </w:tc>
        <w:tc>
          <w:tcPr>
            <w:tcW w:w="2444" w:type="dxa"/>
            <w:noWrap/>
            <w:hideMark/>
          </w:tcPr>
          <w:p w14:paraId="652E8EF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Higher MMPI-2-RF scores associated with lower biomarker concentrations (GFAP, NfL, tau) in subacute/chronic phase up to 5 years post-injury, with reverse trend at 8-10 years. proneness (STBI ≤12mo), head pain (STBI 8-10yr). Lower NfL related to demoralization, somatic/neurological/cognitive complaints (MTBI ≤12mo), demoralization (STBI ≤12mo, 3-5yr), head pain, stress/worry (STBI 3-5yr). At 8-10 years, increased tau associated with worse demoralization and anxiety (STBI). Findings suggest biomarkers may relate to neurobehavioral outcomes throughout recovery trajectory.</w:t>
            </w:r>
          </w:p>
        </w:tc>
        <w:tc>
          <w:tcPr>
            <w:tcW w:w="2036" w:type="dxa"/>
            <w:noWrap/>
            <w:hideMark/>
          </w:tcPr>
          <w:p w14:paraId="462F564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Minnesota Multiphasic Personality Inventory-2-Restructured Format (MMPI-2-RF) - 11 scales: </w:t>
            </w:r>
          </w:p>
        </w:tc>
        <w:tc>
          <w:tcPr>
            <w:tcW w:w="1840" w:type="dxa"/>
            <w:noWrap/>
            <w:hideMark/>
          </w:tcPr>
          <w:p w14:paraId="210D8C48"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r>
      <w:tr w:rsidR="00B10849" w:rsidRPr="00B10849" w14:paraId="54149262" w14:textId="77777777" w:rsidTr="00E611F1">
        <w:tc>
          <w:tcPr>
            <w:tcW w:w="490" w:type="dxa"/>
            <w:noWrap/>
            <w:hideMark/>
          </w:tcPr>
          <w:p w14:paraId="572C0E2B"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100</w:t>
            </w:r>
          </w:p>
        </w:tc>
        <w:tc>
          <w:tcPr>
            <w:tcW w:w="1320" w:type="dxa"/>
            <w:noWrap/>
            <w:hideMark/>
          </w:tcPr>
          <w:p w14:paraId="5028759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{"citationID":"Fk2CCExB","properties":{"formattedCitation":"(Hanna et al., 2024)","plainCitation":"(Hanna et al., 2024)","dontUpdate":true,"noteIndex":0},"citationItems":[{"id":26156,"uris":["http://zotero.org/users/1471066/items/8YTGZS9Y"],"itemData":{"id":26156,"type":"article-journal","abstract":"Psychotic disorders following traumatic brain injury (TBI) are a significant concern in psychiatry, with chronic sequelae often overlooked. The pathophysiology of post-TBI psychosis involves neuroplasticity and neuronal remodeling, potentially exacerbating vulnerabilities to chronic psychotic disorders. Differentiating post-TBI psychosis from primary schizophrenia and other psychotic conditions is crucial for appropriate treatment. This case report discusses a 63-year-old male with a history of TBI from a gunshot wound sustained in adolescence, who later developed schizophrenia. The report explores the patient's psychiatric symptoms, cognitive dysfunction, personality changes, and imaging findings. The report examined the complex relationship between TBI and psychotic symptoms, considering genetic, neurobiological, and psychosocial factors. The potential for TBI to increase the risk of psychotic conditions, especially in genetically predisposed individuals, was discussed. The challenges in establishing a direct causal link between TBI and schizophrenia were addressed.","container-title":"Cureus","DOI":"10.7759/cureus.72849","ISSN":"2168-8184","issue":"11","language":"en","publisher":"Cureus","source":"www.cureus.com","title":"Psychosis and Personality Changes Following Traumatic Brain Injury","URL":"https://cureus.com/articles/271061-psychosis-and-personality-changes-following-traumatic-brain-injury","volume":"16","author":[{"family":"Hanna","given":"David"},{"family":"Priven","given":"Sonya"},{"family":"Carroll","given":"Nathan"},{"family":"Ekladios","given":"Heba"},{"family":"Fitzsimmons","given":"Adriana"},{"family":"Hanna","given":"David"},{"family":"Priven","given":"Sonya"},{"family":"Carroll","given":"Nathan A."},{"family":"Ekladios","given":"Heba"},{"family":"Fitzsimmons","given":"Adriana"}],"accessed":{"date-parts":[["2026",1,18]]},"issued":{"date-parts":[["2024",11,1]]}}}],"schema":"https://github.com/citation-style-language/schema/raw/master/csl-citation.json"}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Hanna et al.</w:t>
            </w:r>
            <w:r w:rsidRPr="00B10849">
              <w:rPr>
                <w:rFonts w:ascii="Aptos Narrow" w:eastAsia="Times New Roman" w:hAnsi="Aptos Narrow" w:cs="Times New Roman"/>
                <w:kern w:val="0"/>
                <w:sz w:val="18"/>
                <w:szCs w:val="18"/>
                <w:lang w:eastAsia="en-GB"/>
                <w14:ligatures w14:val="none"/>
              </w:rPr>
              <w:fldChar w:fldCharType="end"/>
            </w:r>
            <w:r w:rsidRPr="00B10849">
              <w:rPr>
                <w:rFonts w:ascii="Aptos Narrow" w:eastAsia="Times New Roman" w:hAnsi="Aptos Narrow" w:cs="Times New Roman"/>
                <w:kern w:val="0"/>
                <w:sz w:val="18"/>
                <w:szCs w:val="18"/>
                <w:lang w:eastAsia="en-GB"/>
                <w14:ligatures w14:val="none"/>
              </w:rPr>
              <w:t xml:space="preserve"> </w:t>
            </w:r>
          </w:p>
        </w:tc>
        <w:tc>
          <w:tcPr>
            <w:tcW w:w="719" w:type="dxa"/>
            <w:noWrap/>
            <w:hideMark/>
          </w:tcPr>
          <w:p w14:paraId="3B34FAC0"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2024</w:t>
            </w:r>
          </w:p>
        </w:tc>
        <w:tc>
          <w:tcPr>
            <w:tcW w:w="1205" w:type="dxa"/>
            <w:noWrap/>
            <w:hideMark/>
          </w:tcPr>
          <w:p w14:paraId="7A84751B"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468D9973"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 case: 63-year-old male with history of hypertension, chronic kidney disease on dialysis, and TBI. Injured at age 18. No family history of schizophrenia or psychosis. Lives alone, able to perform activities of daily living. Adherent to medications.</w:t>
            </w:r>
          </w:p>
        </w:tc>
        <w:tc>
          <w:tcPr>
            <w:tcW w:w="1052" w:type="dxa"/>
            <w:noWrap/>
            <w:hideMark/>
          </w:tcPr>
          <w:p w14:paraId="4144A85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USA</w:t>
            </w:r>
          </w:p>
        </w:tc>
        <w:tc>
          <w:tcPr>
            <w:tcW w:w="1892" w:type="dxa"/>
            <w:noWrap/>
            <w:hideMark/>
          </w:tcPr>
          <w:p w14:paraId="01FC04F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Severe TBI from gunshot wound through right frontal bone at age 18. Pre-injury: patient was very social, smart, had many friends. Injury resulted in cognitive dysfunction and seizures. History of inpatient psychiatric admissions</w:t>
            </w:r>
          </w:p>
        </w:tc>
        <w:tc>
          <w:tcPr>
            <w:tcW w:w="2444" w:type="dxa"/>
            <w:noWrap/>
            <w:hideMark/>
          </w:tcPr>
          <w:p w14:paraId="3C56C03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Personality changes included: impulsivity, excessive spending (gambling, buying unnecessary things), development of short temper. At presentation: depressed mood, aggressive behaviors, suicidal ideation, internally preoccupied with disorganized thoughts. Developed schizophrenia over several years following trauma. </w:t>
            </w:r>
          </w:p>
        </w:tc>
        <w:tc>
          <w:tcPr>
            <w:tcW w:w="2036" w:type="dxa"/>
            <w:noWrap/>
            <w:hideMark/>
          </w:tcPr>
          <w:p w14:paraId="67189A9A"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Not specified</w:t>
            </w:r>
          </w:p>
        </w:tc>
        <w:tc>
          <w:tcPr>
            <w:tcW w:w="1840" w:type="dxa"/>
            <w:noWrap/>
            <w:hideMark/>
          </w:tcPr>
          <w:p w14:paraId="35F005A0"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Encephalomalacia in right frontal convexity region. Deformity in calvarium just above right frontal convexity region. </w:t>
            </w:r>
          </w:p>
        </w:tc>
      </w:tr>
      <w:tr w:rsidR="00E8789B" w:rsidRPr="00B10849" w14:paraId="09DFD9BA" w14:textId="77777777" w:rsidTr="00E611F1">
        <w:tc>
          <w:tcPr>
            <w:tcW w:w="490" w:type="dxa"/>
            <w:noWrap/>
            <w:hideMark/>
          </w:tcPr>
          <w:p w14:paraId="3440897A"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101</w:t>
            </w:r>
          </w:p>
        </w:tc>
        <w:tc>
          <w:tcPr>
            <w:tcW w:w="1320" w:type="dxa"/>
            <w:noWrap/>
            <w:hideMark/>
          </w:tcPr>
          <w:p w14:paraId="2AE6D8ED"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fldChar w:fldCharType="begin"/>
            </w:r>
            <w:r w:rsidRPr="00B10849">
              <w:rPr>
                <w:rFonts w:ascii="Aptos Narrow" w:eastAsia="Times New Roman" w:hAnsi="Aptos Narrow" w:cs="Times New Roman"/>
                <w:kern w:val="0"/>
                <w:sz w:val="18"/>
                <w:szCs w:val="18"/>
                <w:lang w:eastAsia="en-GB"/>
                <w14:ligatures w14:val="none"/>
              </w:rPr>
              <w:instrText xml:space="preserve"> ADDIN ZOTERO_ITEM CSL_CITATION {"citationID":"gNzEYKFJ","properties":{"formattedCitation":"(Riccitelli et al., 2024)","plainCitation":"(Riccitelli et al., 2024)","dontUpdate":true,"noteIndex":0},"citationItems":[{"id":26164,"uris":["http://zotero.org/users/1471066/items/VSNDSNVI"],"itemData":{"id":26164,"type":"article-journal","abstract":"Background: Neuropsychiatric disorders are highly disabling in traumatic brain injury (TBI) patients and often psychopharmacological therapy is not enough to limit its detrimental effects. Repetitive transcranial magnetic stimulation (rTMS) treatment is growing in the field of neurology and psychiatry, with potential in treating psychiatric disorders.Objective: This study explores the efficacy of a novel, dual-site sequential rTMS protocol designed to address neuropsychiatric symptoms in a TBI patient refractory to conventional medication.Methods: A 34-year-old woman with severe head trauma and complex psychopathology underwent 20 daily sessions of focal-coil inhibitory (1Hz) and excitatory (10Hz) rTMS on right and left dorsolateral prefrontal cortex guided by a Neuronavigation system. Psychiatric and neurocognitive assessment were performed at baseline, two, four, and eight weeks from the beginning of rTMS treatment.Results: After 2 weeks of treatment, the patient showed decreased impulsivity and obsessive-compulsive symptoms, improved attention, and faster processing speed. After 4 weeks, impulsivity further declined without other significant changes. A persistent positive effect, including enhanced positive emotions, was evident after 8 weeks.Discussion: These findings suggest that guided, alternating neurostimulation of the DLPFC may modulate the activity within cortico-striato-thalamo-cortical circuits providing a promising alternative for managing neuropsychiatric symptoms in TBI patients resistant to traditional treatments.","container-title":"Frontiers in Neurology","DOI":"10.3389/fneur.2024.1412304","ISSN":"1664-2295","journalAbbreviation":"Front. Neurol.","language":"English","publisher":"Frontiers","source":"Frontiers","title":"Efficacy of transcranial magnetic stimulation treatment in reducing neuropsychiatric symptomatology after traumatic brain injury","URL":"https://www.frontiersin.org/journals/neurology/articles/10.3389/fneur.2024.1412304/full","volume":"15","author":[{"family":"Riccitelli","given":"Gianna Carla"},{"family":"Borgonovo","given":"Riccardo"},{"family":"Villa","given":"Mariasole"},{"family":"Pravatà","given":"Emanuele"},{"family":"Kaelin-Lang","given":"Alain"}],"accessed":{"date-parts":[["2026",1,18]]},"issued":{"date-parts":[["2024",10,9]]}}}],"schema":"https://github.com/citation-style-language/schema/raw/master/csl-citation.json"} </w:instrText>
            </w:r>
            <w:r w:rsidRPr="00B10849">
              <w:rPr>
                <w:rFonts w:ascii="Aptos Narrow" w:eastAsia="Times New Roman" w:hAnsi="Aptos Narrow" w:cs="Times New Roman"/>
                <w:kern w:val="0"/>
                <w:sz w:val="18"/>
                <w:szCs w:val="18"/>
                <w:lang w:eastAsia="en-GB"/>
                <w14:ligatures w14:val="none"/>
              </w:rPr>
              <w:fldChar w:fldCharType="separate"/>
            </w:r>
            <w:r w:rsidRPr="00B10849">
              <w:rPr>
                <w:rFonts w:ascii="Aptos Narrow" w:hAnsi="Aptos Narrow"/>
                <w:sz w:val="18"/>
                <w:lang w:eastAsia="en-GB"/>
              </w:rPr>
              <w:t>Riccitelli et al.</w:t>
            </w:r>
            <w:r w:rsidRPr="00B10849">
              <w:rPr>
                <w:rFonts w:ascii="Aptos Narrow" w:eastAsia="Times New Roman" w:hAnsi="Aptos Narrow" w:cs="Times New Roman"/>
                <w:kern w:val="0"/>
                <w:sz w:val="18"/>
                <w:szCs w:val="18"/>
                <w:lang w:eastAsia="en-GB"/>
                <w14:ligatures w14:val="none"/>
              </w:rPr>
              <w:fldChar w:fldCharType="end"/>
            </w:r>
          </w:p>
        </w:tc>
        <w:tc>
          <w:tcPr>
            <w:tcW w:w="719" w:type="dxa"/>
            <w:noWrap/>
            <w:hideMark/>
          </w:tcPr>
          <w:p w14:paraId="751CBA23" w14:textId="77777777" w:rsidR="00E8789B" w:rsidRPr="00B10849" w:rsidRDefault="00E8789B" w:rsidP="00E611F1">
            <w:pPr>
              <w:spacing w:after="0" w:line="240" w:lineRule="auto"/>
              <w:jc w:val="right"/>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2024</w:t>
            </w:r>
          </w:p>
        </w:tc>
        <w:tc>
          <w:tcPr>
            <w:tcW w:w="1205" w:type="dxa"/>
            <w:noWrap/>
            <w:hideMark/>
          </w:tcPr>
          <w:p w14:paraId="6A1DB9D6"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Case study</w:t>
            </w:r>
          </w:p>
        </w:tc>
        <w:tc>
          <w:tcPr>
            <w:tcW w:w="2170" w:type="dxa"/>
            <w:noWrap/>
            <w:hideMark/>
          </w:tcPr>
          <w:p w14:paraId="116F40F4"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1 case: 34-year-old right-handed woman. Sustained severe head trauma at age 18. 16 years post-injury</w:t>
            </w:r>
          </w:p>
        </w:tc>
        <w:tc>
          <w:tcPr>
            <w:tcW w:w="1052" w:type="dxa"/>
            <w:noWrap/>
            <w:hideMark/>
          </w:tcPr>
          <w:p w14:paraId="741B8DE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Switzerland</w:t>
            </w:r>
          </w:p>
        </w:tc>
        <w:tc>
          <w:tcPr>
            <w:tcW w:w="1892" w:type="dxa"/>
            <w:noWrap/>
            <w:hideMark/>
          </w:tcPr>
          <w:p w14:paraId="6020D3A1"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Severe brain injury from road traffic accident at age 18. Cranial trauma induced coma due to bilateral subdural hematomas requiring emergency craniotomy. Widespread axonal damage in subcortical white matter. </w:t>
            </w:r>
          </w:p>
        </w:tc>
        <w:tc>
          <w:tcPr>
            <w:tcW w:w="2444" w:type="dxa"/>
            <w:noWrap/>
            <w:hideMark/>
          </w:tcPr>
          <w:p w14:paraId="66639E2E"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Complex psychopathology including: impulsivity leading to destructive behavior and self-harm, delusions, mood instability with depressive episodes, emotional suppression, obsessive-compulsive behaviors. Severity often required emergency psychiatric interventions and compulsory hospital admissions. Treatment: 20 daily sessions of dual-site sequential rTMS (inhibitory 1Hz right DLPFC, excitatory 10Hz left DLPFC). Results - 2 weeks: decreased impulsivity (6.4%), significant reduction in OCD symptoms (52.4%, compulsions 91.7%), improvements in attention and processing speed (18.7%), improved inhibitory control (34.6%). 4 weeks: further impulsivity decline (17.7%), attentive impulsiveness improved (26.3%). 8 weeks follow-up: persistent positive effects including enhanced positive emotions. Daily emotions diary showed qualitative increase in positive emotions (baseline 3.9 to 6.5 at 8 weeks) and decrease in negative emotions (baseline 3.9 to 1.9 at 8 weeks). CGI severity improved from severe (6) at baseline to moderate (4) at 4 weeks.</w:t>
            </w:r>
          </w:p>
        </w:tc>
        <w:tc>
          <w:tcPr>
            <w:tcW w:w="2036" w:type="dxa"/>
            <w:noWrap/>
            <w:hideMark/>
          </w:tcPr>
          <w:p w14:paraId="16B82A9F"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 xml:space="preserve">Barratt Impulsiveness Scale (BIS-11) for impulsivity with subscales (attentional, motor, non-planning). </w:t>
            </w:r>
          </w:p>
        </w:tc>
        <w:tc>
          <w:tcPr>
            <w:tcW w:w="1840" w:type="dxa"/>
            <w:noWrap/>
            <w:hideMark/>
          </w:tcPr>
          <w:p w14:paraId="3247DC6C" w14:textId="77777777" w:rsidR="00E8789B" w:rsidRPr="00B10849" w:rsidRDefault="00E8789B" w:rsidP="00E611F1">
            <w:pPr>
              <w:spacing w:after="0" w:line="240" w:lineRule="auto"/>
              <w:rPr>
                <w:rFonts w:ascii="Aptos Narrow" w:eastAsia="Times New Roman" w:hAnsi="Aptos Narrow" w:cs="Times New Roman"/>
                <w:kern w:val="0"/>
                <w:sz w:val="18"/>
                <w:szCs w:val="18"/>
                <w:lang w:eastAsia="en-GB"/>
                <w14:ligatures w14:val="none"/>
              </w:rPr>
            </w:pPr>
            <w:r w:rsidRPr="00B10849">
              <w:rPr>
                <w:rFonts w:ascii="Aptos Narrow" w:eastAsia="Times New Roman" w:hAnsi="Aptos Narrow" w:cs="Times New Roman"/>
                <w:kern w:val="0"/>
                <w:sz w:val="18"/>
                <w:szCs w:val="18"/>
                <w:lang w:eastAsia="en-GB"/>
                <w14:ligatures w14:val="none"/>
              </w:rPr>
              <w:t>Bilateral subdural hematomas (requiring craniotomy). Widespread axonal damage at subcortical level primarily in: frontotemporal regions (predominantly left), temporobasal regions (predominantly left), trunk of corpus callosum, right upper paravermial region. MRI showed hemorrhagic contusions at: left forceps minor, left dorsolateral prefrontal cortex, right inferior frontal gyrus, splenium of corpus callosum, periaqueductal mesencephalon tegmental region. Follow-up MRI showed severe lateral ventricular and aqueductal enlargement related to parenchymal volume loss.</w:t>
            </w:r>
          </w:p>
        </w:tc>
      </w:tr>
    </w:tbl>
    <w:p w14:paraId="7FD53B57" w14:textId="77777777" w:rsidR="007916CE" w:rsidRPr="00B10849" w:rsidRDefault="007916CE" w:rsidP="007916CE"/>
    <w:p w14:paraId="4C0FE477" w14:textId="77777777" w:rsidR="007916CE" w:rsidRPr="00B10849" w:rsidRDefault="007916CE"/>
    <w:p w14:paraId="124AA9ED" w14:textId="77777777" w:rsidR="007916CE" w:rsidRPr="00B10849" w:rsidRDefault="007916CE"/>
    <w:p w14:paraId="35F547EC" w14:textId="77777777" w:rsidR="007916CE" w:rsidRPr="00B10849" w:rsidRDefault="007916CE"/>
    <w:p w14:paraId="0C163E04" w14:textId="77777777" w:rsidR="007916CE" w:rsidRPr="00B10849" w:rsidRDefault="007916CE"/>
    <w:p w14:paraId="118A1D28" w14:textId="77777777" w:rsidR="007916CE" w:rsidRPr="00B10849" w:rsidRDefault="007916CE"/>
    <w:p w14:paraId="17BE8629" w14:textId="77777777" w:rsidR="007916CE" w:rsidRPr="00B10849" w:rsidRDefault="007916CE"/>
    <w:p w14:paraId="04663DBD" w14:textId="77777777" w:rsidR="007916CE" w:rsidRPr="00B10849" w:rsidRDefault="007916CE"/>
    <w:p w14:paraId="20D73F1E" w14:textId="77777777" w:rsidR="007916CE" w:rsidRPr="00B10849" w:rsidRDefault="007916CE">
      <w:pPr>
        <w:sectPr w:rsidR="007916CE" w:rsidRPr="00B10849" w:rsidSect="00B10849">
          <w:type w:val="continuous"/>
          <w:pgSz w:w="16838" w:h="11906" w:orient="landscape"/>
          <w:pgMar w:top="720" w:right="720" w:bottom="720" w:left="720" w:header="708" w:footer="708" w:gutter="0"/>
          <w:cols w:space="708"/>
          <w:docGrid w:linePitch="360"/>
        </w:sectPr>
      </w:pPr>
    </w:p>
    <w:p w14:paraId="31E83E86" w14:textId="7E319B1A" w:rsidR="005F189E" w:rsidRPr="00B10849" w:rsidRDefault="005F189E" w:rsidP="006A15C2">
      <w:pPr>
        <w:jc w:val="center"/>
        <w:rPr>
          <w:rFonts w:ascii="Times New Roman" w:hAnsi="Times New Roman" w:cs="Times New Roman"/>
          <w:b/>
          <w:bCs/>
        </w:rPr>
      </w:pPr>
      <w:r w:rsidRPr="00B10849">
        <w:rPr>
          <w:rFonts w:ascii="Times New Roman" w:hAnsi="Times New Roman" w:cs="Times New Roman"/>
          <w:b/>
          <w:bCs/>
        </w:rPr>
        <w:t>Table S3.</w:t>
      </w:r>
      <w:r w:rsidR="006E331F" w:rsidRPr="00B10849">
        <w:rPr>
          <w:rFonts w:ascii="Times New Roman" w:hAnsi="Times New Roman" w:cs="Times New Roman"/>
          <w:b/>
          <w:bCs/>
        </w:rPr>
        <w:t xml:space="preserve"> </w:t>
      </w:r>
      <w:r w:rsidR="006E331F" w:rsidRPr="00B10849">
        <w:rPr>
          <w:rFonts w:ascii="Times New Roman" w:hAnsi="Times New Roman" w:cs="Times New Roman"/>
        </w:rPr>
        <w:t>Meta-regression results</w:t>
      </w:r>
    </w:p>
    <w:p w14:paraId="623E6CFB" w14:textId="77777777" w:rsidR="005F189E" w:rsidRPr="00B10849" w:rsidRDefault="005F189E" w:rsidP="007A1CBC">
      <w:pPr>
        <w:rPr>
          <w:rFonts w:ascii="Arial" w:hAnsi="Arial" w:cs="Arial"/>
          <w:b/>
          <w:bCs/>
        </w:rPr>
      </w:pPr>
    </w:p>
    <w:tbl>
      <w:tblPr>
        <w:tblW w:w="6904" w:type="dxa"/>
        <w:tblInd w:w="993" w:type="dxa"/>
        <w:tblBorders>
          <w:top w:val="single" w:sz="4" w:space="0" w:color="auto"/>
          <w:bottom w:val="single" w:sz="4" w:space="0" w:color="auto"/>
        </w:tblBorders>
        <w:tblLook w:val="04A0" w:firstRow="1" w:lastRow="0" w:firstColumn="1" w:lastColumn="0" w:noHBand="0" w:noVBand="1"/>
      </w:tblPr>
      <w:tblGrid>
        <w:gridCol w:w="2268"/>
        <w:gridCol w:w="960"/>
        <w:gridCol w:w="6"/>
        <w:gridCol w:w="1019"/>
        <w:gridCol w:w="6"/>
        <w:gridCol w:w="1679"/>
        <w:gridCol w:w="7"/>
        <w:gridCol w:w="1042"/>
        <w:gridCol w:w="6"/>
      </w:tblGrid>
      <w:tr w:rsidR="00B10849" w:rsidRPr="00B10849" w14:paraId="101B5374" w14:textId="77777777" w:rsidTr="006A15C2">
        <w:trPr>
          <w:gridAfter w:val="1"/>
          <w:wAfter w:w="6" w:type="dxa"/>
          <w:trHeight w:val="300"/>
        </w:trPr>
        <w:tc>
          <w:tcPr>
            <w:tcW w:w="2268" w:type="dxa"/>
            <w:tcBorders>
              <w:top w:val="single" w:sz="4" w:space="0" w:color="auto"/>
              <w:bottom w:val="single" w:sz="4" w:space="0" w:color="auto"/>
            </w:tcBorders>
            <w:noWrap/>
            <w:vAlign w:val="bottom"/>
            <w:hideMark/>
          </w:tcPr>
          <w:p w14:paraId="540CB947" w14:textId="77777777" w:rsidR="005F189E" w:rsidRPr="00B10849" w:rsidRDefault="005F189E" w:rsidP="005F189E">
            <w:pPr>
              <w:spacing w:before="40" w:after="40" w:line="240" w:lineRule="auto"/>
              <w:rPr>
                <w:rFonts w:ascii="Calibri" w:eastAsia="Times New Roman" w:hAnsi="Calibri" w:cs="Calibri"/>
                <w:b/>
                <w:bCs/>
                <w:kern w:val="0"/>
                <w:sz w:val="22"/>
                <w:szCs w:val="22"/>
                <w:lang w:eastAsia="en-GB"/>
                <w14:ligatures w14:val="none"/>
              </w:rPr>
            </w:pPr>
            <w:r w:rsidRPr="00B10849">
              <w:rPr>
                <w:rFonts w:ascii="Calibri" w:eastAsia="Times New Roman" w:hAnsi="Calibri" w:cs="Calibri"/>
                <w:b/>
                <w:bCs/>
                <w:kern w:val="0"/>
                <w:sz w:val="22"/>
                <w:szCs w:val="22"/>
                <w:lang w:eastAsia="en-GB"/>
                <w14:ligatures w14:val="none"/>
              </w:rPr>
              <w:t>Moderator</w:t>
            </w:r>
          </w:p>
        </w:tc>
        <w:tc>
          <w:tcPr>
            <w:tcW w:w="960" w:type="dxa"/>
            <w:tcBorders>
              <w:top w:val="single" w:sz="4" w:space="0" w:color="auto"/>
              <w:bottom w:val="single" w:sz="4" w:space="0" w:color="auto"/>
            </w:tcBorders>
            <w:noWrap/>
            <w:vAlign w:val="bottom"/>
            <w:hideMark/>
          </w:tcPr>
          <w:p w14:paraId="072CBC14" w14:textId="77777777" w:rsidR="005F189E" w:rsidRPr="00B10849" w:rsidRDefault="005F189E" w:rsidP="005F189E">
            <w:pPr>
              <w:spacing w:before="40" w:after="40" w:line="240" w:lineRule="auto"/>
              <w:jc w:val="center"/>
              <w:rPr>
                <w:rFonts w:ascii="Calibri" w:eastAsia="Times New Roman" w:hAnsi="Calibri" w:cs="Calibri"/>
                <w:b/>
                <w:bCs/>
                <w:kern w:val="0"/>
                <w:sz w:val="22"/>
                <w:szCs w:val="22"/>
                <w:lang w:eastAsia="en-GB"/>
                <w14:ligatures w14:val="none"/>
              </w:rPr>
            </w:pPr>
            <w:r w:rsidRPr="00B10849">
              <w:rPr>
                <w:rFonts w:ascii="Calibri" w:eastAsia="Times New Roman" w:hAnsi="Calibri" w:cs="Calibri"/>
                <w:b/>
                <w:bCs/>
                <w:kern w:val="0"/>
                <w:sz w:val="22"/>
                <w:szCs w:val="22"/>
                <w:lang w:eastAsia="en-GB"/>
                <w14:ligatures w14:val="none"/>
              </w:rPr>
              <w:t>k</w:t>
            </w:r>
          </w:p>
        </w:tc>
        <w:tc>
          <w:tcPr>
            <w:tcW w:w="1025" w:type="dxa"/>
            <w:gridSpan w:val="2"/>
            <w:tcBorders>
              <w:top w:val="single" w:sz="4" w:space="0" w:color="auto"/>
              <w:bottom w:val="single" w:sz="4" w:space="0" w:color="auto"/>
            </w:tcBorders>
            <w:noWrap/>
            <w:vAlign w:val="bottom"/>
            <w:hideMark/>
          </w:tcPr>
          <w:p w14:paraId="5A37F23A" w14:textId="77777777" w:rsidR="005F189E" w:rsidRPr="00B10849" w:rsidRDefault="005F189E" w:rsidP="005F189E">
            <w:pPr>
              <w:spacing w:before="40" w:after="40" w:line="240" w:lineRule="auto"/>
              <w:jc w:val="center"/>
              <w:rPr>
                <w:rFonts w:ascii="Calibri" w:eastAsia="Times New Roman" w:hAnsi="Calibri" w:cs="Calibri"/>
                <w:b/>
                <w:bCs/>
                <w:kern w:val="0"/>
                <w:sz w:val="22"/>
                <w:szCs w:val="22"/>
                <w:lang w:eastAsia="en-GB"/>
                <w14:ligatures w14:val="none"/>
              </w:rPr>
            </w:pPr>
            <w:r w:rsidRPr="00B10849">
              <w:rPr>
                <w:rFonts w:ascii="Calibri" w:eastAsia="Times New Roman" w:hAnsi="Calibri" w:cs="Calibri"/>
                <w:b/>
                <w:bCs/>
                <w:kern w:val="0"/>
                <w:sz w:val="22"/>
                <w:szCs w:val="22"/>
                <w:lang w:eastAsia="en-GB"/>
                <w14:ligatures w14:val="none"/>
              </w:rPr>
              <w:t>Estimate</w:t>
            </w:r>
          </w:p>
        </w:tc>
        <w:tc>
          <w:tcPr>
            <w:tcW w:w="1685" w:type="dxa"/>
            <w:gridSpan w:val="2"/>
            <w:tcBorders>
              <w:top w:val="single" w:sz="4" w:space="0" w:color="auto"/>
              <w:bottom w:val="single" w:sz="4" w:space="0" w:color="auto"/>
            </w:tcBorders>
            <w:noWrap/>
            <w:vAlign w:val="bottom"/>
            <w:hideMark/>
          </w:tcPr>
          <w:p w14:paraId="2F54864B" w14:textId="77777777" w:rsidR="005F189E" w:rsidRPr="00B10849" w:rsidRDefault="005F189E" w:rsidP="005F189E">
            <w:pPr>
              <w:spacing w:before="40" w:after="40" w:line="240" w:lineRule="auto"/>
              <w:jc w:val="center"/>
              <w:rPr>
                <w:rFonts w:ascii="Calibri" w:eastAsia="Times New Roman" w:hAnsi="Calibri" w:cs="Calibri"/>
                <w:b/>
                <w:bCs/>
                <w:kern w:val="0"/>
                <w:sz w:val="22"/>
                <w:szCs w:val="22"/>
                <w:lang w:eastAsia="en-GB"/>
                <w14:ligatures w14:val="none"/>
              </w:rPr>
            </w:pPr>
            <w:r w:rsidRPr="00B10849">
              <w:rPr>
                <w:rFonts w:ascii="Calibri" w:eastAsia="Times New Roman" w:hAnsi="Calibri" w:cs="Calibri"/>
                <w:b/>
                <w:bCs/>
                <w:kern w:val="0"/>
                <w:sz w:val="22"/>
                <w:szCs w:val="22"/>
                <w:lang w:eastAsia="en-GB"/>
                <w14:ligatures w14:val="none"/>
              </w:rPr>
              <w:t>CI</w:t>
            </w:r>
          </w:p>
        </w:tc>
        <w:tc>
          <w:tcPr>
            <w:tcW w:w="960" w:type="dxa"/>
            <w:gridSpan w:val="2"/>
            <w:tcBorders>
              <w:top w:val="single" w:sz="4" w:space="0" w:color="auto"/>
              <w:bottom w:val="single" w:sz="4" w:space="0" w:color="auto"/>
            </w:tcBorders>
            <w:noWrap/>
            <w:vAlign w:val="bottom"/>
            <w:hideMark/>
          </w:tcPr>
          <w:p w14:paraId="58B0C250" w14:textId="77777777" w:rsidR="005F189E" w:rsidRPr="00B10849" w:rsidRDefault="005F189E" w:rsidP="005F189E">
            <w:pPr>
              <w:spacing w:before="40" w:after="40" w:line="240" w:lineRule="auto"/>
              <w:jc w:val="center"/>
              <w:rPr>
                <w:rFonts w:ascii="Calibri" w:eastAsia="Times New Roman" w:hAnsi="Calibri" w:cs="Calibri"/>
                <w:b/>
                <w:bCs/>
                <w:kern w:val="0"/>
                <w:sz w:val="22"/>
                <w:szCs w:val="22"/>
                <w:lang w:eastAsia="en-GB"/>
                <w14:ligatures w14:val="none"/>
              </w:rPr>
            </w:pPr>
            <w:r w:rsidRPr="00B10849">
              <w:rPr>
                <w:rFonts w:ascii="Calibri" w:eastAsia="Times New Roman" w:hAnsi="Calibri" w:cs="Calibri"/>
                <w:b/>
                <w:bCs/>
                <w:kern w:val="0"/>
                <w:sz w:val="22"/>
                <w:szCs w:val="22"/>
                <w:lang w:eastAsia="en-GB"/>
                <w14:ligatures w14:val="none"/>
              </w:rPr>
              <w:t>p</w:t>
            </w:r>
          </w:p>
        </w:tc>
      </w:tr>
      <w:tr w:rsidR="00B10849" w:rsidRPr="00B10849" w14:paraId="5E1F68B0" w14:textId="77777777" w:rsidTr="006A15C2">
        <w:trPr>
          <w:trHeight w:val="300"/>
        </w:trPr>
        <w:tc>
          <w:tcPr>
            <w:tcW w:w="6904" w:type="dxa"/>
            <w:gridSpan w:val="9"/>
            <w:tcBorders>
              <w:top w:val="single" w:sz="4" w:space="0" w:color="auto"/>
            </w:tcBorders>
            <w:noWrap/>
            <w:vAlign w:val="bottom"/>
          </w:tcPr>
          <w:p w14:paraId="6AD08F89" w14:textId="5D0715B4" w:rsidR="005F189E" w:rsidRPr="00B10849" w:rsidRDefault="005F189E" w:rsidP="005F189E">
            <w:pPr>
              <w:spacing w:after="0" w:line="240" w:lineRule="auto"/>
              <w:rPr>
                <w:rFonts w:ascii="Calibri" w:eastAsia="Times New Roman" w:hAnsi="Calibri" w:cs="Calibri"/>
                <w:i/>
                <w:iCs/>
                <w:kern w:val="0"/>
                <w:sz w:val="22"/>
                <w:szCs w:val="22"/>
                <w:lang w:eastAsia="en-GB"/>
                <w14:ligatures w14:val="none"/>
              </w:rPr>
            </w:pPr>
            <w:r w:rsidRPr="00B10849">
              <w:rPr>
                <w:rFonts w:ascii="Calibri" w:eastAsia="Times New Roman" w:hAnsi="Calibri" w:cs="Calibri"/>
                <w:i/>
                <w:iCs/>
                <w:kern w:val="0"/>
                <w:sz w:val="22"/>
                <w:szCs w:val="22"/>
                <w:lang w:eastAsia="en-GB"/>
                <w14:ligatures w14:val="none"/>
              </w:rPr>
              <w:t>Broad personality change</w:t>
            </w:r>
          </w:p>
        </w:tc>
      </w:tr>
      <w:tr w:rsidR="00B10849" w:rsidRPr="00B10849" w14:paraId="650103ED" w14:textId="77777777" w:rsidTr="006A15C2">
        <w:trPr>
          <w:gridAfter w:val="1"/>
          <w:wAfter w:w="6" w:type="dxa"/>
          <w:trHeight w:val="300"/>
        </w:trPr>
        <w:tc>
          <w:tcPr>
            <w:tcW w:w="2268" w:type="dxa"/>
            <w:noWrap/>
            <w:vAlign w:val="bottom"/>
            <w:hideMark/>
          </w:tcPr>
          <w:p w14:paraId="035D3B32" w14:textId="3B287478"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Mean age</w:t>
            </w:r>
          </w:p>
        </w:tc>
        <w:tc>
          <w:tcPr>
            <w:tcW w:w="960" w:type="dxa"/>
            <w:noWrap/>
            <w:vAlign w:val="bottom"/>
            <w:hideMark/>
          </w:tcPr>
          <w:p w14:paraId="2AB4AD87"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8</w:t>
            </w:r>
          </w:p>
        </w:tc>
        <w:tc>
          <w:tcPr>
            <w:tcW w:w="1025" w:type="dxa"/>
            <w:gridSpan w:val="2"/>
            <w:noWrap/>
            <w:vAlign w:val="bottom"/>
            <w:hideMark/>
          </w:tcPr>
          <w:p w14:paraId="7071EF01"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-0.004</w:t>
            </w:r>
          </w:p>
        </w:tc>
        <w:tc>
          <w:tcPr>
            <w:tcW w:w="1685" w:type="dxa"/>
            <w:gridSpan w:val="2"/>
            <w:noWrap/>
            <w:vAlign w:val="bottom"/>
            <w:hideMark/>
          </w:tcPr>
          <w:p w14:paraId="5DEAE6D5"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[-0.025, 0.017]</w:t>
            </w:r>
          </w:p>
        </w:tc>
        <w:tc>
          <w:tcPr>
            <w:tcW w:w="960" w:type="dxa"/>
            <w:gridSpan w:val="2"/>
            <w:noWrap/>
            <w:vAlign w:val="bottom"/>
            <w:hideMark/>
          </w:tcPr>
          <w:p w14:paraId="17A661C2"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0.724</w:t>
            </w:r>
          </w:p>
        </w:tc>
      </w:tr>
      <w:tr w:rsidR="00B10849" w:rsidRPr="00B10849" w14:paraId="09035E62" w14:textId="77777777" w:rsidTr="006A15C2">
        <w:trPr>
          <w:gridAfter w:val="1"/>
          <w:wAfter w:w="6" w:type="dxa"/>
          <w:trHeight w:val="300"/>
        </w:trPr>
        <w:tc>
          <w:tcPr>
            <w:tcW w:w="2268" w:type="dxa"/>
            <w:noWrap/>
            <w:vAlign w:val="bottom"/>
            <w:hideMark/>
          </w:tcPr>
          <w:p w14:paraId="73007AA1" w14:textId="65980605"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 Female</w:t>
            </w:r>
          </w:p>
        </w:tc>
        <w:tc>
          <w:tcPr>
            <w:tcW w:w="960" w:type="dxa"/>
            <w:noWrap/>
            <w:vAlign w:val="bottom"/>
            <w:hideMark/>
          </w:tcPr>
          <w:p w14:paraId="746D6307"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8</w:t>
            </w:r>
          </w:p>
        </w:tc>
        <w:tc>
          <w:tcPr>
            <w:tcW w:w="1025" w:type="dxa"/>
            <w:gridSpan w:val="2"/>
            <w:noWrap/>
            <w:vAlign w:val="bottom"/>
            <w:hideMark/>
          </w:tcPr>
          <w:p w14:paraId="237CFD27"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0.002</w:t>
            </w:r>
          </w:p>
        </w:tc>
        <w:tc>
          <w:tcPr>
            <w:tcW w:w="1685" w:type="dxa"/>
            <w:gridSpan w:val="2"/>
            <w:noWrap/>
            <w:vAlign w:val="bottom"/>
            <w:hideMark/>
          </w:tcPr>
          <w:p w14:paraId="0D089385"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[-0.007, 0.01]</w:t>
            </w:r>
          </w:p>
        </w:tc>
        <w:tc>
          <w:tcPr>
            <w:tcW w:w="960" w:type="dxa"/>
            <w:gridSpan w:val="2"/>
            <w:noWrap/>
            <w:vAlign w:val="bottom"/>
            <w:hideMark/>
          </w:tcPr>
          <w:p w14:paraId="1D0FFA55"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0.714</w:t>
            </w:r>
          </w:p>
        </w:tc>
      </w:tr>
      <w:tr w:rsidR="00B10849" w:rsidRPr="00B10849" w14:paraId="00A62CE7" w14:textId="77777777" w:rsidTr="006A15C2">
        <w:trPr>
          <w:gridAfter w:val="1"/>
          <w:wAfter w:w="6" w:type="dxa"/>
          <w:trHeight w:val="300"/>
        </w:trPr>
        <w:tc>
          <w:tcPr>
            <w:tcW w:w="2268" w:type="dxa"/>
            <w:noWrap/>
            <w:vAlign w:val="bottom"/>
            <w:hideMark/>
          </w:tcPr>
          <w:p w14:paraId="61487E5C" w14:textId="7191076E"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Follow-up (months)</w:t>
            </w:r>
          </w:p>
        </w:tc>
        <w:tc>
          <w:tcPr>
            <w:tcW w:w="960" w:type="dxa"/>
            <w:noWrap/>
            <w:vAlign w:val="bottom"/>
            <w:hideMark/>
          </w:tcPr>
          <w:p w14:paraId="3524886F"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8</w:t>
            </w:r>
          </w:p>
        </w:tc>
        <w:tc>
          <w:tcPr>
            <w:tcW w:w="1025" w:type="dxa"/>
            <w:gridSpan w:val="2"/>
            <w:noWrap/>
            <w:vAlign w:val="bottom"/>
            <w:hideMark/>
          </w:tcPr>
          <w:p w14:paraId="5592CB36"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0.003</w:t>
            </w:r>
          </w:p>
        </w:tc>
        <w:tc>
          <w:tcPr>
            <w:tcW w:w="1685" w:type="dxa"/>
            <w:gridSpan w:val="2"/>
            <w:noWrap/>
            <w:vAlign w:val="bottom"/>
            <w:hideMark/>
          </w:tcPr>
          <w:p w14:paraId="7B8ABBFE"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 0.005]</w:t>
            </w:r>
          </w:p>
        </w:tc>
        <w:tc>
          <w:tcPr>
            <w:tcW w:w="960" w:type="dxa"/>
            <w:gridSpan w:val="2"/>
            <w:noWrap/>
            <w:vAlign w:val="bottom"/>
            <w:hideMark/>
          </w:tcPr>
          <w:p w14:paraId="145AF643" w14:textId="16AD91F9"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0.044</w:t>
            </w:r>
            <w:r w:rsidR="007B705B" w:rsidRPr="00B10849">
              <w:rPr>
                <w:rFonts w:ascii="Calibri" w:eastAsia="Times New Roman" w:hAnsi="Calibri" w:cs="Calibri"/>
                <w:kern w:val="0"/>
                <w:sz w:val="22"/>
                <w:szCs w:val="22"/>
                <w:lang w:eastAsia="en-GB"/>
                <w14:ligatures w14:val="none"/>
              </w:rPr>
              <w:t>*</w:t>
            </w:r>
          </w:p>
        </w:tc>
      </w:tr>
      <w:tr w:rsidR="00B10849" w:rsidRPr="00B10849" w14:paraId="5A4F3ED0" w14:textId="77777777" w:rsidTr="006A15C2">
        <w:trPr>
          <w:gridAfter w:val="1"/>
          <w:wAfter w:w="6" w:type="dxa"/>
          <w:trHeight w:val="300"/>
        </w:trPr>
        <w:tc>
          <w:tcPr>
            <w:tcW w:w="2268" w:type="dxa"/>
            <w:noWrap/>
            <w:vAlign w:val="bottom"/>
            <w:hideMark/>
          </w:tcPr>
          <w:p w14:paraId="0215551E" w14:textId="6DDC1A2A"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 mild TBI</w:t>
            </w:r>
          </w:p>
        </w:tc>
        <w:tc>
          <w:tcPr>
            <w:tcW w:w="960" w:type="dxa"/>
            <w:noWrap/>
            <w:vAlign w:val="bottom"/>
            <w:hideMark/>
          </w:tcPr>
          <w:p w14:paraId="076F000C"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6</w:t>
            </w:r>
          </w:p>
        </w:tc>
        <w:tc>
          <w:tcPr>
            <w:tcW w:w="1025" w:type="dxa"/>
            <w:gridSpan w:val="2"/>
            <w:noWrap/>
            <w:vAlign w:val="bottom"/>
            <w:hideMark/>
          </w:tcPr>
          <w:p w14:paraId="48618869"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NA</w:t>
            </w:r>
          </w:p>
        </w:tc>
        <w:tc>
          <w:tcPr>
            <w:tcW w:w="1685" w:type="dxa"/>
            <w:gridSpan w:val="2"/>
            <w:noWrap/>
            <w:vAlign w:val="bottom"/>
            <w:hideMark/>
          </w:tcPr>
          <w:p w14:paraId="60BB109C"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[NA, NA]</w:t>
            </w:r>
          </w:p>
        </w:tc>
        <w:tc>
          <w:tcPr>
            <w:tcW w:w="960" w:type="dxa"/>
            <w:gridSpan w:val="2"/>
            <w:noWrap/>
            <w:vAlign w:val="bottom"/>
            <w:hideMark/>
          </w:tcPr>
          <w:p w14:paraId="03792A0F"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NA</w:t>
            </w:r>
          </w:p>
        </w:tc>
      </w:tr>
      <w:tr w:rsidR="00B10849" w:rsidRPr="00B10849" w14:paraId="2A63D7EE" w14:textId="77777777" w:rsidTr="006A15C2">
        <w:trPr>
          <w:gridAfter w:val="1"/>
          <w:wAfter w:w="6" w:type="dxa"/>
          <w:trHeight w:val="300"/>
        </w:trPr>
        <w:tc>
          <w:tcPr>
            <w:tcW w:w="2268" w:type="dxa"/>
            <w:noWrap/>
            <w:vAlign w:val="bottom"/>
            <w:hideMark/>
          </w:tcPr>
          <w:p w14:paraId="2D29A8B3" w14:textId="71E9B034"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 moderate TBI</w:t>
            </w:r>
          </w:p>
        </w:tc>
        <w:tc>
          <w:tcPr>
            <w:tcW w:w="960" w:type="dxa"/>
            <w:noWrap/>
            <w:vAlign w:val="bottom"/>
            <w:hideMark/>
          </w:tcPr>
          <w:p w14:paraId="3239AD86"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6</w:t>
            </w:r>
          </w:p>
        </w:tc>
        <w:tc>
          <w:tcPr>
            <w:tcW w:w="1025" w:type="dxa"/>
            <w:gridSpan w:val="2"/>
            <w:noWrap/>
            <w:vAlign w:val="bottom"/>
            <w:hideMark/>
          </w:tcPr>
          <w:p w14:paraId="69C2C6FE"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0.007</w:t>
            </w:r>
          </w:p>
        </w:tc>
        <w:tc>
          <w:tcPr>
            <w:tcW w:w="1685" w:type="dxa"/>
            <w:gridSpan w:val="2"/>
            <w:noWrap/>
            <w:vAlign w:val="bottom"/>
            <w:hideMark/>
          </w:tcPr>
          <w:p w14:paraId="7058EBE4"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[-0.002, 0.017]</w:t>
            </w:r>
          </w:p>
        </w:tc>
        <w:tc>
          <w:tcPr>
            <w:tcW w:w="960" w:type="dxa"/>
            <w:gridSpan w:val="2"/>
            <w:noWrap/>
            <w:vAlign w:val="bottom"/>
            <w:hideMark/>
          </w:tcPr>
          <w:p w14:paraId="1E5E8011"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0.104</w:t>
            </w:r>
          </w:p>
        </w:tc>
      </w:tr>
      <w:tr w:rsidR="00B10849" w:rsidRPr="00B10849" w14:paraId="474EA199" w14:textId="77777777" w:rsidTr="006A15C2">
        <w:trPr>
          <w:gridAfter w:val="1"/>
          <w:wAfter w:w="6" w:type="dxa"/>
          <w:trHeight w:val="300"/>
        </w:trPr>
        <w:tc>
          <w:tcPr>
            <w:tcW w:w="2268" w:type="dxa"/>
            <w:noWrap/>
            <w:vAlign w:val="bottom"/>
            <w:hideMark/>
          </w:tcPr>
          <w:p w14:paraId="535F9170" w14:textId="4FC9726D"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 severe TBI</w:t>
            </w:r>
          </w:p>
        </w:tc>
        <w:tc>
          <w:tcPr>
            <w:tcW w:w="960" w:type="dxa"/>
            <w:noWrap/>
            <w:vAlign w:val="bottom"/>
            <w:hideMark/>
          </w:tcPr>
          <w:p w14:paraId="145B5693"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6</w:t>
            </w:r>
          </w:p>
        </w:tc>
        <w:tc>
          <w:tcPr>
            <w:tcW w:w="1025" w:type="dxa"/>
            <w:gridSpan w:val="2"/>
            <w:noWrap/>
            <w:vAlign w:val="bottom"/>
            <w:hideMark/>
          </w:tcPr>
          <w:p w14:paraId="0F14F390"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-0.007</w:t>
            </w:r>
          </w:p>
        </w:tc>
        <w:tc>
          <w:tcPr>
            <w:tcW w:w="1685" w:type="dxa"/>
            <w:gridSpan w:val="2"/>
            <w:noWrap/>
            <w:vAlign w:val="bottom"/>
            <w:hideMark/>
          </w:tcPr>
          <w:p w14:paraId="31D08A98"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[-0.017, 0.002]</w:t>
            </w:r>
          </w:p>
        </w:tc>
        <w:tc>
          <w:tcPr>
            <w:tcW w:w="960" w:type="dxa"/>
            <w:gridSpan w:val="2"/>
            <w:noWrap/>
            <w:vAlign w:val="bottom"/>
            <w:hideMark/>
          </w:tcPr>
          <w:p w14:paraId="2861B44C"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0.104</w:t>
            </w:r>
          </w:p>
        </w:tc>
      </w:tr>
      <w:tr w:rsidR="00B10849" w:rsidRPr="00B10849" w14:paraId="5D239091" w14:textId="77777777" w:rsidTr="006A15C2">
        <w:trPr>
          <w:gridAfter w:val="1"/>
          <w:wAfter w:w="6" w:type="dxa"/>
          <w:trHeight w:val="300"/>
        </w:trPr>
        <w:tc>
          <w:tcPr>
            <w:tcW w:w="2268" w:type="dxa"/>
            <w:noWrap/>
            <w:vAlign w:val="bottom"/>
            <w:hideMark/>
          </w:tcPr>
          <w:p w14:paraId="2E9A4A31" w14:textId="69BF9503"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Year</w:t>
            </w:r>
            <w:r w:rsidR="00DD4656" w:rsidRPr="00B10849">
              <w:rPr>
                <w:rFonts w:ascii="Calibri" w:eastAsia="Times New Roman" w:hAnsi="Calibri" w:cs="Calibri"/>
                <w:kern w:val="0"/>
                <w:sz w:val="22"/>
                <w:szCs w:val="22"/>
                <w:lang w:eastAsia="en-GB"/>
                <w14:ligatures w14:val="none"/>
              </w:rPr>
              <w:t xml:space="preserve"> of publication</w:t>
            </w:r>
          </w:p>
        </w:tc>
        <w:tc>
          <w:tcPr>
            <w:tcW w:w="960" w:type="dxa"/>
            <w:noWrap/>
            <w:vAlign w:val="bottom"/>
            <w:hideMark/>
          </w:tcPr>
          <w:p w14:paraId="701D0AF2"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9</w:t>
            </w:r>
          </w:p>
        </w:tc>
        <w:tc>
          <w:tcPr>
            <w:tcW w:w="1025" w:type="dxa"/>
            <w:gridSpan w:val="2"/>
            <w:noWrap/>
            <w:vAlign w:val="bottom"/>
            <w:hideMark/>
          </w:tcPr>
          <w:p w14:paraId="2539DB41"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-0.006</w:t>
            </w:r>
          </w:p>
        </w:tc>
        <w:tc>
          <w:tcPr>
            <w:tcW w:w="1685" w:type="dxa"/>
            <w:gridSpan w:val="2"/>
            <w:noWrap/>
            <w:vAlign w:val="bottom"/>
            <w:hideMark/>
          </w:tcPr>
          <w:p w14:paraId="379D1179"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[-0.016, 0.003]</w:t>
            </w:r>
          </w:p>
        </w:tc>
        <w:tc>
          <w:tcPr>
            <w:tcW w:w="960" w:type="dxa"/>
            <w:gridSpan w:val="2"/>
            <w:noWrap/>
            <w:vAlign w:val="bottom"/>
            <w:hideMark/>
          </w:tcPr>
          <w:p w14:paraId="1FB42607"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0.186</w:t>
            </w:r>
          </w:p>
        </w:tc>
      </w:tr>
      <w:tr w:rsidR="00B10849" w:rsidRPr="00B10849" w14:paraId="450A7BFC" w14:textId="77777777" w:rsidTr="006A15C2">
        <w:trPr>
          <w:gridAfter w:val="1"/>
          <w:wAfter w:w="6" w:type="dxa"/>
          <w:trHeight w:val="300"/>
        </w:trPr>
        <w:tc>
          <w:tcPr>
            <w:tcW w:w="2268" w:type="dxa"/>
            <w:noWrap/>
            <w:vAlign w:val="bottom"/>
            <w:hideMark/>
          </w:tcPr>
          <w:p w14:paraId="386DE318" w14:textId="6120B8AF"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Risk of bias (%)</w:t>
            </w:r>
          </w:p>
        </w:tc>
        <w:tc>
          <w:tcPr>
            <w:tcW w:w="960" w:type="dxa"/>
            <w:noWrap/>
            <w:vAlign w:val="bottom"/>
            <w:hideMark/>
          </w:tcPr>
          <w:p w14:paraId="6AADD014"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9</w:t>
            </w:r>
          </w:p>
        </w:tc>
        <w:tc>
          <w:tcPr>
            <w:tcW w:w="1025" w:type="dxa"/>
            <w:gridSpan w:val="2"/>
            <w:noWrap/>
            <w:vAlign w:val="bottom"/>
            <w:hideMark/>
          </w:tcPr>
          <w:p w14:paraId="29149098"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-0.004</w:t>
            </w:r>
          </w:p>
        </w:tc>
        <w:tc>
          <w:tcPr>
            <w:tcW w:w="1685" w:type="dxa"/>
            <w:gridSpan w:val="2"/>
            <w:noWrap/>
            <w:vAlign w:val="bottom"/>
            <w:hideMark/>
          </w:tcPr>
          <w:p w14:paraId="14FBDE54"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[-0.009, 0.001]</w:t>
            </w:r>
          </w:p>
        </w:tc>
        <w:tc>
          <w:tcPr>
            <w:tcW w:w="960" w:type="dxa"/>
            <w:gridSpan w:val="2"/>
            <w:noWrap/>
            <w:vAlign w:val="bottom"/>
            <w:hideMark/>
          </w:tcPr>
          <w:p w14:paraId="1D8CFE74"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0.116</w:t>
            </w:r>
          </w:p>
        </w:tc>
      </w:tr>
      <w:tr w:rsidR="00B10849" w:rsidRPr="00B10849" w14:paraId="732FB5DC" w14:textId="77777777" w:rsidTr="006A15C2">
        <w:trPr>
          <w:trHeight w:val="300"/>
        </w:trPr>
        <w:tc>
          <w:tcPr>
            <w:tcW w:w="6904" w:type="dxa"/>
            <w:gridSpan w:val="9"/>
            <w:noWrap/>
            <w:vAlign w:val="bottom"/>
            <w:hideMark/>
          </w:tcPr>
          <w:p w14:paraId="6AD11C18" w14:textId="6001CFB7" w:rsidR="005F189E" w:rsidRPr="00B10849" w:rsidRDefault="005F189E" w:rsidP="005F189E">
            <w:pPr>
              <w:spacing w:before="40" w:after="0" w:line="240" w:lineRule="auto"/>
              <w:rPr>
                <w:rFonts w:ascii="Calibri" w:eastAsia="Times New Roman" w:hAnsi="Calibri" w:cs="Calibri"/>
                <w:i/>
                <w:iCs/>
                <w:kern w:val="0"/>
                <w:sz w:val="22"/>
                <w:szCs w:val="22"/>
                <w:lang w:eastAsia="en-GB"/>
                <w14:ligatures w14:val="none"/>
              </w:rPr>
            </w:pPr>
            <w:r w:rsidRPr="00B10849">
              <w:rPr>
                <w:rFonts w:ascii="Calibri" w:eastAsia="Times New Roman" w:hAnsi="Calibri" w:cs="Calibri"/>
                <w:i/>
                <w:iCs/>
                <w:kern w:val="0"/>
                <w:sz w:val="22"/>
                <w:szCs w:val="22"/>
                <w:lang w:eastAsia="en-GB"/>
                <w14:ligatures w14:val="none"/>
              </w:rPr>
              <w:t>Secondary personality disorder diagnosis</w:t>
            </w:r>
          </w:p>
        </w:tc>
      </w:tr>
      <w:tr w:rsidR="00B10849" w:rsidRPr="00B10849" w14:paraId="6AC85535" w14:textId="77777777" w:rsidTr="006A15C2">
        <w:trPr>
          <w:gridAfter w:val="1"/>
          <w:wAfter w:w="6" w:type="dxa"/>
          <w:trHeight w:val="300"/>
        </w:trPr>
        <w:tc>
          <w:tcPr>
            <w:tcW w:w="2268" w:type="dxa"/>
            <w:noWrap/>
            <w:vAlign w:val="bottom"/>
            <w:hideMark/>
          </w:tcPr>
          <w:p w14:paraId="08609D8E" w14:textId="7B9CE5A7"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Mean age</w:t>
            </w:r>
          </w:p>
        </w:tc>
        <w:tc>
          <w:tcPr>
            <w:tcW w:w="960" w:type="dxa"/>
            <w:noWrap/>
            <w:vAlign w:val="bottom"/>
            <w:hideMark/>
          </w:tcPr>
          <w:p w14:paraId="7D8901F6"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8</w:t>
            </w:r>
          </w:p>
        </w:tc>
        <w:tc>
          <w:tcPr>
            <w:tcW w:w="1025" w:type="dxa"/>
            <w:gridSpan w:val="2"/>
            <w:noWrap/>
            <w:vAlign w:val="bottom"/>
            <w:hideMark/>
          </w:tcPr>
          <w:p w14:paraId="0C1D2F1C"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-0.004</w:t>
            </w:r>
          </w:p>
        </w:tc>
        <w:tc>
          <w:tcPr>
            <w:tcW w:w="1685" w:type="dxa"/>
            <w:gridSpan w:val="2"/>
            <w:noWrap/>
            <w:vAlign w:val="bottom"/>
            <w:hideMark/>
          </w:tcPr>
          <w:p w14:paraId="56A4F8A6"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[-0.011, 0.003]</w:t>
            </w:r>
          </w:p>
        </w:tc>
        <w:tc>
          <w:tcPr>
            <w:tcW w:w="960" w:type="dxa"/>
            <w:gridSpan w:val="2"/>
            <w:noWrap/>
            <w:vAlign w:val="bottom"/>
            <w:hideMark/>
          </w:tcPr>
          <w:p w14:paraId="11E3C9FB"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0.293</w:t>
            </w:r>
          </w:p>
        </w:tc>
      </w:tr>
      <w:tr w:rsidR="00B10849" w:rsidRPr="00B10849" w14:paraId="294D34D3" w14:textId="77777777" w:rsidTr="006A15C2">
        <w:trPr>
          <w:gridAfter w:val="1"/>
          <w:wAfter w:w="6" w:type="dxa"/>
          <w:trHeight w:val="300"/>
        </w:trPr>
        <w:tc>
          <w:tcPr>
            <w:tcW w:w="2268" w:type="dxa"/>
            <w:noWrap/>
            <w:vAlign w:val="bottom"/>
            <w:hideMark/>
          </w:tcPr>
          <w:p w14:paraId="2279C6D8" w14:textId="5C25EC1E"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 Female</w:t>
            </w:r>
          </w:p>
        </w:tc>
        <w:tc>
          <w:tcPr>
            <w:tcW w:w="960" w:type="dxa"/>
            <w:noWrap/>
            <w:vAlign w:val="bottom"/>
            <w:hideMark/>
          </w:tcPr>
          <w:p w14:paraId="34CE1839"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8</w:t>
            </w:r>
          </w:p>
        </w:tc>
        <w:tc>
          <w:tcPr>
            <w:tcW w:w="1025" w:type="dxa"/>
            <w:gridSpan w:val="2"/>
            <w:noWrap/>
            <w:vAlign w:val="bottom"/>
            <w:hideMark/>
          </w:tcPr>
          <w:p w14:paraId="61840EAF"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-0.001</w:t>
            </w:r>
          </w:p>
        </w:tc>
        <w:tc>
          <w:tcPr>
            <w:tcW w:w="1685" w:type="dxa"/>
            <w:gridSpan w:val="2"/>
            <w:noWrap/>
            <w:vAlign w:val="bottom"/>
            <w:hideMark/>
          </w:tcPr>
          <w:p w14:paraId="22343075"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[-0.005, 0.002]</w:t>
            </w:r>
          </w:p>
        </w:tc>
        <w:tc>
          <w:tcPr>
            <w:tcW w:w="960" w:type="dxa"/>
            <w:gridSpan w:val="2"/>
            <w:noWrap/>
            <w:vAlign w:val="bottom"/>
            <w:hideMark/>
          </w:tcPr>
          <w:p w14:paraId="4733CD06"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0.441</w:t>
            </w:r>
          </w:p>
        </w:tc>
      </w:tr>
      <w:tr w:rsidR="00B10849" w:rsidRPr="00B10849" w14:paraId="21C380F5" w14:textId="77777777" w:rsidTr="006A15C2">
        <w:trPr>
          <w:gridAfter w:val="1"/>
          <w:wAfter w:w="6" w:type="dxa"/>
          <w:trHeight w:val="300"/>
        </w:trPr>
        <w:tc>
          <w:tcPr>
            <w:tcW w:w="2268" w:type="dxa"/>
            <w:noWrap/>
            <w:vAlign w:val="bottom"/>
            <w:hideMark/>
          </w:tcPr>
          <w:p w14:paraId="11F04DBC" w14:textId="736B2718"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Follow-up (months)</w:t>
            </w:r>
          </w:p>
        </w:tc>
        <w:tc>
          <w:tcPr>
            <w:tcW w:w="960" w:type="dxa"/>
            <w:noWrap/>
            <w:vAlign w:val="bottom"/>
            <w:hideMark/>
          </w:tcPr>
          <w:p w14:paraId="4AE2D8EC"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7</w:t>
            </w:r>
          </w:p>
        </w:tc>
        <w:tc>
          <w:tcPr>
            <w:tcW w:w="1025" w:type="dxa"/>
            <w:gridSpan w:val="2"/>
            <w:noWrap/>
            <w:vAlign w:val="bottom"/>
            <w:hideMark/>
          </w:tcPr>
          <w:p w14:paraId="7BA8B557"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w:t>
            </w:r>
          </w:p>
        </w:tc>
        <w:tc>
          <w:tcPr>
            <w:tcW w:w="1685" w:type="dxa"/>
            <w:gridSpan w:val="2"/>
            <w:noWrap/>
            <w:vAlign w:val="bottom"/>
            <w:hideMark/>
          </w:tcPr>
          <w:p w14:paraId="1241C21F"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[-0.001, 0]</w:t>
            </w:r>
          </w:p>
        </w:tc>
        <w:tc>
          <w:tcPr>
            <w:tcW w:w="960" w:type="dxa"/>
            <w:gridSpan w:val="2"/>
            <w:noWrap/>
            <w:vAlign w:val="bottom"/>
            <w:hideMark/>
          </w:tcPr>
          <w:p w14:paraId="7FC0C7F2"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0.205</w:t>
            </w:r>
          </w:p>
        </w:tc>
      </w:tr>
      <w:tr w:rsidR="00B10849" w:rsidRPr="00B10849" w14:paraId="51450ACC" w14:textId="77777777" w:rsidTr="006A15C2">
        <w:trPr>
          <w:gridAfter w:val="1"/>
          <w:wAfter w:w="6" w:type="dxa"/>
          <w:trHeight w:val="300"/>
        </w:trPr>
        <w:tc>
          <w:tcPr>
            <w:tcW w:w="2268" w:type="dxa"/>
            <w:noWrap/>
            <w:vAlign w:val="bottom"/>
            <w:hideMark/>
          </w:tcPr>
          <w:p w14:paraId="6436FC29" w14:textId="3724CF8E"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 mild TBI</w:t>
            </w:r>
          </w:p>
        </w:tc>
        <w:tc>
          <w:tcPr>
            <w:tcW w:w="960" w:type="dxa"/>
            <w:noWrap/>
            <w:vAlign w:val="bottom"/>
            <w:hideMark/>
          </w:tcPr>
          <w:p w14:paraId="2C74A3D6"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8</w:t>
            </w:r>
          </w:p>
        </w:tc>
        <w:tc>
          <w:tcPr>
            <w:tcW w:w="1025" w:type="dxa"/>
            <w:gridSpan w:val="2"/>
            <w:noWrap/>
            <w:vAlign w:val="bottom"/>
            <w:hideMark/>
          </w:tcPr>
          <w:p w14:paraId="11BE14A6"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-0.002</w:t>
            </w:r>
          </w:p>
        </w:tc>
        <w:tc>
          <w:tcPr>
            <w:tcW w:w="1685" w:type="dxa"/>
            <w:gridSpan w:val="2"/>
            <w:noWrap/>
            <w:vAlign w:val="bottom"/>
            <w:hideMark/>
          </w:tcPr>
          <w:p w14:paraId="442AD7DB"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[-0.005, 0.001]</w:t>
            </w:r>
          </w:p>
        </w:tc>
        <w:tc>
          <w:tcPr>
            <w:tcW w:w="960" w:type="dxa"/>
            <w:gridSpan w:val="2"/>
            <w:noWrap/>
            <w:vAlign w:val="bottom"/>
            <w:hideMark/>
          </w:tcPr>
          <w:p w14:paraId="3AA7C533"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0.196</w:t>
            </w:r>
          </w:p>
        </w:tc>
      </w:tr>
      <w:tr w:rsidR="00B10849" w:rsidRPr="00B10849" w14:paraId="47F21F01" w14:textId="77777777" w:rsidTr="006A15C2">
        <w:trPr>
          <w:gridAfter w:val="1"/>
          <w:wAfter w:w="6" w:type="dxa"/>
          <w:trHeight w:val="300"/>
        </w:trPr>
        <w:tc>
          <w:tcPr>
            <w:tcW w:w="2268" w:type="dxa"/>
            <w:noWrap/>
            <w:vAlign w:val="bottom"/>
            <w:hideMark/>
          </w:tcPr>
          <w:p w14:paraId="60BC02B5" w14:textId="6DB8D295"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 moderate TBI</w:t>
            </w:r>
          </w:p>
        </w:tc>
        <w:tc>
          <w:tcPr>
            <w:tcW w:w="960" w:type="dxa"/>
            <w:noWrap/>
            <w:vAlign w:val="bottom"/>
            <w:hideMark/>
          </w:tcPr>
          <w:p w14:paraId="27C0C85A"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8</w:t>
            </w:r>
          </w:p>
        </w:tc>
        <w:tc>
          <w:tcPr>
            <w:tcW w:w="1025" w:type="dxa"/>
            <w:gridSpan w:val="2"/>
            <w:noWrap/>
            <w:vAlign w:val="bottom"/>
            <w:hideMark/>
          </w:tcPr>
          <w:p w14:paraId="29D2DC12"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-0.007</w:t>
            </w:r>
          </w:p>
        </w:tc>
        <w:tc>
          <w:tcPr>
            <w:tcW w:w="1685" w:type="dxa"/>
            <w:gridSpan w:val="2"/>
            <w:noWrap/>
            <w:vAlign w:val="bottom"/>
            <w:hideMark/>
          </w:tcPr>
          <w:p w14:paraId="19515AEF"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[-0.013, -0.001]</w:t>
            </w:r>
          </w:p>
        </w:tc>
        <w:tc>
          <w:tcPr>
            <w:tcW w:w="960" w:type="dxa"/>
            <w:gridSpan w:val="2"/>
            <w:noWrap/>
            <w:vAlign w:val="bottom"/>
            <w:hideMark/>
          </w:tcPr>
          <w:p w14:paraId="611A45BC" w14:textId="1BC5AAF1"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0.018</w:t>
            </w:r>
            <w:r w:rsidR="007B705B" w:rsidRPr="00B10849">
              <w:rPr>
                <w:rFonts w:ascii="Calibri" w:eastAsia="Times New Roman" w:hAnsi="Calibri" w:cs="Calibri"/>
                <w:kern w:val="0"/>
                <w:sz w:val="22"/>
                <w:szCs w:val="22"/>
                <w:lang w:eastAsia="en-GB"/>
                <w14:ligatures w14:val="none"/>
              </w:rPr>
              <w:t>*</w:t>
            </w:r>
          </w:p>
        </w:tc>
      </w:tr>
      <w:tr w:rsidR="00B10849" w:rsidRPr="00B10849" w14:paraId="49F58AE2" w14:textId="77777777" w:rsidTr="006A15C2">
        <w:trPr>
          <w:gridAfter w:val="1"/>
          <w:wAfter w:w="6" w:type="dxa"/>
          <w:trHeight w:val="300"/>
        </w:trPr>
        <w:tc>
          <w:tcPr>
            <w:tcW w:w="2268" w:type="dxa"/>
            <w:noWrap/>
            <w:vAlign w:val="bottom"/>
            <w:hideMark/>
          </w:tcPr>
          <w:p w14:paraId="2E9C3DCF" w14:textId="7A82CC29"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 severe TBI</w:t>
            </w:r>
          </w:p>
        </w:tc>
        <w:tc>
          <w:tcPr>
            <w:tcW w:w="960" w:type="dxa"/>
            <w:noWrap/>
            <w:vAlign w:val="bottom"/>
            <w:hideMark/>
          </w:tcPr>
          <w:p w14:paraId="3AFBFCE0"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8</w:t>
            </w:r>
          </w:p>
        </w:tc>
        <w:tc>
          <w:tcPr>
            <w:tcW w:w="1025" w:type="dxa"/>
            <w:gridSpan w:val="2"/>
            <w:noWrap/>
            <w:vAlign w:val="bottom"/>
            <w:hideMark/>
          </w:tcPr>
          <w:p w14:paraId="7020EC92"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0.002</w:t>
            </w:r>
          </w:p>
        </w:tc>
        <w:tc>
          <w:tcPr>
            <w:tcW w:w="1685" w:type="dxa"/>
            <w:gridSpan w:val="2"/>
            <w:noWrap/>
            <w:vAlign w:val="bottom"/>
            <w:hideMark/>
          </w:tcPr>
          <w:p w14:paraId="3A209D04"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 0.004]</w:t>
            </w:r>
          </w:p>
        </w:tc>
        <w:tc>
          <w:tcPr>
            <w:tcW w:w="960" w:type="dxa"/>
            <w:gridSpan w:val="2"/>
            <w:noWrap/>
            <w:vAlign w:val="bottom"/>
            <w:hideMark/>
          </w:tcPr>
          <w:p w14:paraId="10348596"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0.093</w:t>
            </w:r>
          </w:p>
        </w:tc>
      </w:tr>
      <w:tr w:rsidR="00B10849" w:rsidRPr="00B10849" w14:paraId="64B14706" w14:textId="77777777" w:rsidTr="006A15C2">
        <w:trPr>
          <w:gridAfter w:val="1"/>
          <w:wAfter w:w="6" w:type="dxa"/>
          <w:trHeight w:val="300"/>
        </w:trPr>
        <w:tc>
          <w:tcPr>
            <w:tcW w:w="2268" w:type="dxa"/>
            <w:noWrap/>
            <w:vAlign w:val="bottom"/>
            <w:hideMark/>
          </w:tcPr>
          <w:p w14:paraId="6BDDCD33" w14:textId="31D737F7"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Year</w:t>
            </w:r>
            <w:r w:rsidR="00DD4656" w:rsidRPr="00B10849">
              <w:rPr>
                <w:rFonts w:ascii="Calibri" w:eastAsia="Times New Roman" w:hAnsi="Calibri" w:cs="Calibri"/>
                <w:kern w:val="0"/>
                <w:sz w:val="22"/>
                <w:szCs w:val="22"/>
                <w:lang w:eastAsia="en-GB"/>
                <w14:ligatures w14:val="none"/>
              </w:rPr>
              <w:t xml:space="preserve"> of publication</w:t>
            </w:r>
          </w:p>
        </w:tc>
        <w:tc>
          <w:tcPr>
            <w:tcW w:w="960" w:type="dxa"/>
            <w:noWrap/>
            <w:vAlign w:val="bottom"/>
            <w:hideMark/>
          </w:tcPr>
          <w:p w14:paraId="37161A35"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8</w:t>
            </w:r>
          </w:p>
        </w:tc>
        <w:tc>
          <w:tcPr>
            <w:tcW w:w="1025" w:type="dxa"/>
            <w:gridSpan w:val="2"/>
            <w:noWrap/>
            <w:vAlign w:val="bottom"/>
            <w:hideMark/>
          </w:tcPr>
          <w:p w14:paraId="65F846AF"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0.007</w:t>
            </w:r>
          </w:p>
        </w:tc>
        <w:tc>
          <w:tcPr>
            <w:tcW w:w="1685" w:type="dxa"/>
            <w:gridSpan w:val="2"/>
            <w:noWrap/>
            <w:vAlign w:val="bottom"/>
            <w:hideMark/>
          </w:tcPr>
          <w:p w14:paraId="00BC82D7"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[0.004, 0.011]</w:t>
            </w:r>
          </w:p>
        </w:tc>
        <w:tc>
          <w:tcPr>
            <w:tcW w:w="960" w:type="dxa"/>
            <w:gridSpan w:val="2"/>
            <w:noWrap/>
            <w:vAlign w:val="bottom"/>
            <w:hideMark/>
          </w:tcPr>
          <w:p w14:paraId="5AF42EB9" w14:textId="093B9CD9" w:rsidR="005F189E" w:rsidRPr="00B10849" w:rsidRDefault="00F1222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&lt;</w:t>
            </w:r>
            <w:r w:rsidR="005F189E" w:rsidRPr="00B10849">
              <w:rPr>
                <w:rFonts w:ascii="Calibri" w:eastAsia="Times New Roman" w:hAnsi="Calibri" w:cs="Calibri"/>
                <w:kern w:val="0"/>
                <w:sz w:val="22"/>
                <w:szCs w:val="22"/>
                <w:lang w:eastAsia="en-GB"/>
                <w14:ligatures w14:val="none"/>
              </w:rPr>
              <w:t>0</w:t>
            </w:r>
            <w:r w:rsidRPr="00B10849">
              <w:rPr>
                <w:rFonts w:ascii="Calibri" w:eastAsia="Times New Roman" w:hAnsi="Calibri" w:cs="Calibri"/>
                <w:kern w:val="0"/>
                <w:sz w:val="22"/>
                <w:szCs w:val="22"/>
                <w:lang w:eastAsia="en-GB"/>
                <w14:ligatures w14:val="none"/>
              </w:rPr>
              <w:t>.0001</w:t>
            </w:r>
            <w:r w:rsidR="007B705B" w:rsidRPr="00B10849">
              <w:rPr>
                <w:rFonts w:ascii="Calibri" w:eastAsia="Times New Roman" w:hAnsi="Calibri" w:cs="Calibri"/>
                <w:kern w:val="0"/>
                <w:sz w:val="22"/>
                <w:szCs w:val="22"/>
                <w:lang w:eastAsia="en-GB"/>
                <w14:ligatures w14:val="none"/>
              </w:rPr>
              <w:t>*</w:t>
            </w:r>
          </w:p>
        </w:tc>
      </w:tr>
      <w:tr w:rsidR="00B10849" w:rsidRPr="00B10849" w14:paraId="5CF2F322" w14:textId="77777777" w:rsidTr="006A15C2">
        <w:trPr>
          <w:gridAfter w:val="1"/>
          <w:wAfter w:w="6" w:type="dxa"/>
          <w:trHeight w:val="300"/>
        </w:trPr>
        <w:tc>
          <w:tcPr>
            <w:tcW w:w="2268" w:type="dxa"/>
            <w:noWrap/>
            <w:vAlign w:val="bottom"/>
            <w:hideMark/>
          </w:tcPr>
          <w:p w14:paraId="7FFE91FC" w14:textId="5F5F3C17"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Risk of bias (%)</w:t>
            </w:r>
          </w:p>
        </w:tc>
        <w:tc>
          <w:tcPr>
            <w:tcW w:w="960" w:type="dxa"/>
            <w:noWrap/>
            <w:vAlign w:val="bottom"/>
            <w:hideMark/>
          </w:tcPr>
          <w:p w14:paraId="64336476"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8</w:t>
            </w:r>
          </w:p>
        </w:tc>
        <w:tc>
          <w:tcPr>
            <w:tcW w:w="1025" w:type="dxa"/>
            <w:gridSpan w:val="2"/>
            <w:noWrap/>
            <w:vAlign w:val="bottom"/>
            <w:hideMark/>
          </w:tcPr>
          <w:p w14:paraId="22A1DCB5"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w:t>
            </w:r>
          </w:p>
        </w:tc>
        <w:tc>
          <w:tcPr>
            <w:tcW w:w="1685" w:type="dxa"/>
            <w:gridSpan w:val="2"/>
            <w:noWrap/>
            <w:vAlign w:val="bottom"/>
            <w:hideMark/>
          </w:tcPr>
          <w:p w14:paraId="369CDD6D"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[-0.003, 0.003]</w:t>
            </w:r>
          </w:p>
        </w:tc>
        <w:tc>
          <w:tcPr>
            <w:tcW w:w="960" w:type="dxa"/>
            <w:gridSpan w:val="2"/>
            <w:noWrap/>
            <w:vAlign w:val="bottom"/>
            <w:hideMark/>
          </w:tcPr>
          <w:p w14:paraId="3AE777FD"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0.813</w:t>
            </w:r>
          </w:p>
        </w:tc>
      </w:tr>
      <w:tr w:rsidR="00B10849" w:rsidRPr="00B10849" w14:paraId="4A891E30" w14:textId="77777777" w:rsidTr="006A15C2">
        <w:trPr>
          <w:trHeight w:val="300"/>
        </w:trPr>
        <w:tc>
          <w:tcPr>
            <w:tcW w:w="3234" w:type="dxa"/>
            <w:gridSpan w:val="3"/>
            <w:noWrap/>
            <w:vAlign w:val="bottom"/>
            <w:hideMark/>
          </w:tcPr>
          <w:p w14:paraId="6F665177" w14:textId="6F15A373" w:rsidR="005F189E" w:rsidRPr="00B10849" w:rsidRDefault="005F189E" w:rsidP="005F189E">
            <w:pPr>
              <w:spacing w:before="40" w:after="0" w:line="240" w:lineRule="auto"/>
              <w:rPr>
                <w:rFonts w:ascii="Calibri" w:eastAsia="Times New Roman" w:hAnsi="Calibri" w:cs="Calibri"/>
                <w:i/>
                <w:iCs/>
                <w:kern w:val="0"/>
                <w:sz w:val="22"/>
                <w:szCs w:val="22"/>
                <w:lang w:eastAsia="en-GB"/>
                <w14:ligatures w14:val="none"/>
              </w:rPr>
            </w:pPr>
            <w:r w:rsidRPr="00B10849">
              <w:rPr>
                <w:rFonts w:ascii="Calibri" w:eastAsia="Times New Roman" w:hAnsi="Calibri" w:cs="Calibri"/>
                <w:i/>
                <w:iCs/>
                <w:kern w:val="0"/>
                <w:sz w:val="22"/>
                <w:szCs w:val="22"/>
                <w:lang w:eastAsia="en-GB"/>
                <w14:ligatures w14:val="none"/>
              </w:rPr>
              <w:t>Entire sample</w:t>
            </w:r>
          </w:p>
        </w:tc>
        <w:tc>
          <w:tcPr>
            <w:tcW w:w="1025" w:type="dxa"/>
            <w:gridSpan w:val="2"/>
            <w:noWrap/>
            <w:vAlign w:val="bottom"/>
            <w:hideMark/>
          </w:tcPr>
          <w:p w14:paraId="43503492" w14:textId="77777777" w:rsidR="005F189E" w:rsidRPr="00B10849" w:rsidRDefault="005F189E" w:rsidP="005F189E">
            <w:pPr>
              <w:spacing w:before="40" w:after="0" w:line="240" w:lineRule="auto"/>
              <w:jc w:val="center"/>
              <w:rPr>
                <w:rFonts w:ascii="Calibri" w:eastAsia="Times New Roman" w:hAnsi="Calibri" w:cs="Calibri"/>
                <w:kern w:val="0"/>
                <w:sz w:val="22"/>
                <w:szCs w:val="22"/>
                <w:lang w:eastAsia="en-GB"/>
                <w14:ligatures w14:val="none"/>
              </w:rPr>
            </w:pPr>
          </w:p>
        </w:tc>
        <w:tc>
          <w:tcPr>
            <w:tcW w:w="1685" w:type="dxa"/>
            <w:gridSpan w:val="2"/>
            <w:noWrap/>
            <w:vAlign w:val="bottom"/>
            <w:hideMark/>
          </w:tcPr>
          <w:p w14:paraId="76FDA611" w14:textId="77777777" w:rsidR="005F189E" w:rsidRPr="00B10849" w:rsidRDefault="005F189E" w:rsidP="005F189E">
            <w:pPr>
              <w:spacing w:before="40" w:after="0" w:line="240" w:lineRule="auto"/>
              <w:jc w:val="center"/>
              <w:rPr>
                <w:rFonts w:ascii="Calibri" w:eastAsia="Times New Roman" w:hAnsi="Calibri" w:cs="Calibri"/>
                <w:kern w:val="0"/>
                <w:sz w:val="22"/>
                <w:szCs w:val="22"/>
                <w:lang w:eastAsia="en-GB"/>
                <w14:ligatures w14:val="none"/>
              </w:rPr>
            </w:pPr>
          </w:p>
        </w:tc>
        <w:tc>
          <w:tcPr>
            <w:tcW w:w="960" w:type="dxa"/>
            <w:gridSpan w:val="2"/>
            <w:noWrap/>
            <w:vAlign w:val="bottom"/>
            <w:hideMark/>
          </w:tcPr>
          <w:p w14:paraId="7BD8E2FE" w14:textId="77777777" w:rsidR="005F189E" w:rsidRPr="00B10849" w:rsidRDefault="005F189E" w:rsidP="005F189E">
            <w:pPr>
              <w:spacing w:before="40" w:after="0" w:line="240" w:lineRule="auto"/>
              <w:jc w:val="center"/>
              <w:rPr>
                <w:rFonts w:ascii="Calibri" w:eastAsia="Times New Roman" w:hAnsi="Calibri" w:cs="Calibri"/>
                <w:kern w:val="0"/>
                <w:sz w:val="22"/>
                <w:szCs w:val="22"/>
                <w:lang w:eastAsia="en-GB"/>
                <w14:ligatures w14:val="none"/>
              </w:rPr>
            </w:pPr>
          </w:p>
        </w:tc>
      </w:tr>
      <w:tr w:rsidR="00B10849" w:rsidRPr="00B10849" w14:paraId="1E3877D0" w14:textId="77777777" w:rsidTr="006A15C2">
        <w:trPr>
          <w:gridAfter w:val="1"/>
          <w:wAfter w:w="6" w:type="dxa"/>
          <w:trHeight w:val="300"/>
        </w:trPr>
        <w:tc>
          <w:tcPr>
            <w:tcW w:w="2268" w:type="dxa"/>
            <w:noWrap/>
            <w:vAlign w:val="bottom"/>
            <w:hideMark/>
          </w:tcPr>
          <w:p w14:paraId="0957F148" w14:textId="3FD3BDE6"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Mean age</w:t>
            </w:r>
          </w:p>
        </w:tc>
        <w:tc>
          <w:tcPr>
            <w:tcW w:w="960" w:type="dxa"/>
            <w:noWrap/>
            <w:vAlign w:val="bottom"/>
            <w:hideMark/>
          </w:tcPr>
          <w:p w14:paraId="0DD00278"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16</w:t>
            </w:r>
          </w:p>
        </w:tc>
        <w:tc>
          <w:tcPr>
            <w:tcW w:w="1025" w:type="dxa"/>
            <w:gridSpan w:val="2"/>
            <w:noWrap/>
            <w:vAlign w:val="bottom"/>
            <w:hideMark/>
          </w:tcPr>
          <w:p w14:paraId="7FFB689E"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-0.008</w:t>
            </w:r>
          </w:p>
        </w:tc>
        <w:tc>
          <w:tcPr>
            <w:tcW w:w="1685" w:type="dxa"/>
            <w:gridSpan w:val="2"/>
            <w:noWrap/>
            <w:vAlign w:val="bottom"/>
            <w:hideMark/>
          </w:tcPr>
          <w:p w14:paraId="6AE969FC"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[-0.022, 0.005]</w:t>
            </w:r>
          </w:p>
        </w:tc>
        <w:tc>
          <w:tcPr>
            <w:tcW w:w="960" w:type="dxa"/>
            <w:gridSpan w:val="2"/>
            <w:noWrap/>
            <w:vAlign w:val="bottom"/>
            <w:hideMark/>
          </w:tcPr>
          <w:p w14:paraId="1793DAAA"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0.219</w:t>
            </w:r>
          </w:p>
        </w:tc>
      </w:tr>
      <w:tr w:rsidR="00B10849" w:rsidRPr="00B10849" w14:paraId="6CC397F8" w14:textId="77777777" w:rsidTr="006A15C2">
        <w:trPr>
          <w:gridAfter w:val="1"/>
          <w:wAfter w:w="6" w:type="dxa"/>
          <w:trHeight w:val="300"/>
        </w:trPr>
        <w:tc>
          <w:tcPr>
            <w:tcW w:w="2268" w:type="dxa"/>
            <w:noWrap/>
            <w:vAlign w:val="bottom"/>
            <w:hideMark/>
          </w:tcPr>
          <w:p w14:paraId="7759280C" w14:textId="75205A97"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 Female</w:t>
            </w:r>
          </w:p>
        </w:tc>
        <w:tc>
          <w:tcPr>
            <w:tcW w:w="960" w:type="dxa"/>
            <w:noWrap/>
            <w:vAlign w:val="bottom"/>
            <w:hideMark/>
          </w:tcPr>
          <w:p w14:paraId="32624B1F"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16</w:t>
            </w:r>
          </w:p>
        </w:tc>
        <w:tc>
          <w:tcPr>
            <w:tcW w:w="1025" w:type="dxa"/>
            <w:gridSpan w:val="2"/>
            <w:noWrap/>
            <w:vAlign w:val="bottom"/>
            <w:hideMark/>
          </w:tcPr>
          <w:p w14:paraId="7FE8BA5A"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w:t>
            </w:r>
          </w:p>
        </w:tc>
        <w:tc>
          <w:tcPr>
            <w:tcW w:w="1685" w:type="dxa"/>
            <w:gridSpan w:val="2"/>
            <w:noWrap/>
            <w:vAlign w:val="bottom"/>
            <w:hideMark/>
          </w:tcPr>
          <w:p w14:paraId="1E420396"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[-0.006, 0.006]</w:t>
            </w:r>
          </w:p>
        </w:tc>
        <w:tc>
          <w:tcPr>
            <w:tcW w:w="960" w:type="dxa"/>
            <w:gridSpan w:val="2"/>
            <w:noWrap/>
            <w:vAlign w:val="bottom"/>
            <w:hideMark/>
          </w:tcPr>
          <w:p w14:paraId="659052C1"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0.976</w:t>
            </w:r>
          </w:p>
        </w:tc>
      </w:tr>
      <w:tr w:rsidR="00B10849" w:rsidRPr="00B10849" w14:paraId="61F37EF8" w14:textId="77777777" w:rsidTr="006A15C2">
        <w:trPr>
          <w:gridAfter w:val="1"/>
          <w:wAfter w:w="6" w:type="dxa"/>
          <w:trHeight w:val="300"/>
        </w:trPr>
        <w:tc>
          <w:tcPr>
            <w:tcW w:w="2268" w:type="dxa"/>
            <w:noWrap/>
            <w:vAlign w:val="bottom"/>
            <w:hideMark/>
          </w:tcPr>
          <w:p w14:paraId="26A9E77A" w14:textId="40F88A06"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Follow-up (months)</w:t>
            </w:r>
          </w:p>
        </w:tc>
        <w:tc>
          <w:tcPr>
            <w:tcW w:w="960" w:type="dxa"/>
            <w:noWrap/>
            <w:vAlign w:val="bottom"/>
            <w:hideMark/>
          </w:tcPr>
          <w:p w14:paraId="5F21F9D4"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15</w:t>
            </w:r>
          </w:p>
        </w:tc>
        <w:tc>
          <w:tcPr>
            <w:tcW w:w="1025" w:type="dxa"/>
            <w:gridSpan w:val="2"/>
            <w:noWrap/>
            <w:vAlign w:val="bottom"/>
            <w:hideMark/>
          </w:tcPr>
          <w:p w14:paraId="357A10EF"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w:t>
            </w:r>
          </w:p>
        </w:tc>
        <w:tc>
          <w:tcPr>
            <w:tcW w:w="1685" w:type="dxa"/>
            <w:gridSpan w:val="2"/>
            <w:noWrap/>
            <w:vAlign w:val="bottom"/>
            <w:hideMark/>
          </w:tcPr>
          <w:p w14:paraId="26E86F47"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[-0.002, 0.001]</w:t>
            </w:r>
          </w:p>
        </w:tc>
        <w:tc>
          <w:tcPr>
            <w:tcW w:w="960" w:type="dxa"/>
            <w:gridSpan w:val="2"/>
            <w:noWrap/>
            <w:vAlign w:val="bottom"/>
            <w:hideMark/>
          </w:tcPr>
          <w:p w14:paraId="3E01B116"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0.79</w:t>
            </w:r>
          </w:p>
        </w:tc>
      </w:tr>
      <w:tr w:rsidR="00B10849" w:rsidRPr="00B10849" w14:paraId="51B0E811" w14:textId="77777777" w:rsidTr="006A15C2">
        <w:trPr>
          <w:gridAfter w:val="1"/>
          <w:wAfter w:w="6" w:type="dxa"/>
          <w:trHeight w:val="300"/>
        </w:trPr>
        <w:tc>
          <w:tcPr>
            <w:tcW w:w="2268" w:type="dxa"/>
            <w:noWrap/>
            <w:vAlign w:val="bottom"/>
            <w:hideMark/>
          </w:tcPr>
          <w:p w14:paraId="555AD219" w14:textId="723098DD"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 mild TBI</w:t>
            </w:r>
          </w:p>
        </w:tc>
        <w:tc>
          <w:tcPr>
            <w:tcW w:w="960" w:type="dxa"/>
            <w:noWrap/>
            <w:vAlign w:val="bottom"/>
            <w:hideMark/>
          </w:tcPr>
          <w:p w14:paraId="183AF967"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14</w:t>
            </w:r>
          </w:p>
        </w:tc>
        <w:tc>
          <w:tcPr>
            <w:tcW w:w="1025" w:type="dxa"/>
            <w:gridSpan w:val="2"/>
            <w:noWrap/>
            <w:vAlign w:val="bottom"/>
            <w:hideMark/>
          </w:tcPr>
          <w:p w14:paraId="297EA29C"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-0.007</w:t>
            </w:r>
          </w:p>
        </w:tc>
        <w:tc>
          <w:tcPr>
            <w:tcW w:w="1685" w:type="dxa"/>
            <w:gridSpan w:val="2"/>
            <w:noWrap/>
            <w:vAlign w:val="bottom"/>
            <w:hideMark/>
          </w:tcPr>
          <w:p w14:paraId="7A310B5E"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[-0.013, -0.001]</w:t>
            </w:r>
          </w:p>
        </w:tc>
        <w:tc>
          <w:tcPr>
            <w:tcW w:w="960" w:type="dxa"/>
            <w:gridSpan w:val="2"/>
            <w:noWrap/>
            <w:vAlign w:val="bottom"/>
            <w:hideMark/>
          </w:tcPr>
          <w:p w14:paraId="468E070A" w14:textId="4EFCD446"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0.023</w:t>
            </w:r>
            <w:r w:rsidR="007B705B" w:rsidRPr="00B10849">
              <w:rPr>
                <w:rFonts w:ascii="Calibri" w:eastAsia="Times New Roman" w:hAnsi="Calibri" w:cs="Calibri"/>
                <w:kern w:val="0"/>
                <w:sz w:val="22"/>
                <w:szCs w:val="22"/>
                <w:lang w:eastAsia="en-GB"/>
                <w14:ligatures w14:val="none"/>
              </w:rPr>
              <w:t>*</w:t>
            </w:r>
          </w:p>
        </w:tc>
      </w:tr>
      <w:tr w:rsidR="00B10849" w:rsidRPr="00B10849" w14:paraId="127CAF7B" w14:textId="77777777" w:rsidTr="006A15C2">
        <w:trPr>
          <w:gridAfter w:val="1"/>
          <w:wAfter w:w="6" w:type="dxa"/>
          <w:trHeight w:val="300"/>
        </w:trPr>
        <w:tc>
          <w:tcPr>
            <w:tcW w:w="2268" w:type="dxa"/>
            <w:noWrap/>
            <w:vAlign w:val="bottom"/>
            <w:hideMark/>
          </w:tcPr>
          <w:p w14:paraId="0AC3C16D" w14:textId="40F0AAF9"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 moderate TBI</w:t>
            </w:r>
          </w:p>
        </w:tc>
        <w:tc>
          <w:tcPr>
            <w:tcW w:w="960" w:type="dxa"/>
            <w:noWrap/>
            <w:vAlign w:val="bottom"/>
            <w:hideMark/>
          </w:tcPr>
          <w:p w14:paraId="12E01FA2"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14</w:t>
            </w:r>
          </w:p>
        </w:tc>
        <w:tc>
          <w:tcPr>
            <w:tcW w:w="1025" w:type="dxa"/>
            <w:gridSpan w:val="2"/>
            <w:noWrap/>
            <w:vAlign w:val="bottom"/>
            <w:hideMark/>
          </w:tcPr>
          <w:p w14:paraId="3B2A43B2"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0.003</w:t>
            </w:r>
          </w:p>
        </w:tc>
        <w:tc>
          <w:tcPr>
            <w:tcW w:w="1685" w:type="dxa"/>
            <w:gridSpan w:val="2"/>
            <w:noWrap/>
            <w:vAlign w:val="bottom"/>
            <w:hideMark/>
          </w:tcPr>
          <w:p w14:paraId="5F73E631"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[-0.005, 0.012]</w:t>
            </w:r>
          </w:p>
        </w:tc>
        <w:tc>
          <w:tcPr>
            <w:tcW w:w="960" w:type="dxa"/>
            <w:gridSpan w:val="2"/>
            <w:noWrap/>
            <w:vAlign w:val="bottom"/>
            <w:hideMark/>
          </w:tcPr>
          <w:p w14:paraId="7C52E088"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0.445</w:t>
            </w:r>
          </w:p>
        </w:tc>
      </w:tr>
      <w:tr w:rsidR="00B10849" w:rsidRPr="00B10849" w14:paraId="2C254E02" w14:textId="77777777" w:rsidTr="006A15C2">
        <w:trPr>
          <w:gridAfter w:val="1"/>
          <w:wAfter w:w="6" w:type="dxa"/>
          <w:trHeight w:val="300"/>
        </w:trPr>
        <w:tc>
          <w:tcPr>
            <w:tcW w:w="2268" w:type="dxa"/>
            <w:noWrap/>
            <w:vAlign w:val="bottom"/>
            <w:hideMark/>
          </w:tcPr>
          <w:p w14:paraId="5464AEB7" w14:textId="6CB1EC0D"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 severe TBI</w:t>
            </w:r>
          </w:p>
        </w:tc>
        <w:tc>
          <w:tcPr>
            <w:tcW w:w="960" w:type="dxa"/>
            <w:noWrap/>
            <w:vAlign w:val="bottom"/>
            <w:hideMark/>
          </w:tcPr>
          <w:p w14:paraId="358F82B0"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14</w:t>
            </w:r>
          </w:p>
        </w:tc>
        <w:tc>
          <w:tcPr>
            <w:tcW w:w="1025" w:type="dxa"/>
            <w:gridSpan w:val="2"/>
            <w:noWrap/>
            <w:vAlign w:val="bottom"/>
            <w:hideMark/>
          </w:tcPr>
          <w:p w14:paraId="5D957C77"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0.002</w:t>
            </w:r>
          </w:p>
        </w:tc>
        <w:tc>
          <w:tcPr>
            <w:tcW w:w="1685" w:type="dxa"/>
            <w:gridSpan w:val="2"/>
            <w:noWrap/>
            <w:vAlign w:val="bottom"/>
            <w:hideMark/>
          </w:tcPr>
          <w:p w14:paraId="4AD4DBF6"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[-0.003, 0.007]</w:t>
            </w:r>
          </w:p>
        </w:tc>
        <w:tc>
          <w:tcPr>
            <w:tcW w:w="960" w:type="dxa"/>
            <w:gridSpan w:val="2"/>
            <w:noWrap/>
            <w:vAlign w:val="bottom"/>
            <w:hideMark/>
          </w:tcPr>
          <w:p w14:paraId="63075A6F"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0.378</w:t>
            </w:r>
          </w:p>
        </w:tc>
      </w:tr>
      <w:tr w:rsidR="00B10849" w:rsidRPr="00B10849" w14:paraId="7A3BAC10" w14:textId="77777777" w:rsidTr="006A15C2">
        <w:trPr>
          <w:gridAfter w:val="1"/>
          <w:wAfter w:w="6" w:type="dxa"/>
          <w:trHeight w:val="300"/>
        </w:trPr>
        <w:tc>
          <w:tcPr>
            <w:tcW w:w="2268" w:type="dxa"/>
            <w:noWrap/>
            <w:vAlign w:val="bottom"/>
            <w:hideMark/>
          </w:tcPr>
          <w:p w14:paraId="2E2E7BF8" w14:textId="288ABDD2" w:rsidR="005F189E" w:rsidRPr="00B10849" w:rsidRDefault="005F189E" w:rsidP="005F189E">
            <w:pPr>
              <w:spacing w:after="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Year</w:t>
            </w:r>
            <w:r w:rsidR="00DD4656" w:rsidRPr="00B10849">
              <w:rPr>
                <w:rFonts w:ascii="Calibri" w:eastAsia="Times New Roman" w:hAnsi="Calibri" w:cs="Calibri"/>
                <w:kern w:val="0"/>
                <w:sz w:val="22"/>
                <w:szCs w:val="22"/>
                <w:lang w:eastAsia="en-GB"/>
                <w14:ligatures w14:val="none"/>
              </w:rPr>
              <w:t xml:space="preserve"> of publication</w:t>
            </w:r>
          </w:p>
        </w:tc>
        <w:tc>
          <w:tcPr>
            <w:tcW w:w="960" w:type="dxa"/>
            <w:noWrap/>
            <w:vAlign w:val="bottom"/>
            <w:hideMark/>
          </w:tcPr>
          <w:p w14:paraId="48569962"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17</w:t>
            </w:r>
          </w:p>
        </w:tc>
        <w:tc>
          <w:tcPr>
            <w:tcW w:w="1025" w:type="dxa"/>
            <w:gridSpan w:val="2"/>
            <w:noWrap/>
            <w:vAlign w:val="bottom"/>
            <w:hideMark/>
          </w:tcPr>
          <w:p w14:paraId="3D471899"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-0.008</w:t>
            </w:r>
          </w:p>
        </w:tc>
        <w:tc>
          <w:tcPr>
            <w:tcW w:w="1685" w:type="dxa"/>
            <w:gridSpan w:val="2"/>
            <w:noWrap/>
            <w:vAlign w:val="bottom"/>
            <w:hideMark/>
          </w:tcPr>
          <w:p w14:paraId="6B8770CF"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[-0.017, 0.001]</w:t>
            </w:r>
          </w:p>
        </w:tc>
        <w:tc>
          <w:tcPr>
            <w:tcW w:w="960" w:type="dxa"/>
            <w:gridSpan w:val="2"/>
            <w:noWrap/>
            <w:vAlign w:val="bottom"/>
            <w:hideMark/>
          </w:tcPr>
          <w:p w14:paraId="45FF9D20" w14:textId="77777777" w:rsidR="005F189E" w:rsidRPr="00B10849" w:rsidRDefault="005F189E" w:rsidP="005F189E">
            <w:pPr>
              <w:spacing w:after="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0.093</w:t>
            </w:r>
          </w:p>
        </w:tc>
      </w:tr>
      <w:tr w:rsidR="005F189E" w:rsidRPr="00B10849" w14:paraId="3BE46BAA" w14:textId="77777777" w:rsidTr="006A15C2">
        <w:trPr>
          <w:gridAfter w:val="1"/>
          <w:wAfter w:w="6" w:type="dxa"/>
          <w:trHeight w:val="300"/>
        </w:trPr>
        <w:tc>
          <w:tcPr>
            <w:tcW w:w="2268" w:type="dxa"/>
            <w:noWrap/>
            <w:vAlign w:val="bottom"/>
            <w:hideMark/>
          </w:tcPr>
          <w:p w14:paraId="5E44E10A" w14:textId="0808334B" w:rsidR="005F189E" w:rsidRPr="00B10849" w:rsidRDefault="005F189E" w:rsidP="005F189E">
            <w:pPr>
              <w:spacing w:after="40" w:line="240" w:lineRule="auto"/>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 xml:space="preserve">  Risk of bias (%)</w:t>
            </w:r>
          </w:p>
        </w:tc>
        <w:tc>
          <w:tcPr>
            <w:tcW w:w="960" w:type="dxa"/>
            <w:noWrap/>
            <w:vAlign w:val="bottom"/>
            <w:hideMark/>
          </w:tcPr>
          <w:p w14:paraId="137A26F6" w14:textId="77777777" w:rsidR="005F189E" w:rsidRPr="00B10849" w:rsidRDefault="005F189E" w:rsidP="005F189E">
            <w:pPr>
              <w:spacing w:after="4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17</w:t>
            </w:r>
          </w:p>
        </w:tc>
        <w:tc>
          <w:tcPr>
            <w:tcW w:w="1025" w:type="dxa"/>
            <w:gridSpan w:val="2"/>
            <w:noWrap/>
            <w:vAlign w:val="bottom"/>
            <w:hideMark/>
          </w:tcPr>
          <w:p w14:paraId="5035552D" w14:textId="77777777" w:rsidR="005F189E" w:rsidRPr="00B10849" w:rsidRDefault="005F189E" w:rsidP="005F189E">
            <w:pPr>
              <w:spacing w:after="4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-0.005</w:t>
            </w:r>
          </w:p>
        </w:tc>
        <w:tc>
          <w:tcPr>
            <w:tcW w:w="1685" w:type="dxa"/>
            <w:gridSpan w:val="2"/>
            <w:noWrap/>
            <w:vAlign w:val="bottom"/>
            <w:hideMark/>
          </w:tcPr>
          <w:p w14:paraId="291186D3" w14:textId="77777777" w:rsidR="005F189E" w:rsidRPr="00B10849" w:rsidRDefault="005F189E" w:rsidP="005F189E">
            <w:pPr>
              <w:spacing w:after="4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[-0.009, 0]</w:t>
            </w:r>
          </w:p>
        </w:tc>
        <w:tc>
          <w:tcPr>
            <w:tcW w:w="960" w:type="dxa"/>
            <w:gridSpan w:val="2"/>
            <w:noWrap/>
            <w:vAlign w:val="bottom"/>
            <w:hideMark/>
          </w:tcPr>
          <w:p w14:paraId="206E2093" w14:textId="5468580C" w:rsidR="005F189E" w:rsidRPr="00B10849" w:rsidRDefault="005F189E" w:rsidP="005F189E">
            <w:pPr>
              <w:spacing w:after="40" w:line="240" w:lineRule="auto"/>
              <w:jc w:val="center"/>
              <w:rPr>
                <w:rFonts w:ascii="Calibri" w:eastAsia="Times New Roman" w:hAnsi="Calibri" w:cs="Calibri"/>
                <w:kern w:val="0"/>
                <w:sz w:val="22"/>
                <w:szCs w:val="22"/>
                <w:lang w:eastAsia="en-GB"/>
                <w14:ligatures w14:val="none"/>
              </w:rPr>
            </w:pPr>
            <w:r w:rsidRPr="00B10849">
              <w:rPr>
                <w:rFonts w:ascii="Calibri" w:eastAsia="Times New Roman" w:hAnsi="Calibri" w:cs="Calibri"/>
                <w:kern w:val="0"/>
                <w:sz w:val="22"/>
                <w:szCs w:val="22"/>
                <w:lang w:eastAsia="en-GB"/>
                <w14:ligatures w14:val="none"/>
              </w:rPr>
              <w:t>0.037</w:t>
            </w:r>
            <w:r w:rsidR="007B705B" w:rsidRPr="00B10849">
              <w:rPr>
                <w:rFonts w:ascii="Calibri" w:eastAsia="Times New Roman" w:hAnsi="Calibri" w:cs="Calibri"/>
                <w:kern w:val="0"/>
                <w:sz w:val="22"/>
                <w:szCs w:val="22"/>
                <w:lang w:eastAsia="en-GB"/>
                <w14:ligatures w14:val="none"/>
              </w:rPr>
              <w:t>*</w:t>
            </w:r>
          </w:p>
        </w:tc>
      </w:tr>
    </w:tbl>
    <w:p w14:paraId="4B328C28" w14:textId="77777777" w:rsidR="005F189E" w:rsidRPr="00B10849" w:rsidRDefault="005F189E" w:rsidP="007A1CBC">
      <w:pPr>
        <w:rPr>
          <w:rFonts w:ascii="Arial" w:hAnsi="Arial" w:cs="Arial"/>
          <w:b/>
          <w:bCs/>
        </w:rPr>
      </w:pPr>
    </w:p>
    <w:p w14:paraId="3CEC4DA2" w14:textId="506B0981" w:rsidR="005F189E" w:rsidRPr="00B10849" w:rsidRDefault="005F189E">
      <w:pPr>
        <w:rPr>
          <w:rFonts w:ascii="Arial" w:hAnsi="Arial" w:cs="Arial"/>
          <w:b/>
          <w:bCs/>
        </w:rPr>
      </w:pPr>
      <w:r w:rsidRPr="00B10849">
        <w:rPr>
          <w:rFonts w:ascii="Arial" w:hAnsi="Arial" w:cs="Arial"/>
          <w:b/>
          <w:bCs/>
        </w:rPr>
        <w:br w:type="page"/>
      </w:r>
    </w:p>
    <w:p w14:paraId="355888E8" w14:textId="77777777" w:rsidR="005F189E" w:rsidRPr="00B10849" w:rsidRDefault="005F189E" w:rsidP="007A1CBC">
      <w:pPr>
        <w:rPr>
          <w:rFonts w:ascii="Arial" w:hAnsi="Arial" w:cs="Arial"/>
          <w:b/>
          <w:bCs/>
        </w:rPr>
      </w:pPr>
    </w:p>
    <w:p w14:paraId="5F5209F3" w14:textId="3ECBF7A5" w:rsidR="007A1CBC" w:rsidRPr="00B10849" w:rsidRDefault="00EF3FE4" w:rsidP="007A1CBC">
      <w:pPr>
        <w:rPr>
          <w:rFonts w:ascii="Arial" w:hAnsi="Arial" w:cs="Arial"/>
          <w:b/>
          <w:bCs/>
        </w:rPr>
      </w:pPr>
      <w:r w:rsidRPr="00B10849">
        <w:rPr>
          <w:rFonts w:ascii="Arial" w:hAnsi="Arial" w:cs="Arial"/>
          <w:b/>
          <w:bCs/>
        </w:rPr>
        <w:t>References</w:t>
      </w:r>
    </w:p>
    <w:p w14:paraId="4AFE45B0" w14:textId="77777777" w:rsidR="00BE34D6" w:rsidRPr="00B10849" w:rsidRDefault="00531359" w:rsidP="00546F88">
      <w:pPr>
        <w:pStyle w:val="Bibliography"/>
        <w:spacing w:line="276" w:lineRule="auto"/>
        <w:rPr>
          <w:rFonts w:ascii="Times New Roman" w:hAnsi="Times New Roman" w:cs="Times New Roman"/>
        </w:rPr>
      </w:pPr>
      <w:r w:rsidRPr="00B10849">
        <w:rPr>
          <w:rFonts w:ascii="Times New Roman" w:hAnsi="Times New Roman" w:cs="Times New Roman"/>
        </w:rPr>
        <w:fldChar w:fldCharType="begin"/>
      </w:r>
      <w:r w:rsidR="00BE34D6" w:rsidRPr="00B10849">
        <w:rPr>
          <w:rFonts w:ascii="Times New Roman" w:hAnsi="Times New Roman" w:cs="Times New Roman"/>
        </w:rPr>
        <w:instrText xml:space="preserve"> ADDIN ZOTERO_BIBL {"uncited":[],"omitted":[],"custom":[]} CSL_BIBLIOGRAPHY </w:instrText>
      </w:r>
      <w:r w:rsidRPr="00B10849">
        <w:rPr>
          <w:rFonts w:ascii="Times New Roman" w:hAnsi="Times New Roman" w:cs="Times New Roman"/>
        </w:rPr>
        <w:fldChar w:fldCharType="separate"/>
      </w:r>
      <w:r w:rsidR="00BE34D6" w:rsidRPr="00B10849">
        <w:rPr>
          <w:rFonts w:ascii="Times New Roman" w:hAnsi="Times New Roman" w:cs="Times New Roman"/>
        </w:rPr>
        <w:t xml:space="preserve">Achinivu, K. (2017). Case Vignette. Brain Injury Can Make One Better! In </w:t>
      </w:r>
      <w:r w:rsidR="00BE34D6" w:rsidRPr="00B10849">
        <w:rPr>
          <w:rFonts w:ascii="Times New Roman" w:hAnsi="Times New Roman" w:cs="Times New Roman"/>
          <w:i/>
          <w:iCs/>
        </w:rPr>
        <w:t>Neuropsychiatry Case Studies</w:t>
      </w:r>
      <w:r w:rsidR="00BE34D6" w:rsidRPr="00B10849">
        <w:rPr>
          <w:rFonts w:ascii="Times New Roman" w:hAnsi="Times New Roman" w:cs="Times New Roman"/>
        </w:rPr>
        <w:t xml:space="preserve"> (pp. 207–210). Springer.</w:t>
      </w:r>
    </w:p>
    <w:p w14:paraId="17C44CCD"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Aldossary, N. M., Kotb, M. A., &amp; Kamal, A. M. (2019). Predictive value of early MRI findings on neurocognitive and psychiatric outcomes in patients with severe traumatic brain injury. </w:t>
      </w:r>
      <w:r w:rsidRPr="00B10849">
        <w:rPr>
          <w:rFonts w:ascii="Times New Roman" w:hAnsi="Times New Roman" w:cs="Times New Roman"/>
          <w:i/>
          <w:iCs/>
        </w:rPr>
        <w:t>Journal of Affective Disorders</w:t>
      </w:r>
      <w:r w:rsidRPr="00B10849">
        <w:rPr>
          <w:rFonts w:ascii="Times New Roman" w:hAnsi="Times New Roman" w:cs="Times New Roman"/>
        </w:rPr>
        <w:t xml:space="preserve">, </w:t>
      </w:r>
      <w:r w:rsidRPr="00B10849">
        <w:rPr>
          <w:rFonts w:ascii="Times New Roman" w:hAnsi="Times New Roman" w:cs="Times New Roman"/>
          <w:i/>
          <w:iCs/>
        </w:rPr>
        <w:t>243</w:t>
      </w:r>
      <w:r w:rsidRPr="00B10849">
        <w:rPr>
          <w:rFonts w:ascii="Times New Roman" w:hAnsi="Times New Roman" w:cs="Times New Roman"/>
        </w:rPr>
        <w:t>, 1–7. https://doi.org/10.1016/j.jad.2018.09.001</w:t>
      </w:r>
    </w:p>
    <w:p w14:paraId="60C32279"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Balan, A. B., Walz, R., Diaz, A. P., &amp; Schwarzbold, M. L. (2021). Return to work after severe traumatic brain injury: Further investigation of the role of personality changes. </w:t>
      </w:r>
      <w:r w:rsidRPr="00B10849">
        <w:rPr>
          <w:rFonts w:ascii="Times New Roman" w:hAnsi="Times New Roman" w:cs="Times New Roman"/>
          <w:i/>
          <w:iCs/>
        </w:rPr>
        <w:t>Brazilian Journal of Psychiatry</w:t>
      </w:r>
      <w:r w:rsidRPr="00B10849">
        <w:rPr>
          <w:rFonts w:ascii="Times New Roman" w:hAnsi="Times New Roman" w:cs="Times New Roman"/>
        </w:rPr>
        <w:t xml:space="preserve">, </w:t>
      </w:r>
      <w:r w:rsidRPr="00B10849">
        <w:rPr>
          <w:rFonts w:ascii="Times New Roman" w:hAnsi="Times New Roman" w:cs="Times New Roman"/>
          <w:i/>
          <w:iCs/>
        </w:rPr>
        <w:t>43</w:t>
      </w:r>
      <w:r w:rsidRPr="00B10849">
        <w:rPr>
          <w:rFonts w:ascii="Times New Roman" w:hAnsi="Times New Roman" w:cs="Times New Roman"/>
        </w:rPr>
        <w:t>(3), 340–342. https://doi.org/10.1590/1516-4446-2020-1660</w:t>
      </w:r>
    </w:p>
    <w:p w14:paraId="390E592B"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Banerjee, M., Hegde, S., Thippeswamy, H., Kulkarni, G. B., &amp; Rao, N. (2021). In search of the “self”: Holistic rehabilitation in restoring cognition and recovering the “self” following traumatic brain injury: A case report. </w:t>
      </w:r>
      <w:r w:rsidRPr="00B10849">
        <w:rPr>
          <w:rFonts w:ascii="Times New Roman" w:hAnsi="Times New Roman" w:cs="Times New Roman"/>
          <w:i/>
          <w:iCs/>
        </w:rPr>
        <w:t>NeuroRehabilitation</w:t>
      </w:r>
      <w:r w:rsidRPr="00B10849">
        <w:rPr>
          <w:rFonts w:ascii="Times New Roman" w:hAnsi="Times New Roman" w:cs="Times New Roman"/>
        </w:rPr>
        <w:t xml:space="preserve">, </w:t>
      </w:r>
      <w:r w:rsidRPr="00B10849">
        <w:rPr>
          <w:rFonts w:ascii="Times New Roman" w:hAnsi="Times New Roman" w:cs="Times New Roman"/>
          <w:i/>
          <w:iCs/>
        </w:rPr>
        <w:t>48</w:t>
      </w:r>
      <w:r w:rsidRPr="00B10849">
        <w:rPr>
          <w:rFonts w:ascii="Times New Roman" w:hAnsi="Times New Roman" w:cs="Times New Roman"/>
        </w:rPr>
        <w:t>(2), 231–242. https://doi.org/10.3233/NRE-208017</w:t>
      </w:r>
    </w:p>
    <w:p w14:paraId="767F9EF5"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Belfry, K. D., Ham, E., Kolla, N. J., &amp; Hilton, N. Z. (2023). Adverse Childhood Experiences and Offending as a Function of Acquired Brain Injury Among Men in a High Secure Forensic Psychiatric Hospital. </w:t>
      </w:r>
      <w:r w:rsidRPr="00B10849">
        <w:rPr>
          <w:rFonts w:ascii="Times New Roman" w:hAnsi="Times New Roman" w:cs="Times New Roman"/>
          <w:i/>
          <w:iCs/>
        </w:rPr>
        <w:t>Canadian Journal of Psychiatry</w:t>
      </w:r>
      <w:r w:rsidRPr="00B10849">
        <w:rPr>
          <w:rFonts w:ascii="Times New Roman" w:hAnsi="Times New Roman" w:cs="Times New Roman"/>
        </w:rPr>
        <w:t xml:space="preserve">, </w:t>
      </w:r>
      <w:r w:rsidRPr="00B10849">
        <w:rPr>
          <w:rFonts w:ascii="Times New Roman" w:hAnsi="Times New Roman" w:cs="Times New Roman"/>
          <w:i/>
          <w:iCs/>
        </w:rPr>
        <w:t>68</w:t>
      </w:r>
      <w:r w:rsidRPr="00B10849">
        <w:rPr>
          <w:rFonts w:ascii="Times New Roman" w:hAnsi="Times New Roman" w:cs="Times New Roman"/>
        </w:rPr>
        <w:t>(6), 453–460. https://doi.org/10.1177/07067437221144629</w:t>
      </w:r>
    </w:p>
    <w:p w14:paraId="19022321"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Bodley-Scott, S. E. M., &amp; Riley, G. A. (2015). How Partners Experience Personality Change after Traumatic Brain Injury-Its Impact on Their Emotions and their Relationship. </w:t>
      </w:r>
      <w:r w:rsidRPr="00B10849">
        <w:rPr>
          <w:rFonts w:ascii="Times New Roman" w:hAnsi="Times New Roman" w:cs="Times New Roman"/>
          <w:i/>
          <w:iCs/>
        </w:rPr>
        <w:t>Brain Impairment</w:t>
      </w:r>
      <w:r w:rsidRPr="00B10849">
        <w:rPr>
          <w:rFonts w:ascii="Times New Roman" w:hAnsi="Times New Roman" w:cs="Times New Roman"/>
        </w:rPr>
        <w:t xml:space="preserve">, </w:t>
      </w:r>
      <w:r w:rsidRPr="00B10849">
        <w:rPr>
          <w:rFonts w:ascii="Times New Roman" w:hAnsi="Times New Roman" w:cs="Times New Roman"/>
          <w:i/>
          <w:iCs/>
        </w:rPr>
        <w:t>16</w:t>
      </w:r>
      <w:r w:rsidRPr="00B10849">
        <w:rPr>
          <w:rFonts w:ascii="Times New Roman" w:hAnsi="Times New Roman" w:cs="Times New Roman"/>
        </w:rPr>
        <w:t>(3), 205–220. https://doi.org/10.1017/BrImp.2015.22</w:t>
      </w:r>
    </w:p>
    <w:p w14:paraId="020A61DD"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Brett, B. L., Nelson, L. D., &amp; Meier, T. B. (2022). The Association Between Concussion History and Increased Symptom Severity Reporting Is Independent of Common Medical Comorbidities, Personality Factors, and Sleep Quality in Collegiate Athletes. </w:t>
      </w:r>
      <w:r w:rsidRPr="00B10849">
        <w:rPr>
          <w:rFonts w:ascii="Times New Roman" w:hAnsi="Times New Roman" w:cs="Times New Roman"/>
          <w:i/>
          <w:iCs/>
        </w:rPr>
        <w:t>Journal of Head Trauma Rehabilitation</w:t>
      </w:r>
      <w:r w:rsidRPr="00B10849">
        <w:rPr>
          <w:rFonts w:ascii="Times New Roman" w:hAnsi="Times New Roman" w:cs="Times New Roman"/>
        </w:rPr>
        <w:t xml:space="preserve">, </w:t>
      </w:r>
      <w:r w:rsidRPr="00B10849">
        <w:rPr>
          <w:rFonts w:ascii="Times New Roman" w:hAnsi="Times New Roman" w:cs="Times New Roman"/>
          <w:i/>
          <w:iCs/>
        </w:rPr>
        <w:t>37</w:t>
      </w:r>
      <w:r w:rsidRPr="00B10849">
        <w:rPr>
          <w:rFonts w:ascii="Times New Roman" w:hAnsi="Times New Roman" w:cs="Times New Roman"/>
        </w:rPr>
        <w:t>(4), 258–267. https://doi.org/10.1097/HTR.0000000000000724</w:t>
      </w:r>
    </w:p>
    <w:p w14:paraId="63590997"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Brooks, N., Campsie, L., Symington, C., Beattie, A., &amp; McKinlay, W. (1986). The five year outcome of severe blunt head injury: A relative’s view. </w:t>
      </w:r>
      <w:r w:rsidRPr="00B10849">
        <w:rPr>
          <w:rFonts w:ascii="Times New Roman" w:hAnsi="Times New Roman" w:cs="Times New Roman"/>
          <w:i/>
          <w:iCs/>
        </w:rPr>
        <w:t>Journal of Neurology, Neurosurgery &amp; Psychiatry</w:t>
      </w:r>
      <w:r w:rsidRPr="00B10849">
        <w:rPr>
          <w:rFonts w:ascii="Times New Roman" w:hAnsi="Times New Roman" w:cs="Times New Roman"/>
        </w:rPr>
        <w:t xml:space="preserve">, </w:t>
      </w:r>
      <w:r w:rsidRPr="00B10849">
        <w:rPr>
          <w:rFonts w:ascii="Times New Roman" w:hAnsi="Times New Roman" w:cs="Times New Roman"/>
          <w:i/>
          <w:iCs/>
        </w:rPr>
        <w:t>49</w:t>
      </w:r>
      <w:r w:rsidRPr="00B10849">
        <w:rPr>
          <w:rFonts w:ascii="Times New Roman" w:hAnsi="Times New Roman" w:cs="Times New Roman"/>
        </w:rPr>
        <w:t>(7), 764–770.</w:t>
      </w:r>
    </w:p>
    <w:p w14:paraId="69D1C96F"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Brooks, N., &amp; McKinlay, W. (1983). Personality and behavioural change after severe blunt head injury—A relative’s view. </w:t>
      </w:r>
      <w:r w:rsidRPr="00B10849">
        <w:rPr>
          <w:rFonts w:ascii="Times New Roman" w:hAnsi="Times New Roman" w:cs="Times New Roman"/>
          <w:i/>
          <w:iCs/>
        </w:rPr>
        <w:t>Journal of Neurology, Neurosurgery &amp; Psychiatry</w:t>
      </w:r>
      <w:r w:rsidRPr="00B10849">
        <w:rPr>
          <w:rFonts w:ascii="Times New Roman" w:hAnsi="Times New Roman" w:cs="Times New Roman"/>
        </w:rPr>
        <w:t xml:space="preserve">, </w:t>
      </w:r>
      <w:r w:rsidRPr="00B10849">
        <w:rPr>
          <w:rFonts w:ascii="Times New Roman" w:hAnsi="Times New Roman" w:cs="Times New Roman"/>
          <w:i/>
          <w:iCs/>
        </w:rPr>
        <w:t>46</w:t>
      </w:r>
      <w:r w:rsidRPr="00B10849">
        <w:rPr>
          <w:rFonts w:ascii="Times New Roman" w:hAnsi="Times New Roman" w:cs="Times New Roman"/>
        </w:rPr>
        <w:t>(4), 336–344. https://doi.org/10.1136/jnnp.46.4.336</w:t>
      </w:r>
    </w:p>
    <w:p w14:paraId="3029A787"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Burns, S., Kappenberg, R., McKenna, A., &amp; Wood, C. (1994). Brain injury: Personality, psychopathology and neuropsychology.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8</w:t>
      </w:r>
      <w:r w:rsidRPr="00B10849">
        <w:rPr>
          <w:rFonts w:ascii="Times New Roman" w:hAnsi="Times New Roman" w:cs="Times New Roman"/>
        </w:rPr>
        <w:t>(5), 413–427.</w:t>
      </w:r>
    </w:p>
    <w:p w14:paraId="490CB7B7"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Cantagallo, A., Grassi, L., &amp; Della Sala, S. (1999). Dissociative disorder after traumatic brain injury.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13</w:t>
      </w:r>
      <w:r w:rsidRPr="00B10849">
        <w:rPr>
          <w:rFonts w:ascii="Times New Roman" w:hAnsi="Times New Roman" w:cs="Times New Roman"/>
        </w:rPr>
        <w:t>(4), 219–228.</w:t>
      </w:r>
    </w:p>
    <w:p w14:paraId="07F0C0E0"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Chang, Y. C., Tsai, J. C., &amp; Tseng, F. Y. (2006). Neuropsychiatric disturbances and hypopituitarism after traumatic brain injury in an elderly man. </w:t>
      </w:r>
      <w:r w:rsidRPr="00B10849">
        <w:rPr>
          <w:rFonts w:ascii="Times New Roman" w:hAnsi="Times New Roman" w:cs="Times New Roman"/>
          <w:i/>
          <w:iCs/>
        </w:rPr>
        <w:t>Journal of the Formosan Medical Association</w:t>
      </w:r>
      <w:r w:rsidRPr="00B10849">
        <w:rPr>
          <w:rFonts w:ascii="Times New Roman" w:hAnsi="Times New Roman" w:cs="Times New Roman"/>
        </w:rPr>
        <w:t xml:space="preserve">, </w:t>
      </w:r>
      <w:r w:rsidRPr="00B10849">
        <w:rPr>
          <w:rFonts w:ascii="Times New Roman" w:hAnsi="Times New Roman" w:cs="Times New Roman"/>
          <w:i/>
          <w:iCs/>
        </w:rPr>
        <w:t>105</w:t>
      </w:r>
      <w:r w:rsidRPr="00B10849">
        <w:rPr>
          <w:rFonts w:ascii="Times New Roman" w:hAnsi="Times New Roman" w:cs="Times New Roman"/>
        </w:rPr>
        <w:t>(2), 172–176. https://doi.org/10.1016/S0929-6646(09)60341-7</w:t>
      </w:r>
    </w:p>
    <w:p w14:paraId="3A23F93D"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Colantonio, A., &amp; Comper, P. (2012). Post-injury symptoms after work related traumatic brain injury in Canadian population. </w:t>
      </w:r>
      <w:r w:rsidRPr="00B10849">
        <w:rPr>
          <w:rFonts w:ascii="Times New Roman" w:hAnsi="Times New Roman" w:cs="Times New Roman"/>
          <w:i/>
          <w:iCs/>
        </w:rPr>
        <w:t>Work</w:t>
      </w:r>
      <w:r w:rsidRPr="00B10849">
        <w:rPr>
          <w:rFonts w:ascii="Times New Roman" w:hAnsi="Times New Roman" w:cs="Times New Roman"/>
        </w:rPr>
        <w:t xml:space="preserve">, </w:t>
      </w:r>
      <w:r w:rsidRPr="00B10849">
        <w:rPr>
          <w:rFonts w:ascii="Times New Roman" w:hAnsi="Times New Roman" w:cs="Times New Roman"/>
          <w:i/>
          <w:iCs/>
        </w:rPr>
        <w:t>43</w:t>
      </w:r>
      <w:r w:rsidRPr="00B10849">
        <w:rPr>
          <w:rFonts w:ascii="Times New Roman" w:hAnsi="Times New Roman" w:cs="Times New Roman"/>
        </w:rPr>
        <w:t>(2), 195–201. https://doi.org/10.3233/wor-2012-1377</w:t>
      </w:r>
    </w:p>
    <w:p w14:paraId="111D64EA"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Corrigan, J. D., &amp; and Deutschle Jr, J. J. (2008). The presence and impact of traumatic brain injury among clients in treatment for co-occurring mental illness and substance abuse.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22</w:t>
      </w:r>
      <w:r w:rsidRPr="00B10849">
        <w:rPr>
          <w:rFonts w:ascii="Times New Roman" w:hAnsi="Times New Roman" w:cs="Times New Roman"/>
        </w:rPr>
        <w:t>(3), 223–231. https://doi.org/10.1080/02699050801938967</w:t>
      </w:r>
    </w:p>
    <w:p w14:paraId="2FB530FD"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Damasio, H., Grabowski, T., Frank, R., Galaburda, A. M., &amp; Damasio, A. R. (1994). The return of Phineas Gage: Clues about the brain from the skull of a famous patient. </w:t>
      </w:r>
      <w:r w:rsidRPr="00B10849">
        <w:rPr>
          <w:rFonts w:ascii="Times New Roman" w:hAnsi="Times New Roman" w:cs="Times New Roman"/>
          <w:i/>
          <w:iCs/>
        </w:rPr>
        <w:t>Science</w:t>
      </w:r>
      <w:r w:rsidRPr="00B10849">
        <w:rPr>
          <w:rFonts w:ascii="Times New Roman" w:hAnsi="Times New Roman" w:cs="Times New Roman"/>
        </w:rPr>
        <w:t xml:space="preserve">, </w:t>
      </w:r>
      <w:r w:rsidRPr="00B10849">
        <w:rPr>
          <w:rFonts w:ascii="Times New Roman" w:hAnsi="Times New Roman" w:cs="Times New Roman"/>
          <w:i/>
          <w:iCs/>
        </w:rPr>
        <w:t>264</w:t>
      </w:r>
      <w:r w:rsidRPr="00B10849">
        <w:rPr>
          <w:rFonts w:ascii="Times New Roman" w:hAnsi="Times New Roman" w:cs="Times New Roman"/>
        </w:rPr>
        <w:t>(5162), 1102–1105.</w:t>
      </w:r>
    </w:p>
    <w:p w14:paraId="5525146E"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Dasarathy, S., Huntley, J. D., &amp; Howard, R. J. (2009). A rare subtype of delusional misidentification: Reduplicative paramnesia of the self-A case report. </w:t>
      </w:r>
      <w:r w:rsidRPr="00B10849">
        <w:rPr>
          <w:rFonts w:ascii="Times New Roman" w:hAnsi="Times New Roman" w:cs="Times New Roman"/>
          <w:i/>
          <w:iCs/>
        </w:rPr>
        <w:t>International Journal of Geriatric Psychiatry</w:t>
      </w:r>
      <w:r w:rsidRPr="00B10849">
        <w:rPr>
          <w:rFonts w:ascii="Times New Roman" w:hAnsi="Times New Roman" w:cs="Times New Roman"/>
        </w:rPr>
        <w:t xml:space="preserve">, </w:t>
      </w:r>
      <w:r w:rsidRPr="00B10849">
        <w:rPr>
          <w:rFonts w:ascii="Times New Roman" w:hAnsi="Times New Roman" w:cs="Times New Roman"/>
          <w:i/>
          <w:iCs/>
        </w:rPr>
        <w:t>24</w:t>
      </w:r>
      <w:r w:rsidRPr="00B10849">
        <w:rPr>
          <w:rFonts w:ascii="Times New Roman" w:hAnsi="Times New Roman" w:cs="Times New Roman"/>
        </w:rPr>
        <w:t>(12), 1479–1480.</w:t>
      </w:r>
    </w:p>
    <w:p w14:paraId="0A8D947C"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Demakis, G. J., Hammond, F., Knotts, A., Cooper, D. B., Clement, P., Kennedy, J., &amp; Sawyer, T. (2007). The Personality Assessment Inventory in individuals with Traumatic Brain Injury. </w:t>
      </w:r>
      <w:r w:rsidRPr="00B10849">
        <w:rPr>
          <w:rFonts w:ascii="Times New Roman" w:hAnsi="Times New Roman" w:cs="Times New Roman"/>
          <w:i/>
          <w:iCs/>
        </w:rPr>
        <w:t>Archives of Clinical Neuropsychology</w:t>
      </w:r>
      <w:r w:rsidRPr="00B10849">
        <w:rPr>
          <w:rFonts w:ascii="Times New Roman" w:hAnsi="Times New Roman" w:cs="Times New Roman"/>
        </w:rPr>
        <w:t xml:space="preserve">, </w:t>
      </w:r>
      <w:r w:rsidRPr="00B10849">
        <w:rPr>
          <w:rFonts w:ascii="Times New Roman" w:hAnsi="Times New Roman" w:cs="Times New Roman"/>
          <w:i/>
          <w:iCs/>
        </w:rPr>
        <w:t>22</w:t>
      </w:r>
      <w:r w:rsidRPr="00B10849">
        <w:rPr>
          <w:rFonts w:ascii="Times New Roman" w:hAnsi="Times New Roman" w:cs="Times New Roman"/>
        </w:rPr>
        <w:t>(1), 123–130. https://doi.org/10.1016/j.acn.2006.09.004</w:t>
      </w:r>
    </w:p>
    <w:p w14:paraId="74860853"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Diaz, A. P., Schwarzbold, M. L., Guarnieri, R., Oliveira Thais, M. E. R., Hohl, A., Nunes, J. C., &amp; Walz, R. (2014). Posttraumatic Amnesia and Personality Changes after Severe Traumatic Brain Injury: Preliminary Findings. </w:t>
      </w:r>
      <w:r w:rsidRPr="00B10849">
        <w:rPr>
          <w:rFonts w:ascii="Times New Roman" w:hAnsi="Times New Roman" w:cs="Times New Roman"/>
          <w:i/>
          <w:iCs/>
        </w:rPr>
        <w:t>CNS Neuroscience and Therapeutics</w:t>
      </w:r>
      <w:r w:rsidRPr="00B10849">
        <w:rPr>
          <w:rFonts w:ascii="Times New Roman" w:hAnsi="Times New Roman" w:cs="Times New Roman"/>
        </w:rPr>
        <w:t xml:space="preserve">, </w:t>
      </w:r>
      <w:r w:rsidRPr="00B10849">
        <w:rPr>
          <w:rFonts w:ascii="Times New Roman" w:hAnsi="Times New Roman" w:cs="Times New Roman"/>
          <w:i/>
          <w:iCs/>
        </w:rPr>
        <w:t>20</w:t>
      </w:r>
      <w:r w:rsidRPr="00B10849">
        <w:rPr>
          <w:rFonts w:ascii="Times New Roman" w:hAnsi="Times New Roman" w:cs="Times New Roman"/>
        </w:rPr>
        <w:t>(5), 479–482. https://doi.org/10.1111/cns.12256</w:t>
      </w:r>
    </w:p>
    <w:p w14:paraId="54FA4998" w14:textId="77777777" w:rsidR="00BE34D6" w:rsidRPr="00B10849" w:rsidRDefault="00BE34D6" w:rsidP="00546F88">
      <w:pPr>
        <w:pStyle w:val="Bibliography"/>
        <w:spacing w:line="276" w:lineRule="auto"/>
        <w:rPr>
          <w:rFonts w:ascii="Times New Roman" w:hAnsi="Times New Roman" w:cs="Times New Roman"/>
          <w:lang w:val="es-CO"/>
        </w:rPr>
      </w:pPr>
      <w:r w:rsidRPr="00B10849">
        <w:rPr>
          <w:rFonts w:ascii="Times New Roman" w:hAnsi="Times New Roman" w:cs="Times New Roman"/>
        </w:rPr>
        <w:t xml:space="preserve">Diaz, A. P., Schwarzbold, M. L., Thais, M. E., Cavallazzi, G. G., Schmoeller, R., Nunes, J. C., &amp; Walz, R. (2014). Personality changes and return to work after severe traumatic brain injury: A prospective study. </w:t>
      </w:r>
      <w:r w:rsidRPr="00B10849">
        <w:rPr>
          <w:rFonts w:ascii="Times New Roman" w:hAnsi="Times New Roman" w:cs="Times New Roman"/>
          <w:i/>
          <w:iCs/>
          <w:lang w:val="es-CO"/>
        </w:rPr>
        <w:t>Revista Brasileira de Psiquiatria</w:t>
      </w:r>
      <w:r w:rsidRPr="00B10849">
        <w:rPr>
          <w:rFonts w:ascii="Times New Roman" w:hAnsi="Times New Roman" w:cs="Times New Roman"/>
          <w:lang w:val="es-CO"/>
        </w:rPr>
        <w:t xml:space="preserve">, </w:t>
      </w:r>
      <w:r w:rsidRPr="00B10849">
        <w:rPr>
          <w:rFonts w:ascii="Times New Roman" w:hAnsi="Times New Roman" w:cs="Times New Roman"/>
          <w:i/>
          <w:iCs/>
          <w:lang w:val="es-CO"/>
        </w:rPr>
        <w:t>36</w:t>
      </w:r>
      <w:r w:rsidRPr="00B10849">
        <w:rPr>
          <w:rFonts w:ascii="Times New Roman" w:hAnsi="Times New Roman" w:cs="Times New Roman"/>
          <w:lang w:val="es-CO"/>
        </w:rPr>
        <w:t>(3), 213–219. https://doi.org/10.1590/1516-4446-2013-1303</w:t>
      </w:r>
    </w:p>
    <w:p w14:paraId="20E6265C"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lang w:val="es-CO"/>
        </w:rPr>
        <w:t xml:space="preserve">Diaz, A. P., Schwarzbold, M. L., Thais, M. E., Hohl, A., Bertotti, M. M., Schmoeller, R., &amp; Walz, R. (2012). </w:t>
      </w:r>
      <w:r w:rsidRPr="00B10849">
        <w:rPr>
          <w:rFonts w:ascii="Times New Roman" w:hAnsi="Times New Roman" w:cs="Times New Roman"/>
        </w:rPr>
        <w:t xml:space="preserve">Psychiatric disorders and health-related quality of life after severe traumatic brain injury: A prospective study. </w:t>
      </w:r>
      <w:r w:rsidRPr="00B10849">
        <w:rPr>
          <w:rFonts w:ascii="Times New Roman" w:hAnsi="Times New Roman" w:cs="Times New Roman"/>
          <w:i/>
          <w:iCs/>
        </w:rPr>
        <w:t>Journal of Neurotrauma</w:t>
      </w:r>
      <w:r w:rsidRPr="00B10849">
        <w:rPr>
          <w:rFonts w:ascii="Times New Roman" w:hAnsi="Times New Roman" w:cs="Times New Roman"/>
        </w:rPr>
        <w:t xml:space="preserve">, </w:t>
      </w:r>
      <w:r w:rsidRPr="00B10849">
        <w:rPr>
          <w:rFonts w:ascii="Times New Roman" w:hAnsi="Times New Roman" w:cs="Times New Roman"/>
          <w:i/>
          <w:iCs/>
        </w:rPr>
        <w:t>29</w:t>
      </w:r>
      <w:r w:rsidRPr="00B10849">
        <w:rPr>
          <w:rFonts w:ascii="Times New Roman" w:hAnsi="Times New Roman" w:cs="Times New Roman"/>
        </w:rPr>
        <w:t>(6), 1029–1037. https://doi.org/10.1089/neu.2011.2089</w:t>
      </w:r>
    </w:p>
    <w:p w14:paraId="385A5E9B"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Dimitrov, M., Phipps, M., Zahn, T. P., &amp; Grafman, J. (1999). A thoroughly modern gage. </w:t>
      </w:r>
      <w:r w:rsidRPr="00B10849">
        <w:rPr>
          <w:rFonts w:ascii="Times New Roman" w:hAnsi="Times New Roman" w:cs="Times New Roman"/>
          <w:i/>
          <w:iCs/>
        </w:rPr>
        <w:t>Neurocase</w:t>
      </w:r>
      <w:r w:rsidRPr="00B10849">
        <w:rPr>
          <w:rFonts w:ascii="Times New Roman" w:hAnsi="Times New Roman" w:cs="Times New Roman"/>
        </w:rPr>
        <w:t xml:space="preserve">, </w:t>
      </w:r>
      <w:r w:rsidRPr="00B10849">
        <w:rPr>
          <w:rFonts w:ascii="Times New Roman" w:hAnsi="Times New Roman" w:cs="Times New Roman"/>
          <w:i/>
          <w:iCs/>
        </w:rPr>
        <w:t>5</w:t>
      </w:r>
      <w:r w:rsidRPr="00B10849">
        <w:rPr>
          <w:rFonts w:ascii="Times New Roman" w:hAnsi="Times New Roman" w:cs="Times New Roman"/>
        </w:rPr>
        <w:t>(4), 345–354. https://doi.org/10.1093/neucas/5.4.345</w:t>
      </w:r>
    </w:p>
    <w:p w14:paraId="7DEC2936"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Dodwell, D. (1988). Comparison of self-ratings with informant-ratings of pre-morbid personality on two personality rating scales. </w:t>
      </w:r>
      <w:r w:rsidRPr="00B10849">
        <w:rPr>
          <w:rFonts w:ascii="Times New Roman" w:hAnsi="Times New Roman" w:cs="Times New Roman"/>
          <w:i/>
          <w:iCs/>
        </w:rPr>
        <w:t>Psychol Med</w:t>
      </w:r>
      <w:r w:rsidRPr="00B10849">
        <w:rPr>
          <w:rFonts w:ascii="Times New Roman" w:hAnsi="Times New Roman" w:cs="Times New Roman"/>
        </w:rPr>
        <w:t xml:space="preserve">, </w:t>
      </w:r>
      <w:r w:rsidRPr="00B10849">
        <w:rPr>
          <w:rFonts w:ascii="Times New Roman" w:hAnsi="Times New Roman" w:cs="Times New Roman"/>
          <w:i/>
          <w:iCs/>
        </w:rPr>
        <w:t>18</w:t>
      </w:r>
      <w:r w:rsidRPr="00B10849">
        <w:rPr>
          <w:rFonts w:ascii="Times New Roman" w:hAnsi="Times New Roman" w:cs="Times New Roman"/>
        </w:rPr>
        <w:t>(2), 495–501. https://doi.org/10.1017/s0033291700008035</w:t>
      </w:r>
    </w:p>
    <w:p w14:paraId="67F5F2B4"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Durcan, R., Mulroy, E., Kavanagh, E., &amp; Lynch, T. (2020). The irish phineas gage: Frontal lobe traumatic brain injury. </w:t>
      </w:r>
      <w:r w:rsidRPr="00B10849">
        <w:rPr>
          <w:rFonts w:ascii="Times New Roman" w:hAnsi="Times New Roman" w:cs="Times New Roman"/>
          <w:i/>
          <w:iCs/>
        </w:rPr>
        <w:t>Irish Medical Journal</w:t>
      </w:r>
      <w:r w:rsidRPr="00B10849">
        <w:rPr>
          <w:rFonts w:ascii="Times New Roman" w:hAnsi="Times New Roman" w:cs="Times New Roman"/>
        </w:rPr>
        <w:t xml:space="preserve">, </w:t>
      </w:r>
      <w:r w:rsidRPr="00B10849">
        <w:rPr>
          <w:rFonts w:ascii="Times New Roman" w:hAnsi="Times New Roman" w:cs="Times New Roman"/>
          <w:i/>
          <w:iCs/>
        </w:rPr>
        <w:t>113</w:t>
      </w:r>
      <w:r w:rsidRPr="00B10849">
        <w:rPr>
          <w:rFonts w:ascii="Times New Roman" w:hAnsi="Times New Roman" w:cs="Times New Roman"/>
        </w:rPr>
        <w:t>(9), 1–4.</w:t>
      </w:r>
    </w:p>
    <w:p w14:paraId="616CC76B"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Edwards, K. A., Lange, R. T., Lippa, S. M., Brickell, T. A., Gill, J. M., &amp; French, L. M. (2024). Serum GFAP, NfL, and tau concentrations are associated with worse neurobehavioral functioning following mild, moderate, and severe TBI: A cross-sectional multiple-cohort study. </w:t>
      </w:r>
      <w:r w:rsidRPr="00B10849">
        <w:rPr>
          <w:rFonts w:ascii="Times New Roman" w:hAnsi="Times New Roman" w:cs="Times New Roman"/>
          <w:i/>
          <w:iCs/>
        </w:rPr>
        <w:t>Frontiers in Neurology</w:t>
      </w:r>
      <w:r w:rsidRPr="00B10849">
        <w:rPr>
          <w:rFonts w:ascii="Times New Roman" w:hAnsi="Times New Roman" w:cs="Times New Roman"/>
        </w:rPr>
        <w:t xml:space="preserve">, </w:t>
      </w:r>
      <w:r w:rsidRPr="00B10849">
        <w:rPr>
          <w:rFonts w:ascii="Times New Roman" w:hAnsi="Times New Roman" w:cs="Times New Roman"/>
          <w:i/>
          <w:iCs/>
        </w:rPr>
        <w:t>14</w:t>
      </w:r>
      <w:r w:rsidRPr="00B10849">
        <w:rPr>
          <w:rFonts w:ascii="Times New Roman" w:hAnsi="Times New Roman" w:cs="Times New Roman"/>
        </w:rPr>
        <w:t>. https://doi.org/10.3389/fneur.2023.1223960</w:t>
      </w:r>
    </w:p>
    <w:p w14:paraId="252B4085"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Filipčíková, M., Wearne, T., &amp; McDonald, S. (2024). Disinhibited and angry: Investigating the relationship between social disinhibition and the components of aggression following severe TBI. </w:t>
      </w:r>
      <w:r w:rsidRPr="00B10849">
        <w:rPr>
          <w:rFonts w:ascii="Times New Roman" w:hAnsi="Times New Roman" w:cs="Times New Roman"/>
          <w:i/>
          <w:iCs/>
        </w:rPr>
        <w:t>Neuropsychological Rehabilitation</w:t>
      </w:r>
      <w:r w:rsidRPr="00B10849">
        <w:rPr>
          <w:rFonts w:ascii="Times New Roman" w:hAnsi="Times New Roman" w:cs="Times New Roman"/>
        </w:rPr>
        <w:t xml:space="preserve">, </w:t>
      </w:r>
      <w:r w:rsidRPr="00B10849">
        <w:rPr>
          <w:rFonts w:ascii="Times New Roman" w:hAnsi="Times New Roman" w:cs="Times New Roman"/>
          <w:i/>
          <w:iCs/>
        </w:rPr>
        <w:t>34</w:t>
      </w:r>
      <w:r w:rsidRPr="00B10849">
        <w:rPr>
          <w:rFonts w:ascii="Times New Roman" w:hAnsi="Times New Roman" w:cs="Times New Roman"/>
        </w:rPr>
        <w:t>(1), 23–44.</w:t>
      </w:r>
    </w:p>
    <w:p w14:paraId="0756F055"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Franulic, A., Horta, E., Maturana, R., Scherpenisse, J., &amp; Carbonell, C. (2000). Organic personality disorder after traumatic brain injury: Cognitive, anatomic and psychosocial factors. A 6 month follow-up.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14</w:t>
      </w:r>
      <w:r w:rsidRPr="00B10849">
        <w:rPr>
          <w:rFonts w:ascii="Times New Roman" w:hAnsi="Times New Roman" w:cs="Times New Roman"/>
        </w:rPr>
        <w:t>(5), 431–439. https://doi.org/10.1080/026990500120538</w:t>
      </w:r>
    </w:p>
    <w:p w14:paraId="2D4EA155" w14:textId="77777777" w:rsidR="00BE34D6" w:rsidRPr="00B10849" w:rsidRDefault="00BE34D6" w:rsidP="00546F88">
      <w:pPr>
        <w:pStyle w:val="Bibliography"/>
        <w:spacing w:line="276" w:lineRule="auto"/>
        <w:rPr>
          <w:rFonts w:ascii="Times New Roman" w:hAnsi="Times New Roman" w:cs="Times New Roman"/>
          <w:lang w:val="es-CO"/>
        </w:rPr>
      </w:pPr>
      <w:r w:rsidRPr="00B10849">
        <w:rPr>
          <w:rFonts w:ascii="Times New Roman" w:hAnsi="Times New Roman" w:cs="Times New Roman"/>
        </w:rPr>
        <w:t xml:space="preserve">Glover, A. (2000). Is this what life is going to be like?” The story of a 34 year old man (T) who suffered a severe head injury after a fall. </w:t>
      </w:r>
      <w:r w:rsidRPr="00B10849">
        <w:rPr>
          <w:rFonts w:ascii="Times New Roman" w:hAnsi="Times New Roman" w:cs="Times New Roman"/>
          <w:i/>
          <w:iCs/>
          <w:lang w:val="es-CO"/>
        </w:rPr>
        <w:t>Disabil Rehabil</w:t>
      </w:r>
      <w:r w:rsidRPr="00B10849">
        <w:rPr>
          <w:rFonts w:ascii="Times New Roman" w:hAnsi="Times New Roman" w:cs="Times New Roman"/>
          <w:lang w:val="es-CO"/>
        </w:rPr>
        <w:t xml:space="preserve">, </w:t>
      </w:r>
      <w:r w:rsidRPr="00B10849">
        <w:rPr>
          <w:rFonts w:ascii="Times New Roman" w:hAnsi="Times New Roman" w:cs="Times New Roman"/>
          <w:i/>
          <w:iCs/>
          <w:lang w:val="es-CO"/>
        </w:rPr>
        <w:t>22</w:t>
      </w:r>
      <w:r w:rsidRPr="00B10849">
        <w:rPr>
          <w:rFonts w:ascii="Times New Roman" w:hAnsi="Times New Roman" w:cs="Times New Roman"/>
          <w:lang w:val="es-CO"/>
        </w:rPr>
        <w:t>(10), 471–477. https://doi.org/10.1080/09638280050045956</w:t>
      </w:r>
    </w:p>
    <w:p w14:paraId="3C8FF30D"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lang w:val="es-CO"/>
        </w:rPr>
        <w:t xml:space="preserve">Goldberg, R. L., &amp; Buongiorno, P. A. (1983). </w:t>
      </w:r>
      <w:r w:rsidRPr="00B10849">
        <w:rPr>
          <w:rFonts w:ascii="Times New Roman" w:hAnsi="Times New Roman" w:cs="Times New Roman"/>
        </w:rPr>
        <w:t xml:space="preserve">The use of carbamazepine for the treatment of paraphilias in a brain damaged patient. </w:t>
      </w:r>
      <w:r w:rsidRPr="00B10849">
        <w:rPr>
          <w:rFonts w:ascii="Times New Roman" w:hAnsi="Times New Roman" w:cs="Times New Roman"/>
          <w:i/>
          <w:iCs/>
        </w:rPr>
        <w:t>International Journal of Psychiatry in Medicine</w:t>
      </w:r>
      <w:r w:rsidRPr="00B10849">
        <w:rPr>
          <w:rFonts w:ascii="Times New Roman" w:hAnsi="Times New Roman" w:cs="Times New Roman"/>
        </w:rPr>
        <w:t xml:space="preserve">, </w:t>
      </w:r>
      <w:r w:rsidRPr="00B10849">
        <w:rPr>
          <w:rFonts w:ascii="Times New Roman" w:hAnsi="Times New Roman" w:cs="Times New Roman"/>
          <w:i/>
          <w:iCs/>
        </w:rPr>
        <w:t>12</w:t>
      </w:r>
      <w:r w:rsidRPr="00B10849">
        <w:rPr>
          <w:rFonts w:ascii="Times New Roman" w:hAnsi="Times New Roman" w:cs="Times New Roman"/>
        </w:rPr>
        <w:t>(4), 275–279. https://doi.org/10.2190/5uku-njkt-75jv-pkab</w:t>
      </w:r>
    </w:p>
    <w:p w14:paraId="796C03E6"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Golden, Z., &amp; Golden, C. J. (2003a). Impact of brain injury severity on personality dysfunction. </w:t>
      </w:r>
      <w:r w:rsidRPr="00B10849">
        <w:rPr>
          <w:rFonts w:ascii="Times New Roman" w:hAnsi="Times New Roman" w:cs="Times New Roman"/>
          <w:i/>
          <w:iCs/>
        </w:rPr>
        <w:t>International Journal of Neuroscience</w:t>
      </w:r>
      <w:r w:rsidRPr="00B10849">
        <w:rPr>
          <w:rFonts w:ascii="Times New Roman" w:hAnsi="Times New Roman" w:cs="Times New Roman"/>
        </w:rPr>
        <w:t xml:space="preserve">, </w:t>
      </w:r>
      <w:r w:rsidRPr="00B10849">
        <w:rPr>
          <w:rFonts w:ascii="Times New Roman" w:hAnsi="Times New Roman" w:cs="Times New Roman"/>
          <w:i/>
          <w:iCs/>
        </w:rPr>
        <w:t>113</w:t>
      </w:r>
      <w:r w:rsidRPr="00B10849">
        <w:rPr>
          <w:rFonts w:ascii="Times New Roman" w:hAnsi="Times New Roman" w:cs="Times New Roman"/>
        </w:rPr>
        <w:t>(5), 733–745. https://doi.org/10.1080/00207450390200044</w:t>
      </w:r>
    </w:p>
    <w:p w14:paraId="3FDE8804"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Golden, Z., &amp; Golden, C. J. (2003b). The differential impacts of Alzheimer’s dementia, head injury, and stroke on personality dysfunction. </w:t>
      </w:r>
      <w:r w:rsidRPr="00B10849">
        <w:rPr>
          <w:rFonts w:ascii="Times New Roman" w:hAnsi="Times New Roman" w:cs="Times New Roman"/>
          <w:i/>
          <w:iCs/>
        </w:rPr>
        <w:t>International Journal of Neuroscience</w:t>
      </w:r>
      <w:r w:rsidRPr="00B10849">
        <w:rPr>
          <w:rFonts w:ascii="Times New Roman" w:hAnsi="Times New Roman" w:cs="Times New Roman"/>
        </w:rPr>
        <w:t xml:space="preserve">, </w:t>
      </w:r>
      <w:r w:rsidRPr="00B10849">
        <w:rPr>
          <w:rFonts w:ascii="Times New Roman" w:hAnsi="Times New Roman" w:cs="Times New Roman"/>
          <w:i/>
          <w:iCs/>
        </w:rPr>
        <w:t>113</w:t>
      </w:r>
      <w:r w:rsidRPr="00B10849">
        <w:rPr>
          <w:rFonts w:ascii="Times New Roman" w:hAnsi="Times New Roman" w:cs="Times New Roman"/>
        </w:rPr>
        <w:t>(6), 869–878. https://doi.org/10.1080/00207450390200927</w:t>
      </w:r>
    </w:p>
    <w:p w14:paraId="5714C5DD"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Gracia-Garcia, P., Mielke, M. M., Rosenberg, P., Bergey, A., &amp; Rao, V. (2011). Personality changes in brain injury. </w:t>
      </w:r>
      <w:r w:rsidRPr="00B10849">
        <w:rPr>
          <w:rFonts w:ascii="Times New Roman" w:hAnsi="Times New Roman" w:cs="Times New Roman"/>
          <w:i/>
          <w:iCs/>
        </w:rPr>
        <w:t>The Journal of Neuropsychiatry and Clinical Neurosciences</w:t>
      </w:r>
      <w:r w:rsidRPr="00B10849">
        <w:rPr>
          <w:rFonts w:ascii="Times New Roman" w:hAnsi="Times New Roman" w:cs="Times New Roman"/>
        </w:rPr>
        <w:t xml:space="preserve">, </w:t>
      </w:r>
      <w:r w:rsidRPr="00B10849">
        <w:rPr>
          <w:rFonts w:ascii="Times New Roman" w:hAnsi="Times New Roman" w:cs="Times New Roman"/>
          <w:i/>
          <w:iCs/>
        </w:rPr>
        <w:t>23</w:t>
      </w:r>
      <w:r w:rsidRPr="00B10849">
        <w:rPr>
          <w:rFonts w:ascii="Times New Roman" w:hAnsi="Times New Roman" w:cs="Times New Roman"/>
        </w:rPr>
        <w:t>(2), E14–E14.</w:t>
      </w:r>
    </w:p>
    <w:p w14:paraId="52F782E8"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Greve, K. W., Sherwin, E., Stanford, M. S., Mathias, C., Love, J., &amp; Ramzinski, P. (2001). Personality and neurocognitive correlates of impulsive aggression in long-term survivors of severe traumatic brain injury.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15</w:t>
      </w:r>
      <w:r w:rsidRPr="00B10849">
        <w:rPr>
          <w:rFonts w:ascii="Times New Roman" w:hAnsi="Times New Roman" w:cs="Times New Roman"/>
        </w:rPr>
        <w:t>(3), 255–262. https://doi.org/10.1080/026990501300005695</w:t>
      </w:r>
    </w:p>
    <w:p w14:paraId="7C65CD07"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Guzowski, N. S., Hoelzle, J. B., McCrea, M. A., &amp; Nelson, L. D. (2022). Differing associations between measures of somatic symptom reporting, personality, and mild traumatic brain injury (mTBI). </w:t>
      </w:r>
      <w:r w:rsidRPr="00B10849">
        <w:rPr>
          <w:rFonts w:ascii="Times New Roman" w:hAnsi="Times New Roman" w:cs="Times New Roman"/>
          <w:i/>
          <w:iCs/>
        </w:rPr>
        <w:t>The Clinical Neuropsychologist</w:t>
      </w:r>
      <w:r w:rsidRPr="00B10849">
        <w:rPr>
          <w:rFonts w:ascii="Times New Roman" w:hAnsi="Times New Roman" w:cs="Times New Roman"/>
        </w:rPr>
        <w:t xml:space="preserve">, </w:t>
      </w:r>
      <w:r w:rsidRPr="00B10849">
        <w:rPr>
          <w:rFonts w:ascii="Times New Roman" w:hAnsi="Times New Roman" w:cs="Times New Roman"/>
          <w:i/>
          <w:iCs/>
        </w:rPr>
        <w:t>36</w:t>
      </w:r>
      <w:r w:rsidRPr="00B10849">
        <w:rPr>
          <w:rFonts w:ascii="Times New Roman" w:hAnsi="Times New Roman" w:cs="Times New Roman"/>
        </w:rPr>
        <w:t>(8), 2135–2152.</w:t>
      </w:r>
    </w:p>
    <w:p w14:paraId="68778212"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Handel, S. F., Ovitt, L., Spiro, J. R., &amp; Rao, V. (2007). Affective disorder and personality change in a patient with traumatic brain injury. </w:t>
      </w:r>
      <w:r w:rsidRPr="00B10849">
        <w:rPr>
          <w:rFonts w:ascii="Times New Roman" w:hAnsi="Times New Roman" w:cs="Times New Roman"/>
          <w:i/>
          <w:iCs/>
        </w:rPr>
        <w:t>Psychosomatics</w:t>
      </w:r>
      <w:r w:rsidRPr="00B10849">
        <w:rPr>
          <w:rFonts w:ascii="Times New Roman" w:hAnsi="Times New Roman" w:cs="Times New Roman"/>
        </w:rPr>
        <w:t xml:space="preserve">, </w:t>
      </w:r>
      <w:r w:rsidRPr="00B10849">
        <w:rPr>
          <w:rFonts w:ascii="Times New Roman" w:hAnsi="Times New Roman" w:cs="Times New Roman"/>
          <w:i/>
          <w:iCs/>
        </w:rPr>
        <w:t>48</w:t>
      </w:r>
      <w:r w:rsidRPr="00B10849">
        <w:rPr>
          <w:rFonts w:ascii="Times New Roman" w:hAnsi="Times New Roman" w:cs="Times New Roman"/>
        </w:rPr>
        <w:t>(1), 67–70. https://doi.org/10.1176/appi.psy.48.1.67</w:t>
      </w:r>
    </w:p>
    <w:p w14:paraId="4BC5E88C"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Hanna, D., Priven, S., Carroll, N., Ekladios, H., Fitzsimmons, A., Hanna, D., Priven, S., Carroll, N. A., Ekladios, H., &amp; Fitzsimmons, A. (2024). Psychosis and Personality Changes Following Traumatic Brain Injury. </w:t>
      </w:r>
      <w:r w:rsidRPr="00B10849">
        <w:rPr>
          <w:rFonts w:ascii="Times New Roman" w:hAnsi="Times New Roman" w:cs="Times New Roman"/>
          <w:i/>
          <w:iCs/>
        </w:rPr>
        <w:t>Cureus</w:t>
      </w:r>
      <w:r w:rsidRPr="00B10849">
        <w:rPr>
          <w:rFonts w:ascii="Times New Roman" w:hAnsi="Times New Roman" w:cs="Times New Roman"/>
        </w:rPr>
        <w:t xml:space="preserve">, </w:t>
      </w:r>
      <w:r w:rsidRPr="00B10849">
        <w:rPr>
          <w:rFonts w:ascii="Times New Roman" w:hAnsi="Times New Roman" w:cs="Times New Roman"/>
          <w:i/>
          <w:iCs/>
        </w:rPr>
        <w:t>16</w:t>
      </w:r>
      <w:r w:rsidRPr="00B10849">
        <w:rPr>
          <w:rFonts w:ascii="Times New Roman" w:hAnsi="Times New Roman" w:cs="Times New Roman"/>
        </w:rPr>
        <w:t>(11). https://doi.org/10.7759/cureus.72849</w:t>
      </w:r>
    </w:p>
    <w:p w14:paraId="02770DF1"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Harrington, C., Salloway, S., &amp; Malloy, P. (1997). Dramatic neurobehavioral disorder in two cases following bilateral anteromedial frontal lobe injury: Delayed psychosis and marked change in personality. </w:t>
      </w:r>
      <w:r w:rsidRPr="00B10849">
        <w:rPr>
          <w:rFonts w:ascii="Times New Roman" w:hAnsi="Times New Roman" w:cs="Times New Roman"/>
          <w:i/>
          <w:iCs/>
        </w:rPr>
        <w:t>Neurocase</w:t>
      </w:r>
      <w:r w:rsidRPr="00B10849">
        <w:rPr>
          <w:rFonts w:ascii="Times New Roman" w:hAnsi="Times New Roman" w:cs="Times New Roman"/>
        </w:rPr>
        <w:t xml:space="preserve">, </w:t>
      </w:r>
      <w:r w:rsidRPr="00B10849">
        <w:rPr>
          <w:rFonts w:ascii="Times New Roman" w:hAnsi="Times New Roman" w:cs="Times New Roman"/>
          <w:i/>
          <w:iCs/>
        </w:rPr>
        <w:t>3</w:t>
      </w:r>
      <w:r w:rsidRPr="00B10849">
        <w:rPr>
          <w:rFonts w:ascii="Times New Roman" w:hAnsi="Times New Roman" w:cs="Times New Roman"/>
        </w:rPr>
        <w:t>(2), 137–149. https://doi.org/10.1093/neucas/3.2.137</w:t>
      </w:r>
    </w:p>
    <w:p w14:paraId="2C5E8A2E"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Heinrich, T. W., &amp; Junig, J. T. (2004). Recurrent mania associated with repeated brain injury. </w:t>
      </w:r>
      <w:r w:rsidRPr="00B10849">
        <w:rPr>
          <w:rFonts w:ascii="Times New Roman" w:hAnsi="Times New Roman" w:cs="Times New Roman"/>
          <w:i/>
          <w:iCs/>
        </w:rPr>
        <w:t>General Hospital Psychiatry</w:t>
      </w:r>
      <w:r w:rsidRPr="00B10849">
        <w:rPr>
          <w:rFonts w:ascii="Times New Roman" w:hAnsi="Times New Roman" w:cs="Times New Roman"/>
        </w:rPr>
        <w:t xml:space="preserve">, </w:t>
      </w:r>
      <w:r w:rsidRPr="00B10849">
        <w:rPr>
          <w:rFonts w:ascii="Times New Roman" w:hAnsi="Times New Roman" w:cs="Times New Roman"/>
          <w:i/>
          <w:iCs/>
        </w:rPr>
        <w:t>26</w:t>
      </w:r>
      <w:r w:rsidRPr="00B10849">
        <w:rPr>
          <w:rFonts w:ascii="Times New Roman" w:hAnsi="Times New Roman" w:cs="Times New Roman"/>
        </w:rPr>
        <w:t>(6), 490–492.</w:t>
      </w:r>
    </w:p>
    <w:p w14:paraId="41E7BFF5"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Hibbard, M. R., Bogdany, J., Uysal, S., Kepler, K., Silver, J. M., Gordon, W. A., &amp; Haddad, L. (2000). Axis II psychopathology in individuals with traumatic brain injury.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14</w:t>
      </w:r>
      <w:r w:rsidRPr="00B10849">
        <w:rPr>
          <w:rFonts w:ascii="Times New Roman" w:hAnsi="Times New Roman" w:cs="Times New Roman"/>
        </w:rPr>
        <w:t>(1), 45–61. https://doi.org/10.1080/0269905001209161</w:t>
      </w:r>
    </w:p>
    <w:p w14:paraId="72BC0227"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Huang, M. X., Nichols, S., Baker, D. G., Robb, A., Angeles, A., Yurgil, K. A., &amp; Lee, R. R. (2014). Single-subject-based whole-brain MEG slow-wave imaging approach for detecting abnormality in patients with mild traumatic brain injury. </w:t>
      </w:r>
      <w:r w:rsidRPr="00B10849">
        <w:rPr>
          <w:rFonts w:ascii="Times New Roman" w:hAnsi="Times New Roman" w:cs="Times New Roman"/>
          <w:i/>
          <w:iCs/>
        </w:rPr>
        <w:t>NeuroImage: Clinical</w:t>
      </w:r>
      <w:r w:rsidRPr="00B10849">
        <w:rPr>
          <w:rFonts w:ascii="Times New Roman" w:hAnsi="Times New Roman" w:cs="Times New Roman"/>
        </w:rPr>
        <w:t xml:space="preserve">, </w:t>
      </w:r>
      <w:r w:rsidRPr="00B10849">
        <w:rPr>
          <w:rFonts w:ascii="Times New Roman" w:hAnsi="Times New Roman" w:cs="Times New Roman"/>
          <w:i/>
          <w:iCs/>
        </w:rPr>
        <w:t>5</w:t>
      </w:r>
      <w:r w:rsidRPr="00B10849">
        <w:rPr>
          <w:rFonts w:ascii="Times New Roman" w:hAnsi="Times New Roman" w:cs="Times New Roman"/>
        </w:rPr>
        <w:t>, 109–119. https://doi.org/10.1016/j.nicl.2014.06.004</w:t>
      </w:r>
    </w:p>
    <w:p w14:paraId="31AB7E71"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Ikram, M. Q., Sajjad, F. H., &amp; Salardini, A. (2016). The head that wears the crown: Henry VIII and traumatic brain injury. </w:t>
      </w:r>
      <w:r w:rsidRPr="00B10849">
        <w:rPr>
          <w:rFonts w:ascii="Times New Roman" w:hAnsi="Times New Roman" w:cs="Times New Roman"/>
          <w:i/>
          <w:iCs/>
        </w:rPr>
        <w:t>Journal of Clinical Neuroscience</w:t>
      </w:r>
      <w:r w:rsidRPr="00B10849">
        <w:rPr>
          <w:rFonts w:ascii="Times New Roman" w:hAnsi="Times New Roman" w:cs="Times New Roman"/>
        </w:rPr>
        <w:t xml:space="preserve">, </w:t>
      </w:r>
      <w:r w:rsidRPr="00B10849">
        <w:rPr>
          <w:rFonts w:ascii="Times New Roman" w:hAnsi="Times New Roman" w:cs="Times New Roman"/>
          <w:i/>
          <w:iCs/>
        </w:rPr>
        <w:t>28</w:t>
      </w:r>
      <w:r w:rsidRPr="00B10849">
        <w:rPr>
          <w:rFonts w:ascii="Times New Roman" w:hAnsi="Times New Roman" w:cs="Times New Roman"/>
        </w:rPr>
        <w:t>, 16–19. https://doi.org/10.1016/j.jocn.2015.10.035</w:t>
      </w:r>
    </w:p>
    <w:p w14:paraId="1B1E7AA9"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Kaitaro, T., Koskinen, S., &amp; Kaipio, M. L. (1995). Neuropsychological problems in everyday life: A 5-year follow-up study of young severely closed-head-injured patients.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9</w:t>
      </w:r>
      <w:r w:rsidRPr="00B10849">
        <w:rPr>
          <w:rFonts w:ascii="Times New Roman" w:hAnsi="Times New Roman" w:cs="Times New Roman"/>
        </w:rPr>
        <w:t>(7), 713–727.</w:t>
      </w:r>
    </w:p>
    <w:p w14:paraId="7B54756A"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Koponen, S., Taiminen, T., Hiekkanen, H., &amp; Tenovuo, O. (2011). Axis I and II psychiatric disorders in patients with traumatic brain injury: A 12-month follow-up study.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25</w:t>
      </w:r>
      <w:r w:rsidRPr="00B10849">
        <w:rPr>
          <w:rFonts w:ascii="Times New Roman" w:hAnsi="Times New Roman" w:cs="Times New Roman"/>
        </w:rPr>
        <w:t>(11), 1029–1034. https://doi.org/10.3109/02699052.2011.607783</w:t>
      </w:r>
    </w:p>
    <w:p w14:paraId="72296368"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Koponen, S., Taiminen, T., Portin, R., Himanen, L., Isoniemi, H., Heinonen, H., Hinkka, S., &amp; Tenovuo, O. (2002). Axis I and II psychiatric disorders after traumatic brain injury: A 30-year follow-up study. </w:t>
      </w:r>
      <w:r w:rsidRPr="00B10849">
        <w:rPr>
          <w:rFonts w:ascii="Times New Roman" w:hAnsi="Times New Roman" w:cs="Times New Roman"/>
          <w:i/>
          <w:iCs/>
        </w:rPr>
        <w:t>American Journal of Psychiatry</w:t>
      </w:r>
      <w:r w:rsidRPr="00B10849">
        <w:rPr>
          <w:rFonts w:ascii="Times New Roman" w:hAnsi="Times New Roman" w:cs="Times New Roman"/>
        </w:rPr>
        <w:t xml:space="preserve">, </w:t>
      </w:r>
      <w:r w:rsidRPr="00B10849">
        <w:rPr>
          <w:rFonts w:ascii="Times New Roman" w:hAnsi="Times New Roman" w:cs="Times New Roman"/>
          <w:i/>
          <w:iCs/>
        </w:rPr>
        <w:t>159</w:t>
      </w:r>
      <w:r w:rsidRPr="00B10849">
        <w:rPr>
          <w:rFonts w:ascii="Times New Roman" w:hAnsi="Times New Roman" w:cs="Times New Roman"/>
        </w:rPr>
        <w:t>(8), 1315–1321.</w:t>
      </w:r>
    </w:p>
    <w:p w14:paraId="38D78F62"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Kunishio, K., Matsumoto, Y., Kawada, S., Miyoshi, Y., Matsuhisa, T., Moriyama, E., &amp; Tanaka, R. (1993). Neuropsychological outcome and social recovery of head-injured patients. </w:t>
      </w:r>
      <w:r w:rsidRPr="00B10849">
        <w:rPr>
          <w:rFonts w:ascii="Times New Roman" w:hAnsi="Times New Roman" w:cs="Times New Roman"/>
          <w:i/>
          <w:iCs/>
        </w:rPr>
        <w:t>Neurol Med Chir (Tokyo</w:t>
      </w:r>
      <w:r w:rsidRPr="00B10849">
        <w:rPr>
          <w:rFonts w:ascii="Times New Roman" w:hAnsi="Times New Roman" w:cs="Times New Roman"/>
        </w:rPr>
        <w:t xml:space="preserve">, </w:t>
      </w:r>
      <w:r w:rsidRPr="00B10849">
        <w:rPr>
          <w:rFonts w:ascii="Times New Roman" w:hAnsi="Times New Roman" w:cs="Times New Roman"/>
          <w:i/>
          <w:iCs/>
        </w:rPr>
        <w:t>33</w:t>
      </w:r>
      <w:r w:rsidRPr="00B10849">
        <w:rPr>
          <w:rFonts w:ascii="Times New Roman" w:hAnsi="Times New Roman" w:cs="Times New Roman"/>
        </w:rPr>
        <w:t>(12), 824–829. https://doi.org/10.2176/nmc.33.824</w:t>
      </w:r>
    </w:p>
    <w:p w14:paraId="40A46D28"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Kurtz, J. E., Putnam, S. H., &amp; Stone, C. (1998). Stability of normal personality traits after traumatic brain injury. </w:t>
      </w:r>
      <w:r w:rsidRPr="00B10849">
        <w:rPr>
          <w:rFonts w:ascii="Times New Roman" w:hAnsi="Times New Roman" w:cs="Times New Roman"/>
          <w:i/>
          <w:iCs/>
        </w:rPr>
        <w:t>Journal of Head Trauma Rehabilitation</w:t>
      </w:r>
      <w:r w:rsidRPr="00B10849">
        <w:rPr>
          <w:rFonts w:ascii="Times New Roman" w:hAnsi="Times New Roman" w:cs="Times New Roman"/>
        </w:rPr>
        <w:t xml:space="preserve">, </w:t>
      </w:r>
      <w:r w:rsidRPr="00B10849">
        <w:rPr>
          <w:rFonts w:ascii="Times New Roman" w:hAnsi="Times New Roman" w:cs="Times New Roman"/>
          <w:i/>
          <w:iCs/>
        </w:rPr>
        <w:t>13</w:t>
      </w:r>
      <w:r w:rsidRPr="00B10849">
        <w:rPr>
          <w:rFonts w:ascii="Times New Roman" w:hAnsi="Times New Roman" w:cs="Times New Roman"/>
        </w:rPr>
        <w:t>(3), 1–14.</w:t>
      </w:r>
    </w:p>
    <w:p w14:paraId="7EFC671A"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Labbate, L. A., Warden, D., &amp; Murray, G. B. (1997). Salutary change after frontal brain trauma. </w:t>
      </w:r>
      <w:r w:rsidRPr="00B10849">
        <w:rPr>
          <w:rFonts w:ascii="Times New Roman" w:hAnsi="Times New Roman" w:cs="Times New Roman"/>
          <w:i/>
          <w:iCs/>
        </w:rPr>
        <w:t>Annals of Clinical Psychiatry</w:t>
      </w:r>
      <w:r w:rsidRPr="00B10849">
        <w:rPr>
          <w:rFonts w:ascii="Times New Roman" w:hAnsi="Times New Roman" w:cs="Times New Roman"/>
        </w:rPr>
        <w:t xml:space="preserve">, </w:t>
      </w:r>
      <w:r w:rsidRPr="00B10849">
        <w:rPr>
          <w:rFonts w:ascii="Times New Roman" w:hAnsi="Times New Roman" w:cs="Times New Roman"/>
          <w:i/>
          <w:iCs/>
        </w:rPr>
        <w:t>9</w:t>
      </w:r>
      <w:r w:rsidRPr="00B10849">
        <w:rPr>
          <w:rFonts w:ascii="Times New Roman" w:hAnsi="Times New Roman" w:cs="Times New Roman"/>
        </w:rPr>
        <w:t>(1), 27–30. https://doi.org/10.1023/A:1026278224598</w:t>
      </w:r>
    </w:p>
    <w:p w14:paraId="340C4CE7"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Lannoo, E., Deyne, C., Colardyn, F., Soete, G., &amp; Jannes, C. (1997). Personality change following head injury: Assessment with the NEO Five-Factor Inventory. </w:t>
      </w:r>
      <w:r w:rsidRPr="00B10849">
        <w:rPr>
          <w:rFonts w:ascii="Times New Roman" w:hAnsi="Times New Roman" w:cs="Times New Roman"/>
          <w:i/>
          <w:iCs/>
        </w:rPr>
        <w:t>J Psychosom Res</w:t>
      </w:r>
      <w:r w:rsidRPr="00B10849">
        <w:rPr>
          <w:rFonts w:ascii="Times New Roman" w:hAnsi="Times New Roman" w:cs="Times New Roman"/>
        </w:rPr>
        <w:t xml:space="preserve">, </w:t>
      </w:r>
      <w:r w:rsidRPr="00B10849">
        <w:rPr>
          <w:rFonts w:ascii="Times New Roman" w:hAnsi="Times New Roman" w:cs="Times New Roman"/>
          <w:i/>
          <w:iCs/>
        </w:rPr>
        <w:t>43</w:t>
      </w:r>
      <w:r w:rsidRPr="00B10849">
        <w:rPr>
          <w:rFonts w:ascii="Times New Roman" w:hAnsi="Times New Roman" w:cs="Times New Roman"/>
        </w:rPr>
        <w:t>(5), 505–511. https://doi.org/10.1016/s0022-3999(97)00152-9</w:t>
      </w:r>
    </w:p>
    <w:p w14:paraId="56EF0884"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Lauterbach, M. D., Notarangelo, P. L., Nichols, S. J., Lane, K. S., &amp; Koliatsos, V. E. (2015). Diagnostic and treatment challenges in traumatic brain injury patients with severe neuropsychiatric symptoms: Insights into psychiatric practice. </w:t>
      </w:r>
      <w:r w:rsidRPr="00B10849">
        <w:rPr>
          <w:rFonts w:ascii="Times New Roman" w:hAnsi="Times New Roman" w:cs="Times New Roman"/>
          <w:i/>
          <w:iCs/>
        </w:rPr>
        <w:t>Neuropsychiatric Disease and Treatment</w:t>
      </w:r>
      <w:r w:rsidRPr="00B10849">
        <w:rPr>
          <w:rFonts w:ascii="Times New Roman" w:hAnsi="Times New Roman" w:cs="Times New Roman"/>
        </w:rPr>
        <w:t>, 1601–1607.</w:t>
      </w:r>
    </w:p>
    <w:p w14:paraId="2B269E8D"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Lezak, M. D. (1987). Relationships between personality disorders, social disturbances, and physical disability following traumatic brain injury. </w:t>
      </w:r>
      <w:r w:rsidRPr="00B10849">
        <w:rPr>
          <w:rFonts w:ascii="Times New Roman" w:hAnsi="Times New Roman" w:cs="Times New Roman"/>
          <w:i/>
          <w:iCs/>
        </w:rPr>
        <w:t>Journal of Head Trauma Rehabilitation</w:t>
      </w:r>
      <w:r w:rsidRPr="00B10849">
        <w:rPr>
          <w:rFonts w:ascii="Times New Roman" w:hAnsi="Times New Roman" w:cs="Times New Roman"/>
        </w:rPr>
        <w:t xml:space="preserve">, </w:t>
      </w:r>
      <w:r w:rsidRPr="00B10849">
        <w:rPr>
          <w:rFonts w:ascii="Times New Roman" w:hAnsi="Times New Roman" w:cs="Times New Roman"/>
          <w:i/>
          <w:iCs/>
        </w:rPr>
        <w:t>2</w:t>
      </w:r>
      <w:r w:rsidRPr="00B10849">
        <w:rPr>
          <w:rFonts w:ascii="Times New Roman" w:hAnsi="Times New Roman" w:cs="Times New Roman"/>
        </w:rPr>
        <w:t>(1), 57–69.</w:t>
      </w:r>
    </w:p>
    <w:p w14:paraId="039D3E99"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Lezak, M. D., &amp; O’Brien, K. P. (1988). Longitudinal study of emotional, social, and physical changes after traumatic brain injury. </w:t>
      </w:r>
      <w:r w:rsidRPr="00B10849">
        <w:rPr>
          <w:rFonts w:ascii="Times New Roman" w:hAnsi="Times New Roman" w:cs="Times New Roman"/>
          <w:i/>
          <w:iCs/>
        </w:rPr>
        <w:t>Journal of Learning Disabilities</w:t>
      </w:r>
      <w:r w:rsidRPr="00B10849">
        <w:rPr>
          <w:rFonts w:ascii="Times New Roman" w:hAnsi="Times New Roman" w:cs="Times New Roman"/>
        </w:rPr>
        <w:t xml:space="preserve">, </w:t>
      </w:r>
      <w:r w:rsidRPr="00B10849">
        <w:rPr>
          <w:rFonts w:ascii="Times New Roman" w:hAnsi="Times New Roman" w:cs="Times New Roman"/>
          <w:i/>
          <w:iCs/>
        </w:rPr>
        <w:t>21</w:t>
      </w:r>
      <w:r w:rsidRPr="00B10849">
        <w:rPr>
          <w:rFonts w:ascii="Times New Roman" w:hAnsi="Times New Roman" w:cs="Times New Roman"/>
        </w:rPr>
        <w:t>(8), 456–462.</w:t>
      </w:r>
    </w:p>
    <w:p w14:paraId="42772FF9"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Li, B., Fang, Y., Lin, J., Chen, X., Li, C., &amp; He, M. (2022). Forensic psychiatric analysis of organic personality disorders after craniocerebral injury in Shanghai, China. </w:t>
      </w:r>
      <w:r w:rsidRPr="00B10849">
        <w:rPr>
          <w:rFonts w:ascii="Times New Roman" w:hAnsi="Times New Roman" w:cs="Times New Roman"/>
          <w:i/>
          <w:iCs/>
        </w:rPr>
        <w:t>Frontiers in Psychiatry</w:t>
      </w:r>
      <w:r w:rsidRPr="00B10849">
        <w:rPr>
          <w:rFonts w:ascii="Times New Roman" w:hAnsi="Times New Roman" w:cs="Times New Roman"/>
        </w:rPr>
        <w:t xml:space="preserve">, </w:t>
      </w:r>
      <w:r w:rsidRPr="00B10849">
        <w:rPr>
          <w:rFonts w:ascii="Times New Roman" w:hAnsi="Times New Roman" w:cs="Times New Roman"/>
          <w:i/>
          <w:iCs/>
        </w:rPr>
        <w:t>13</w:t>
      </w:r>
      <w:r w:rsidRPr="00B10849">
        <w:rPr>
          <w:rFonts w:ascii="Times New Roman" w:hAnsi="Times New Roman" w:cs="Times New Roman"/>
        </w:rPr>
        <w:t>, 944888. https://doi.org/10.3389/fpsyt.2022.944888</w:t>
      </w:r>
    </w:p>
    <w:p w14:paraId="71784CBB"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Li, H., Li, N., Xing, Y., Zhang, S., Liu, C., Cai, W., &amp; Zhang, Q. (2021). P300 as a Potential Indicator in the Evaluation of Neurocognitive Disorders After Traumatic Brain Injury. </w:t>
      </w:r>
      <w:r w:rsidRPr="00B10849">
        <w:rPr>
          <w:rFonts w:ascii="Times New Roman" w:hAnsi="Times New Roman" w:cs="Times New Roman"/>
          <w:i/>
          <w:iCs/>
        </w:rPr>
        <w:t>Frontiers in Neurology</w:t>
      </w:r>
      <w:r w:rsidRPr="00B10849">
        <w:rPr>
          <w:rFonts w:ascii="Times New Roman" w:hAnsi="Times New Roman" w:cs="Times New Roman"/>
        </w:rPr>
        <w:t xml:space="preserve">, </w:t>
      </w:r>
      <w:r w:rsidRPr="00B10849">
        <w:rPr>
          <w:rFonts w:ascii="Times New Roman" w:hAnsi="Times New Roman" w:cs="Times New Roman"/>
          <w:i/>
          <w:iCs/>
        </w:rPr>
        <w:t>12</w:t>
      </w:r>
      <w:r w:rsidRPr="00B10849">
        <w:rPr>
          <w:rFonts w:ascii="Times New Roman" w:hAnsi="Times New Roman" w:cs="Times New Roman"/>
        </w:rPr>
        <w:t>, 690792. https://doi.org/10.3389/fneur.2021.690792</w:t>
      </w:r>
    </w:p>
    <w:p w14:paraId="2F2483A4"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Ling, X., Wang, S., Zhang, S., Li, W., Zhang, Q., Cai, W., &amp; Li, H. (2023). Contingent negative variation as an evaluation indicator of neurocognitive disorder after traumatic brain injury. </w:t>
      </w:r>
      <w:r w:rsidRPr="00B10849">
        <w:rPr>
          <w:rFonts w:ascii="Times New Roman" w:hAnsi="Times New Roman" w:cs="Times New Roman"/>
          <w:i/>
          <w:iCs/>
        </w:rPr>
        <w:t>Frontiers in Psychiatry</w:t>
      </w:r>
      <w:r w:rsidRPr="00B10849">
        <w:rPr>
          <w:rFonts w:ascii="Times New Roman" w:hAnsi="Times New Roman" w:cs="Times New Roman"/>
        </w:rPr>
        <w:t xml:space="preserve">, </w:t>
      </w:r>
      <w:r w:rsidRPr="00B10849">
        <w:rPr>
          <w:rFonts w:ascii="Times New Roman" w:hAnsi="Times New Roman" w:cs="Times New Roman"/>
          <w:i/>
          <w:iCs/>
        </w:rPr>
        <w:t>14</w:t>
      </w:r>
      <w:r w:rsidRPr="00B10849">
        <w:rPr>
          <w:rFonts w:ascii="Times New Roman" w:hAnsi="Times New Roman" w:cs="Times New Roman"/>
        </w:rPr>
        <w:t>. https://doi.org/10.3389/fpsyt.2023.1255608</w:t>
      </w:r>
    </w:p>
    <w:p w14:paraId="26DAFF06"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Manjila, S., Singh, G., Alkhachroum, A. M., &amp; Ramos-Estebanez, C. (2015). Understanding Edward Muybridge: Historical review of behavioral alterations after a 19th-century head injury and their multifactorial influence on human life and culture. </w:t>
      </w:r>
      <w:r w:rsidRPr="00B10849">
        <w:rPr>
          <w:rFonts w:ascii="Times New Roman" w:hAnsi="Times New Roman" w:cs="Times New Roman"/>
          <w:i/>
          <w:iCs/>
        </w:rPr>
        <w:t>Neurosurgical Focus</w:t>
      </w:r>
      <w:r w:rsidRPr="00B10849">
        <w:rPr>
          <w:rFonts w:ascii="Times New Roman" w:hAnsi="Times New Roman" w:cs="Times New Roman"/>
        </w:rPr>
        <w:t xml:space="preserve">, </w:t>
      </w:r>
      <w:r w:rsidRPr="00B10849">
        <w:rPr>
          <w:rFonts w:ascii="Times New Roman" w:hAnsi="Times New Roman" w:cs="Times New Roman"/>
          <w:i/>
          <w:iCs/>
        </w:rPr>
        <w:t>39</w:t>
      </w:r>
      <w:r w:rsidRPr="00B10849">
        <w:rPr>
          <w:rFonts w:ascii="Times New Roman" w:hAnsi="Times New Roman" w:cs="Times New Roman"/>
        </w:rPr>
        <w:t>(1), 4. https://doi.org/10.3171/2015.4.FOCUS15121</w:t>
      </w:r>
    </w:p>
    <w:p w14:paraId="3A7657DB"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Margetic, B., &amp; Margetic, B. A. (2018). Improvement of depression and cognitive dysfunction 6 years after severe traumatic brain injury. </w:t>
      </w:r>
      <w:r w:rsidRPr="00B10849">
        <w:rPr>
          <w:rFonts w:ascii="Times New Roman" w:hAnsi="Times New Roman" w:cs="Times New Roman"/>
          <w:i/>
          <w:iCs/>
        </w:rPr>
        <w:t>Psychiatric Annals</w:t>
      </w:r>
      <w:r w:rsidRPr="00B10849">
        <w:rPr>
          <w:rFonts w:ascii="Times New Roman" w:hAnsi="Times New Roman" w:cs="Times New Roman"/>
        </w:rPr>
        <w:t xml:space="preserve">, </w:t>
      </w:r>
      <w:r w:rsidRPr="00B10849">
        <w:rPr>
          <w:rFonts w:ascii="Times New Roman" w:hAnsi="Times New Roman" w:cs="Times New Roman"/>
          <w:i/>
          <w:iCs/>
        </w:rPr>
        <w:t>48</w:t>
      </w:r>
      <w:r w:rsidRPr="00B10849">
        <w:rPr>
          <w:rFonts w:ascii="Times New Roman" w:hAnsi="Times New Roman" w:cs="Times New Roman"/>
        </w:rPr>
        <w:t>(11), 528–530.</w:t>
      </w:r>
    </w:p>
    <w:p w14:paraId="69153BC1"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Marshall, J. C., Halligan, P. W., &amp; Wade, D. T. (1995). Reduplication of an event after head injury? A cautionary case report. </w:t>
      </w:r>
      <w:r w:rsidRPr="00B10849">
        <w:rPr>
          <w:rFonts w:ascii="Times New Roman" w:hAnsi="Times New Roman" w:cs="Times New Roman"/>
          <w:i/>
          <w:iCs/>
        </w:rPr>
        <w:t>Cortex</w:t>
      </w:r>
      <w:r w:rsidRPr="00B10849">
        <w:rPr>
          <w:rFonts w:ascii="Times New Roman" w:hAnsi="Times New Roman" w:cs="Times New Roman"/>
        </w:rPr>
        <w:t xml:space="preserve">, </w:t>
      </w:r>
      <w:r w:rsidRPr="00B10849">
        <w:rPr>
          <w:rFonts w:ascii="Times New Roman" w:hAnsi="Times New Roman" w:cs="Times New Roman"/>
          <w:i/>
          <w:iCs/>
        </w:rPr>
        <w:t>31</w:t>
      </w:r>
      <w:r w:rsidRPr="00B10849">
        <w:rPr>
          <w:rFonts w:ascii="Times New Roman" w:hAnsi="Times New Roman" w:cs="Times New Roman"/>
        </w:rPr>
        <w:t>(1), 183–190. https://doi.org/10.1016/s0010-9452(13)80116-5</w:t>
      </w:r>
    </w:p>
    <w:p w14:paraId="6EA25B17"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Mataró, M., Jurado, M. A., García-Sánchez, C., Barraquer, L., Costa-Jussà, F. R., &amp; Junqué, C. (2001). Long-term effects of bilateral frontal brain lesion: 60 years after injury with an iron bar. </w:t>
      </w:r>
      <w:r w:rsidRPr="00B10849">
        <w:rPr>
          <w:rFonts w:ascii="Times New Roman" w:hAnsi="Times New Roman" w:cs="Times New Roman"/>
          <w:i/>
          <w:iCs/>
        </w:rPr>
        <w:t>Arch Neurol</w:t>
      </w:r>
      <w:r w:rsidRPr="00B10849">
        <w:rPr>
          <w:rFonts w:ascii="Times New Roman" w:hAnsi="Times New Roman" w:cs="Times New Roman"/>
        </w:rPr>
        <w:t xml:space="preserve">, </w:t>
      </w:r>
      <w:r w:rsidRPr="00B10849">
        <w:rPr>
          <w:rFonts w:ascii="Times New Roman" w:hAnsi="Times New Roman" w:cs="Times New Roman"/>
          <w:i/>
          <w:iCs/>
        </w:rPr>
        <w:t>58</w:t>
      </w:r>
      <w:r w:rsidRPr="00B10849">
        <w:rPr>
          <w:rFonts w:ascii="Times New Roman" w:hAnsi="Times New Roman" w:cs="Times New Roman"/>
        </w:rPr>
        <w:t>(7), 1139–1142. https://doi.org/10.1001/archneur.58.7.1139</w:t>
      </w:r>
    </w:p>
    <w:p w14:paraId="658D647C"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Mathiesen, B. B., Simonsen, E., Soegaard, U., &amp; Kvist, K. (2014). Similarities and differences in borderline and organic personality disorder. </w:t>
      </w:r>
      <w:r w:rsidRPr="00B10849">
        <w:rPr>
          <w:rFonts w:ascii="Times New Roman" w:hAnsi="Times New Roman" w:cs="Times New Roman"/>
          <w:i/>
          <w:iCs/>
        </w:rPr>
        <w:t>Cognitive Neuropsychiatry</w:t>
      </w:r>
      <w:r w:rsidRPr="00B10849">
        <w:rPr>
          <w:rFonts w:ascii="Times New Roman" w:hAnsi="Times New Roman" w:cs="Times New Roman"/>
        </w:rPr>
        <w:t xml:space="preserve">, </w:t>
      </w:r>
      <w:r w:rsidRPr="00B10849">
        <w:rPr>
          <w:rFonts w:ascii="Times New Roman" w:hAnsi="Times New Roman" w:cs="Times New Roman"/>
          <w:i/>
          <w:iCs/>
        </w:rPr>
        <w:t>19</w:t>
      </w:r>
      <w:r w:rsidRPr="00B10849">
        <w:rPr>
          <w:rFonts w:ascii="Times New Roman" w:hAnsi="Times New Roman" w:cs="Times New Roman"/>
        </w:rPr>
        <w:t>(1), 1–16. https://doi.org/10.1080/13546805.2013.776494</w:t>
      </w:r>
    </w:p>
    <w:p w14:paraId="7C54CEDF"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McIntyre, A., Mehta, S., Janzen, S., Rice, D., Harnett, A., MacKenzie, H. M., &amp; Kamen, L. (2020). Coping strategies and personality traits among individuals with brain injury and depressive symptoms. </w:t>
      </w:r>
      <w:r w:rsidRPr="00B10849">
        <w:rPr>
          <w:rFonts w:ascii="Times New Roman" w:hAnsi="Times New Roman" w:cs="Times New Roman"/>
          <w:i/>
          <w:iCs/>
        </w:rPr>
        <w:t>NeuroRehabilitation</w:t>
      </w:r>
      <w:r w:rsidRPr="00B10849">
        <w:rPr>
          <w:rFonts w:ascii="Times New Roman" w:hAnsi="Times New Roman" w:cs="Times New Roman"/>
        </w:rPr>
        <w:t xml:space="preserve">, </w:t>
      </w:r>
      <w:r w:rsidRPr="00B10849">
        <w:rPr>
          <w:rFonts w:ascii="Times New Roman" w:hAnsi="Times New Roman" w:cs="Times New Roman"/>
          <w:i/>
          <w:iCs/>
        </w:rPr>
        <w:t>47</w:t>
      </w:r>
      <w:r w:rsidRPr="00B10849">
        <w:rPr>
          <w:rFonts w:ascii="Times New Roman" w:hAnsi="Times New Roman" w:cs="Times New Roman"/>
        </w:rPr>
        <w:t>(1), 25–34. https://doi.org/10.3233/NRE-203081</w:t>
      </w:r>
    </w:p>
    <w:p w14:paraId="5C913B71"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McKee, A. C., Cantu, R. C., Nowinski, C. J., Hedley-Whyte, T., Gavett, B. E., Budson, A. E., &amp; Stern, R. A. (2009). Chronic traumatic encephalography in athletes: Progressive tauopathy after repetitive head injury. </w:t>
      </w:r>
      <w:r w:rsidRPr="00B10849">
        <w:rPr>
          <w:rFonts w:ascii="Times New Roman" w:hAnsi="Times New Roman" w:cs="Times New Roman"/>
          <w:i/>
          <w:iCs/>
        </w:rPr>
        <w:t>Journal of Neuropathology and Experimental Neurology</w:t>
      </w:r>
      <w:r w:rsidRPr="00B10849">
        <w:rPr>
          <w:rFonts w:ascii="Times New Roman" w:hAnsi="Times New Roman" w:cs="Times New Roman"/>
        </w:rPr>
        <w:t xml:space="preserve">, </w:t>
      </w:r>
      <w:r w:rsidRPr="00B10849">
        <w:rPr>
          <w:rFonts w:ascii="Times New Roman" w:hAnsi="Times New Roman" w:cs="Times New Roman"/>
          <w:i/>
          <w:iCs/>
        </w:rPr>
        <w:t>68</w:t>
      </w:r>
      <w:r w:rsidRPr="00B10849">
        <w:rPr>
          <w:rFonts w:ascii="Times New Roman" w:hAnsi="Times New Roman" w:cs="Times New Roman"/>
        </w:rPr>
        <w:t>(7), 709–735.</w:t>
      </w:r>
    </w:p>
    <w:p w14:paraId="4AA256C3"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Menger, R., Kalakoti, P., Hanif, R., Ahmed, O., Nanda, A., &amp; Guthikonda, B. (2017). A political case of penetrating cranial trauma: The injury of James Scott Brady. </w:t>
      </w:r>
      <w:r w:rsidRPr="00B10849">
        <w:rPr>
          <w:rFonts w:ascii="Times New Roman" w:hAnsi="Times New Roman" w:cs="Times New Roman"/>
          <w:i/>
          <w:iCs/>
        </w:rPr>
        <w:t>Neurosurgery</w:t>
      </w:r>
      <w:r w:rsidRPr="00B10849">
        <w:rPr>
          <w:rFonts w:ascii="Times New Roman" w:hAnsi="Times New Roman" w:cs="Times New Roman"/>
        </w:rPr>
        <w:t xml:space="preserve">, </w:t>
      </w:r>
      <w:r w:rsidRPr="00B10849">
        <w:rPr>
          <w:rFonts w:ascii="Times New Roman" w:hAnsi="Times New Roman" w:cs="Times New Roman"/>
          <w:i/>
          <w:iCs/>
        </w:rPr>
        <w:t>81</w:t>
      </w:r>
      <w:r w:rsidRPr="00B10849">
        <w:rPr>
          <w:rFonts w:ascii="Times New Roman" w:hAnsi="Times New Roman" w:cs="Times New Roman"/>
        </w:rPr>
        <w:t>(3), 545–551. https://doi.org/10.1093/neuros/nyx152</w:t>
      </w:r>
    </w:p>
    <w:p w14:paraId="50E74238"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Merz, Z. C., Zane, K., Emmert, N. A., Lace, J., &amp; Grant, A. (2019). Examining the relationship between neuroticism and post-concussion syndrome in mild traumatic brain injury.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33</w:t>
      </w:r>
      <w:r w:rsidRPr="00B10849">
        <w:rPr>
          <w:rFonts w:ascii="Times New Roman" w:hAnsi="Times New Roman" w:cs="Times New Roman"/>
        </w:rPr>
        <w:t>(8), 1003–1011. https://doi.org/10.1080/02699052.2019.1581949</w:t>
      </w:r>
    </w:p>
    <w:p w14:paraId="52E42DD8"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Miskey, H., Shura, R., Yoash-Gantz, R., Rowland, J., Miskey, H. M., Shura, R. D., &amp; Rowland, J. A. (2015). Personality Assessment Inventory profiles of veterans: Differential effects of mild traumatic brain injury and psychopathology. </w:t>
      </w:r>
      <w:r w:rsidRPr="00B10849">
        <w:rPr>
          <w:rFonts w:ascii="Times New Roman" w:hAnsi="Times New Roman" w:cs="Times New Roman"/>
          <w:i/>
          <w:iCs/>
        </w:rPr>
        <w:t>Brain Imaging &amp; Behavior</w:t>
      </w:r>
      <w:r w:rsidRPr="00B10849">
        <w:rPr>
          <w:rFonts w:ascii="Times New Roman" w:hAnsi="Times New Roman" w:cs="Times New Roman"/>
        </w:rPr>
        <w:t xml:space="preserve">, </w:t>
      </w:r>
      <w:r w:rsidRPr="00B10849">
        <w:rPr>
          <w:rFonts w:ascii="Times New Roman" w:hAnsi="Times New Roman" w:cs="Times New Roman"/>
          <w:i/>
          <w:iCs/>
        </w:rPr>
        <w:t>9</w:t>
      </w:r>
      <w:r w:rsidRPr="00B10849">
        <w:rPr>
          <w:rFonts w:ascii="Times New Roman" w:hAnsi="Times New Roman" w:cs="Times New Roman"/>
        </w:rPr>
        <w:t>(3), 461–471. https://doi.org/10.1007/s11682-015-9391-7</w:t>
      </w:r>
    </w:p>
    <w:p w14:paraId="16BF8699"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Mundluru, J., Subhan, A., Lo, T. W. B., Churchill, N., Fornazzari, L., Munoz, D. G., &amp; Fischer, C. E. (2021). Neuropsychiatric Presentations due to Traumatic Brain Injury in Cognitively Normal Older Adults. </w:t>
      </w:r>
      <w:r w:rsidRPr="00B10849">
        <w:rPr>
          <w:rFonts w:ascii="Times New Roman" w:hAnsi="Times New Roman" w:cs="Times New Roman"/>
          <w:i/>
          <w:iCs/>
        </w:rPr>
        <w:t>Journal of Neurotrauma</w:t>
      </w:r>
      <w:r w:rsidRPr="00B10849">
        <w:rPr>
          <w:rFonts w:ascii="Times New Roman" w:hAnsi="Times New Roman" w:cs="Times New Roman"/>
        </w:rPr>
        <w:t xml:space="preserve">, </w:t>
      </w:r>
      <w:r w:rsidRPr="00B10849">
        <w:rPr>
          <w:rFonts w:ascii="Times New Roman" w:hAnsi="Times New Roman" w:cs="Times New Roman"/>
          <w:i/>
          <w:iCs/>
        </w:rPr>
        <w:t>38</w:t>
      </w:r>
      <w:r w:rsidRPr="00B10849">
        <w:rPr>
          <w:rFonts w:ascii="Times New Roman" w:hAnsi="Times New Roman" w:cs="Times New Roman"/>
        </w:rPr>
        <w:t>(5), 566–572. https://doi.org/10.1089/neu.2020.7282</w:t>
      </w:r>
    </w:p>
    <w:p w14:paraId="4C9B47DD"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Namiki, C., Yamada, M., Yoshida, H., Hanakawa, T., Fukuyama, H., &amp; Murai, T. (2008). Small orbitofrontal traumatic lesions detected by high resolution MRI in a patient with major behavioural changes. </w:t>
      </w:r>
      <w:r w:rsidRPr="00B10849">
        <w:rPr>
          <w:rFonts w:ascii="Times New Roman" w:hAnsi="Times New Roman" w:cs="Times New Roman"/>
          <w:i/>
          <w:iCs/>
        </w:rPr>
        <w:t>Neurocase (Taylor &amp; Francis Ltd</w:t>
      </w:r>
      <w:r w:rsidRPr="00B10849">
        <w:rPr>
          <w:rFonts w:ascii="Times New Roman" w:hAnsi="Times New Roman" w:cs="Times New Roman"/>
        </w:rPr>
        <w:t xml:space="preserve">, </w:t>
      </w:r>
      <w:r w:rsidRPr="00B10849">
        <w:rPr>
          <w:rFonts w:ascii="Times New Roman" w:hAnsi="Times New Roman" w:cs="Times New Roman"/>
          <w:i/>
          <w:iCs/>
        </w:rPr>
        <w:t>14</w:t>
      </w:r>
      <w:r w:rsidRPr="00B10849">
        <w:rPr>
          <w:rFonts w:ascii="Times New Roman" w:hAnsi="Times New Roman" w:cs="Times New Roman"/>
        </w:rPr>
        <w:t>(6), 474–479. https://doi.org/10.1080/13554790802459494</w:t>
      </w:r>
    </w:p>
    <w:p w14:paraId="7C20D088"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Nemeth, A. J. (1996). Behavior-descriptive data on cognitive, personality, and somatic residua after relatively mild brain trauma: Studying the syndrome as a whole. </w:t>
      </w:r>
      <w:r w:rsidRPr="00B10849">
        <w:rPr>
          <w:rFonts w:ascii="Times New Roman" w:hAnsi="Times New Roman" w:cs="Times New Roman"/>
          <w:i/>
          <w:iCs/>
        </w:rPr>
        <w:t>Archives of Clinical Neuropsychology</w:t>
      </w:r>
      <w:r w:rsidRPr="00B10849">
        <w:rPr>
          <w:rFonts w:ascii="Times New Roman" w:hAnsi="Times New Roman" w:cs="Times New Roman"/>
        </w:rPr>
        <w:t xml:space="preserve">, </w:t>
      </w:r>
      <w:r w:rsidRPr="00B10849">
        <w:rPr>
          <w:rFonts w:ascii="Times New Roman" w:hAnsi="Times New Roman" w:cs="Times New Roman"/>
          <w:i/>
          <w:iCs/>
        </w:rPr>
        <w:t>11</w:t>
      </w:r>
      <w:r w:rsidRPr="00B10849">
        <w:rPr>
          <w:rFonts w:ascii="Times New Roman" w:hAnsi="Times New Roman" w:cs="Times New Roman"/>
        </w:rPr>
        <w:t>(8), 677–695. https://doi.org/10.1016/S0887-6177</w:t>
      </w:r>
    </w:p>
    <w:p w14:paraId="11ECFD27"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Neylan, T. C. (1999). Frontal lobe function: Mr. Phineas Gage’s famous injury. </w:t>
      </w:r>
      <w:r w:rsidRPr="00B10849">
        <w:rPr>
          <w:rFonts w:ascii="Times New Roman" w:hAnsi="Times New Roman" w:cs="Times New Roman"/>
          <w:i/>
          <w:iCs/>
        </w:rPr>
        <w:t>Journal of Neuropsychiatry and Clinical Neurosciences</w:t>
      </w:r>
      <w:r w:rsidRPr="00B10849">
        <w:rPr>
          <w:rFonts w:ascii="Times New Roman" w:hAnsi="Times New Roman" w:cs="Times New Roman"/>
        </w:rPr>
        <w:t xml:space="preserve">, </w:t>
      </w:r>
      <w:r w:rsidRPr="00B10849">
        <w:rPr>
          <w:rFonts w:ascii="Times New Roman" w:hAnsi="Times New Roman" w:cs="Times New Roman"/>
          <w:i/>
          <w:iCs/>
        </w:rPr>
        <w:t>11</w:t>
      </w:r>
      <w:r w:rsidRPr="00B10849">
        <w:rPr>
          <w:rFonts w:ascii="Times New Roman" w:hAnsi="Times New Roman" w:cs="Times New Roman"/>
        </w:rPr>
        <w:t>(2), 280–281. https://doi.org/10.1176/jnp.11.2.280</w:t>
      </w:r>
    </w:p>
    <w:p w14:paraId="4BB86B81"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Norup, A., &amp; Mortensen, E. L. (2015). Prevalence and Predictors of Personality Change After Severe Brain Injury. </w:t>
      </w:r>
      <w:r w:rsidRPr="00B10849">
        <w:rPr>
          <w:rFonts w:ascii="Times New Roman" w:hAnsi="Times New Roman" w:cs="Times New Roman"/>
          <w:i/>
          <w:iCs/>
        </w:rPr>
        <w:t>Archives of Physical Medicine &amp; Rehabilitation</w:t>
      </w:r>
      <w:r w:rsidRPr="00B10849">
        <w:rPr>
          <w:rFonts w:ascii="Times New Roman" w:hAnsi="Times New Roman" w:cs="Times New Roman"/>
        </w:rPr>
        <w:t xml:space="preserve">, </w:t>
      </w:r>
      <w:r w:rsidRPr="00B10849">
        <w:rPr>
          <w:rFonts w:ascii="Times New Roman" w:hAnsi="Times New Roman" w:cs="Times New Roman"/>
          <w:i/>
          <w:iCs/>
        </w:rPr>
        <w:t>96</w:t>
      </w:r>
      <w:r w:rsidRPr="00B10849">
        <w:rPr>
          <w:rFonts w:ascii="Times New Roman" w:hAnsi="Times New Roman" w:cs="Times New Roman"/>
        </w:rPr>
        <w:t>(1), 56–62. https://doi.org/10.1016/j.apmr.2014.08.009</w:t>
      </w:r>
    </w:p>
    <w:p w14:paraId="7D00FF63"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lang w:val="es-CO"/>
        </w:rPr>
        <w:t xml:space="preserve">Nuhu, F. T., &amp; Yusuf, A. J. (2012). </w:t>
      </w:r>
      <w:r w:rsidRPr="00B10849">
        <w:rPr>
          <w:rFonts w:ascii="Times New Roman" w:hAnsi="Times New Roman" w:cs="Times New Roman"/>
        </w:rPr>
        <w:t xml:space="preserve">Psychiatric sequelae of traumatic brain injury: Retrospective analysis of 75 subjects from Kaduna, Nigeria. </w:t>
      </w:r>
      <w:r w:rsidRPr="00B10849">
        <w:rPr>
          <w:rFonts w:ascii="Times New Roman" w:hAnsi="Times New Roman" w:cs="Times New Roman"/>
          <w:i/>
          <w:iCs/>
        </w:rPr>
        <w:t>Nigerian Journal of Clinical Practice</w:t>
      </w:r>
      <w:r w:rsidRPr="00B10849">
        <w:rPr>
          <w:rFonts w:ascii="Times New Roman" w:hAnsi="Times New Roman" w:cs="Times New Roman"/>
        </w:rPr>
        <w:t xml:space="preserve">, </w:t>
      </w:r>
      <w:r w:rsidRPr="00B10849">
        <w:rPr>
          <w:rFonts w:ascii="Times New Roman" w:hAnsi="Times New Roman" w:cs="Times New Roman"/>
          <w:i/>
          <w:iCs/>
        </w:rPr>
        <w:t>15</w:t>
      </w:r>
      <w:r w:rsidRPr="00B10849">
        <w:rPr>
          <w:rFonts w:ascii="Times New Roman" w:hAnsi="Times New Roman" w:cs="Times New Roman"/>
        </w:rPr>
        <w:t>(4), 397–399. https://doi.org/10.4103/1119-3077.104510</w:t>
      </w:r>
    </w:p>
    <w:p w14:paraId="2A527CC4"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Obonsawin, M. C., Jefferis, S., Lowe, R., Crawford, J. R., Fernandes, J., Holland, L., &amp; Bowie, G. (2007). A model of personality change after traumatic brain injury and the development of the Brain Injury Personality Scales. </w:t>
      </w:r>
      <w:r w:rsidRPr="00B10849">
        <w:rPr>
          <w:rFonts w:ascii="Times New Roman" w:hAnsi="Times New Roman" w:cs="Times New Roman"/>
          <w:i/>
          <w:iCs/>
        </w:rPr>
        <w:t>Journal of Neurology, Neurosurgery &amp; Psychiatry</w:t>
      </w:r>
      <w:r w:rsidRPr="00B10849">
        <w:rPr>
          <w:rFonts w:ascii="Times New Roman" w:hAnsi="Times New Roman" w:cs="Times New Roman"/>
        </w:rPr>
        <w:t xml:space="preserve">, </w:t>
      </w:r>
      <w:r w:rsidRPr="00B10849">
        <w:rPr>
          <w:rFonts w:ascii="Times New Roman" w:hAnsi="Times New Roman" w:cs="Times New Roman"/>
          <w:i/>
          <w:iCs/>
        </w:rPr>
        <w:t>78</w:t>
      </w:r>
      <w:r w:rsidRPr="00B10849">
        <w:rPr>
          <w:rFonts w:ascii="Times New Roman" w:hAnsi="Times New Roman" w:cs="Times New Roman"/>
        </w:rPr>
        <w:t>(11), 1239–1247. https://doi.org/10.1136/jnnp.2004.052654</w:t>
      </w:r>
    </w:p>
    <w:p w14:paraId="39893229"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Oddy, M., Coughlan, T., Tyerman, A., &amp; Jenkins, D. (1985). Social adjustment after closed head injury: A further follow-up seven years after injury. </w:t>
      </w:r>
      <w:r w:rsidRPr="00B10849">
        <w:rPr>
          <w:rFonts w:ascii="Times New Roman" w:hAnsi="Times New Roman" w:cs="Times New Roman"/>
          <w:i/>
          <w:iCs/>
        </w:rPr>
        <w:t>J Neurol Neurosurg Psychiatry</w:t>
      </w:r>
      <w:r w:rsidRPr="00B10849">
        <w:rPr>
          <w:rFonts w:ascii="Times New Roman" w:hAnsi="Times New Roman" w:cs="Times New Roman"/>
        </w:rPr>
        <w:t xml:space="preserve">, </w:t>
      </w:r>
      <w:r w:rsidRPr="00B10849">
        <w:rPr>
          <w:rFonts w:ascii="Times New Roman" w:hAnsi="Times New Roman" w:cs="Times New Roman"/>
          <w:i/>
          <w:iCs/>
        </w:rPr>
        <w:t>48</w:t>
      </w:r>
      <w:r w:rsidRPr="00B10849">
        <w:rPr>
          <w:rFonts w:ascii="Times New Roman" w:hAnsi="Times New Roman" w:cs="Times New Roman"/>
        </w:rPr>
        <w:t>(6), 564–568. https://doi.org/10.1136/jnnp.48.6.564</w:t>
      </w:r>
    </w:p>
    <w:p w14:paraId="5F562942"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Oddy, M., &amp; Humphrey, M. (1980). Social recovery during the year following severe head injury. </w:t>
      </w:r>
      <w:r w:rsidRPr="00B10849">
        <w:rPr>
          <w:rFonts w:ascii="Times New Roman" w:hAnsi="Times New Roman" w:cs="Times New Roman"/>
          <w:i/>
          <w:iCs/>
        </w:rPr>
        <w:t>J Neurol Neurosurg Psychiatry</w:t>
      </w:r>
      <w:r w:rsidRPr="00B10849">
        <w:rPr>
          <w:rFonts w:ascii="Times New Roman" w:hAnsi="Times New Roman" w:cs="Times New Roman"/>
        </w:rPr>
        <w:t xml:space="preserve">, </w:t>
      </w:r>
      <w:r w:rsidRPr="00B10849">
        <w:rPr>
          <w:rFonts w:ascii="Times New Roman" w:hAnsi="Times New Roman" w:cs="Times New Roman"/>
          <w:i/>
          <w:iCs/>
        </w:rPr>
        <w:t>43</w:t>
      </w:r>
      <w:r w:rsidRPr="00B10849">
        <w:rPr>
          <w:rFonts w:ascii="Times New Roman" w:hAnsi="Times New Roman" w:cs="Times New Roman"/>
        </w:rPr>
        <w:t>(9), 798–802. https://doi.org/10.1136/jnnp.43.9.798</w:t>
      </w:r>
    </w:p>
    <w:p w14:paraId="0779A511"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O’Gorman, M. P. (2006). Two accidents—One survivor: Neurological and narcissistic damage following traumatic brain injury. </w:t>
      </w:r>
      <w:r w:rsidRPr="00B10849">
        <w:rPr>
          <w:rFonts w:ascii="Times New Roman" w:hAnsi="Times New Roman" w:cs="Times New Roman"/>
          <w:i/>
          <w:iCs/>
        </w:rPr>
        <w:t>Psychodynamic Practice</w:t>
      </w:r>
      <w:r w:rsidRPr="00B10849">
        <w:rPr>
          <w:rFonts w:ascii="Times New Roman" w:hAnsi="Times New Roman" w:cs="Times New Roman"/>
        </w:rPr>
        <w:t xml:space="preserve">, </w:t>
      </w:r>
      <w:r w:rsidRPr="00B10849">
        <w:rPr>
          <w:rFonts w:ascii="Times New Roman" w:hAnsi="Times New Roman" w:cs="Times New Roman"/>
          <w:i/>
          <w:iCs/>
        </w:rPr>
        <w:t>12</w:t>
      </w:r>
      <w:r w:rsidRPr="00B10849">
        <w:rPr>
          <w:rFonts w:ascii="Times New Roman" w:hAnsi="Times New Roman" w:cs="Times New Roman"/>
        </w:rPr>
        <w:t>(2), 133–148. https://doi.org/10.1080/14753630600644516</w:t>
      </w:r>
    </w:p>
    <w:p w14:paraId="60BE39B7"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O’Shaughnessy, E., Fowler, R., &amp; Reid, V. (1984). Sequelae of mild closed head injuries. </w:t>
      </w:r>
      <w:r w:rsidRPr="00B10849">
        <w:rPr>
          <w:rFonts w:ascii="Times New Roman" w:hAnsi="Times New Roman" w:cs="Times New Roman"/>
          <w:i/>
          <w:iCs/>
        </w:rPr>
        <w:t>The Journal of Family Practice</w:t>
      </w:r>
      <w:r w:rsidRPr="00B10849">
        <w:rPr>
          <w:rFonts w:ascii="Times New Roman" w:hAnsi="Times New Roman" w:cs="Times New Roman"/>
        </w:rPr>
        <w:t xml:space="preserve">, </w:t>
      </w:r>
      <w:r w:rsidRPr="00B10849">
        <w:rPr>
          <w:rFonts w:ascii="Times New Roman" w:hAnsi="Times New Roman" w:cs="Times New Roman"/>
          <w:i/>
          <w:iCs/>
        </w:rPr>
        <w:t>18</w:t>
      </w:r>
      <w:r w:rsidRPr="00B10849">
        <w:rPr>
          <w:rFonts w:ascii="Times New Roman" w:hAnsi="Times New Roman" w:cs="Times New Roman"/>
        </w:rPr>
        <w:t>(3). https://pubmed.ncbi.nlm.nih.gov/6699578/</w:t>
      </w:r>
    </w:p>
    <w:p w14:paraId="7CB918B0"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Pachalska, M., Bulinski, L., Jauer-Niworowska, O., Rasmus, A., Daniluk, B., Mirski, A., &amp; Kropotov, J. D. (2014). Neuropsychological functioning after traumatic injury to the orbito-frontal area: A Polish Phineas Gage. </w:t>
      </w:r>
      <w:r w:rsidRPr="00B10849">
        <w:rPr>
          <w:rFonts w:ascii="Times New Roman" w:hAnsi="Times New Roman" w:cs="Times New Roman"/>
          <w:i/>
          <w:iCs/>
        </w:rPr>
        <w:t>Acta Neuropsychologica</w:t>
      </w:r>
      <w:r w:rsidRPr="00B10849">
        <w:rPr>
          <w:rFonts w:ascii="Times New Roman" w:hAnsi="Times New Roman" w:cs="Times New Roman"/>
        </w:rPr>
        <w:t xml:space="preserve">, </w:t>
      </w:r>
      <w:r w:rsidRPr="00B10849">
        <w:rPr>
          <w:rFonts w:ascii="Times New Roman" w:hAnsi="Times New Roman" w:cs="Times New Roman"/>
          <w:i/>
          <w:iCs/>
        </w:rPr>
        <w:t>12</w:t>
      </w:r>
      <w:r w:rsidRPr="00B10849">
        <w:rPr>
          <w:rFonts w:ascii="Times New Roman" w:hAnsi="Times New Roman" w:cs="Times New Roman"/>
        </w:rPr>
        <w:t>(4), 503–516. https://doi.org/10.5604/17307503.1138851</w:t>
      </w:r>
    </w:p>
    <w:p w14:paraId="63F517C3"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Paik, H. K., Oh, C. H., Choi, K., Kim, C. E., Yoon, S. H., &amp; Chung, J. (2011). Influence of history of brain disease or brain trauma on psychopathological abnormality in young male in Korea: Analysis of multiphasic personal inventory test. </w:t>
      </w:r>
      <w:r w:rsidRPr="00B10849">
        <w:rPr>
          <w:rFonts w:ascii="Times New Roman" w:hAnsi="Times New Roman" w:cs="Times New Roman"/>
          <w:i/>
          <w:iCs/>
        </w:rPr>
        <w:t>Journal of Korean Neurosurgical Society</w:t>
      </w:r>
      <w:r w:rsidRPr="00B10849">
        <w:rPr>
          <w:rFonts w:ascii="Times New Roman" w:hAnsi="Times New Roman" w:cs="Times New Roman"/>
        </w:rPr>
        <w:t xml:space="preserve">, </w:t>
      </w:r>
      <w:r w:rsidRPr="00B10849">
        <w:rPr>
          <w:rFonts w:ascii="Times New Roman" w:hAnsi="Times New Roman" w:cs="Times New Roman"/>
          <w:i/>
          <w:iCs/>
        </w:rPr>
        <w:t>50</w:t>
      </w:r>
      <w:r w:rsidRPr="00B10849">
        <w:rPr>
          <w:rFonts w:ascii="Times New Roman" w:hAnsi="Times New Roman" w:cs="Times New Roman"/>
        </w:rPr>
        <w:t>(2), 114–118. https://doi.org/10.3340/jkns.2011.50.2.114</w:t>
      </w:r>
    </w:p>
    <w:p w14:paraId="4C9D8F8C"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Parker, R. S. (1996). The spectrum of emotional distress and personality changes after minor head injury incurred in a motor vehicle accident.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10</w:t>
      </w:r>
      <w:r w:rsidRPr="00B10849">
        <w:rPr>
          <w:rFonts w:ascii="Times New Roman" w:hAnsi="Times New Roman" w:cs="Times New Roman"/>
        </w:rPr>
        <w:t>(4), 287–302.</w:t>
      </w:r>
    </w:p>
    <w:p w14:paraId="5398C36D"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Persinger, M. A. (1993). Personality changes following brain injury as a grief response to the loss of sense of self: Phenomenological themes as indices of local lability and neurocognitive structuring as psychotherapy. </w:t>
      </w:r>
      <w:r w:rsidRPr="00B10849">
        <w:rPr>
          <w:rFonts w:ascii="Times New Roman" w:hAnsi="Times New Roman" w:cs="Times New Roman"/>
          <w:i/>
          <w:iCs/>
        </w:rPr>
        <w:t>Psychological Reports</w:t>
      </w:r>
      <w:r w:rsidRPr="00B10849">
        <w:rPr>
          <w:rFonts w:ascii="Times New Roman" w:hAnsi="Times New Roman" w:cs="Times New Roman"/>
        </w:rPr>
        <w:t xml:space="preserve">, </w:t>
      </w:r>
      <w:r w:rsidRPr="00B10849">
        <w:rPr>
          <w:rFonts w:ascii="Times New Roman" w:hAnsi="Times New Roman" w:cs="Times New Roman"/>
          <w:i/>
          <w:iCs/>
        </w:rPr>
        <w:t>72</w:t>
      </w:r>
      <w:r w:rsidRPr="00B10849">
        <w:rPr>
          <w:rFonts w:ascii="Times New Roman" w:hAnsi="Times New Roman" w:cs="Times New Roman"/>
        </w:rPr>
        <w:t>(3 Pt 2), 1059–1068.</w:t>
      </w:r>
    </w:p>
    <w:p w14:paraId="268E1713"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Prigatano, G. P., Fordyce, D. J., Zeiner, H. K., Roueche, J. R., Pepping, M., &amp; Wood, B. C. (1984). Neuropsychological rehabilitation after closed head injury in young adults. </w:t>
      </w:r>
      <w:r w:rsidRPr="00B10849">
        <w:rPr>
          <w:rFonts w:ascii="Times New Roman" w:hAnsi="Times New Roman" w:cs="Times New Roman"/>
          <w:i/>
          <w:iCs/>
        </w:rPr>
        <w:t>Journal of Neurology, Neurosurgery &amp; Psychiatry</w:t>
      </w:r>
      <w:r w:rsidRPr="00B10849">
        <w:rPr>
          <w:rFonts w:ascii="Times New Roman" w:hAnsi="Times New Roman" w:cs="Times New Roman"/>
        </w:rPr>
        <w:t xml:space="preserve">, </w:t>
      </w:r>
      <w:r w:rsidRPr="00B10849">
        <w:rPr>
          <w:rFonts w:ascii="Times New Roman" w:hAnsi="Times New Roman" w:cs="Times New Roman"/>
          <w:i/>
          <w:iCs/>
        </w:rPr>
        <w:t>47</w:t>
      </w:r>
      <w:r w:rsidRPr="00B10849">
        <w:rPr>
          <w:rFonts w:ascii="Times New Roman" w:hAnsi="Times New Roman" w:cs="Times New Roman"/>
        </w:rPr>
        <w:t>(5), 505–513.</w:t>
      </w:r>
    </w:p>
    <w:p w14:paraId="3417EBA6"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Ramanathan, D. M., Wardecker, B. M., Slocomb, J. E., &amp; Hillary, F. G. (2011). Dispositional optimism and outcome following traumatic brain injury.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25</w:t>
      </w:r>
      <w:r w:rsidRPr="00B10849">
        <w:rPr>
          <w:rFonts w:ascii="Times New Roman" w:hAnsi="Times New Roman" w:cs="Times New Roman"/>
        </w:rPr>
        <w:t>(4), 328–337. https://doi.org/10.3109/02699052.2011.554336</w:t>
      </w:r>
    </w:p>
    <w:p w14:paraId="14B81E8B"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Rao, V., Spiro, J. R., Handel, S., &amp; Onyike, C. U. (2008). Clinical correlates of personality changes associated with traumatic brain injury. </w:t>
      </w:r>
      <w:r w:rsidRPr="00B10849">
        <w:rPr>
          <w:rFonts w:ascii="Times New Roman" w:hAnsi="Times New Roman" w:cs="Times New Roman"/>
          <w:i/>
          <w:iCs/>
        </w:rPr>
        <w:t>Journal of Neuropsychiatry and Clinical Neurosciences</w:t>
      </w:r>
      <w:r w:rsidRPr="00B10849">
        <w:rPr>
          <w:rFonts w:ascii="Times New Roman" w:hAnsi="Times New Roman" w:cs="Times New Roman"/>
        </w:rPr>
        <w:t xml:space="preserve">, </w:t>
      </w:r>
      <w:r w:rsidRPr="00B10849">
        <w:rPr>
          <w:rFonts w:ascii="Times New Roman" w:hAnsi="Times New Roman" w:cs="Times New Roman"/>
          <w:i/>
          <w:iCs/>
        </w:rPr>
        <w:t>20</w:t>
      </w:r>
      <w:r w:rsidRPr="00B10849">
        <w:rPr>
          <w:rFonts w:ascii="Times New Roman" w:hAnsi="Times New Roman" w:cs="Times New Roman"/>
        </w:rPr>
        <w:t>(1), 118–119. https://doi.org/10.1176/jnp.2008.20.1.118</w:t>
      </w:r>
    </w:p>
    <w:p w14:paraId="767868CC"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lang w:val="es-CO"/>
        </w:rPr>
        <w:t xml:space="preserve">Riccitelli, G. C., Borgonovo, R., Villa, M., Pravatà, E., &amp; Kaelin-Lang, A. (2024). </w:t>
      </w:r>
      <w:r w:rsidRPr="00B10849">
        <w:rPr>
          <w:rFonts w:ascii="Times New Roman" w:hAnsi="Times New Roman" w:cs="Times New Roman"/>
        </w:rPr>
        <w:t xml:space="preserve">Efficacy of transcranial magnetic stimulation treatment in reducing neuropsychiatric symptomatology after traumatic brain injury. </w:t>
      </w:r>
      <w:r w:rsidRPr="00B10849">
        <w:rPr>
          <w:rFonts w:ascii="Times New Roman" w:hAnsi="Times New Roman" w:cs="Times New Roman"/>
          <w:i/>
          <w:iCs/>
        </w:rPr>
        <w:t>Frontiers in Neurology</w:t>
      </w:r>
      <w:r w:rsidRPr="00B10849">
        <w:rPr>
          <w:rFonts w:ascii="Times New Roman" w:hAnsi="Times New Roman" w:cs="Times New Roman"/>
        </w:rPr>
        <w:t xml:space="preserve">, </w:t>
      </w:r>
      <w:r w:rsidRPr="00B10849">
        <w:rPr>
          <w:rFonts w:ascii="Times New Roman" w:hAnsi="Times New Roman" w:cs="Times New Roman"/>
          <w:i/>
          <w:iCs/>
        </w:rPr>
        <w:t>15</w:t>
      </w:r>
      <w:r w:rsidRPr="00B10849">
        <w:rPr>
          <w:rFonts w:ascii="Times New Roman" w:hAnsi="Times New Roman" w:cs="Times New Roman"/>
        </w:rPr>
        <w:t>. https://doi.org/10.3389/fneur.2024.1412304</w:t>
      </w:r>
    </w:p>
    <w:p w14:paraId="0459640E"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Rodriguez-Bailon, M., Trivino, M., &amp; Lupianez, J. (2012). Executive attention and personality variables in patients with frontal lobe damage. </w:t>
      </w:r>
      <w:r w:rsidRPr="00B10849">
        <w:rPr>
          <w:rFonts w:ascii="Times New Roman" w:hAnsi="Times New Roman" w:cs="Times New Roman"/>
          <w:i/>
          <w:iCs/>
        </w:rPr>
        <w:t>Spanish Journal of Psychology</w:t>
      </w:r>
      <w:r w:rsidRPr="00B10849">
        <w:rPr>
          <w:rFonts w:ascii="Times New Roman" w:hAnsi="Times New Roman" w:cs="Times New Roman"/>
        </w:rPr>
        <w:t xml:space="preserve">, </w:t>
      </w:r>
      <w:r w:rsidRPr="00B10849">
        <w:rPr>
          <w:rFonts w:ascii="Times New Roman" w:hAnsi="Times New Roman" w:cs="Times New Roman"/>
          <w:i/>
          <w:iCs/>
        </w:rPr>
        <w:t>15</w:t>
      </w:r>
      <w:r w:rsidRPr="00B10849">
        <w:rPr>
          <w:rFonts w:ascii="Times New Roman" w:hAnsi="Times New Roman" w:cs="Times New Roman"/>
        </w:rPr>
        <w:t>(3), 967–977. https://doi.org/10.5209/rev-SJOP.2012.v15.n3.39388</w:t>
      </w:r>
    </w:p>
    <w:p w14:paraId="74602FFE"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Ruocco, A. C., Swirsky-Sacchetti, T., &amp; Choca, J. P. (2007). Assessing personality and psychopathology after traumatic brain injury with the Millon Clinical Multiaxial Inventory-III.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21</w:t>
      </w:r>
      <w:r w:rsidRPr="00B10849">
        <w:rPr>
          <w:rFonts w:ascii="Times New Roman" w:hAnsi="Times New Roman" w:cs="Times New Roman"/>
        </w:rPr>
        <w:t>(12), 1233–1244. https://doi.org/10.1080/02699050701716919</w:t>
      </w:r>
    </w:p>
    <w:p w14:paraId="291E2B58"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Rush, B. K., Malec, J. F., Brown, A. W., &amp; Moessne, A. M. (2006). Personality and functional outcome following traumatic brain injury. </w:t>
      </w:r>
      <w:r w:rsidRPr="00B10849">
        <w:rPr>
          <w:rFonts w:ascii="Times New Roman" w:hAnsi="Times New Roman" w:cs="Times New Roman"/>
          <w:i/>
          <w:iCs/>
        </w:rPr>
        <w:t>Rehabilitation Psychology</w:t>
      </w:r>
      <w:r w:rsidRPr="00B10849">
        <w:rPr>
          <w:rFonts w:ascii="Times New Roman" w:hAnsi="Times New Roman" w:cs="Times New Roman"/>
        </w:rPr>
        <w:t xml:space="preserve">, </w:t>
      </w:r>
      <w:r w:rsidRPr="00B10849">
        <w:rPr>
          <w:rFonts w:ascii="Times New Roman" w:hAnsi="Times New Roman" w:cs="Times New Roman"/>
          <w:i/>
          <w:iCs/>
        </w:rPr>
        <w:t>51</w:t>
      </w:r>
      <w:r w:rsidRPr="00B10849">
        <w:rPr>
          <w:rFonts w:ascii="Times New Roman" w:hAnsi="Times New Roman" w:cs="Times New Roman"/>
        </w:rPr>
        <w:t>(3), 257–264. https://doi.org/10.1037/0090-5550.51.3.257</w:t>
      </w:r>
    </w:p>
    <w:p w14:paraId="0571A36B"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Snell, B. J., Roberts, R. M., Anderson, P., &amp; David, D. J. (2014). Neuropsychologic outcomes in patients treated for complex maxillofacial trauma. </w:t>
      </w:r>
      <w:r w:rsidRPr="00B10849">
        <w:rPr>
          <w:rFonts w:ascii="Times New Roman" w:hAnsi="Times New Roman" w:cs="Times New Roman"/>
          <w:i/>
          <w:iCs/>
        </w:rPr>
        <w:t>The Journal of Craniofacial Surgery</w:t>
      </w:r>
      <w:r w:rsidRPr="00B10849">
        <w:rPr>
          <w:rFonts w:ascii="Times New Roman" w:hAnsi="Times New Roman" w:cs="Times New Roman"/>
        </w:rPr>
        <w:t xml:space="preserve">, </w:t>
      </w:r>
      <w:r w:rsidRPr="00B10849">
        <w:rPr>
          <w:rFonts w:ascii="Times New Roman" w:hAnsi="Times New Roman" w:cs="Times New Roman"/>
          <w:i/>
          <w:iCs/>
        </w:rPr>
        <w:t>25</w:t>
      </w:r>
      <w:r w:rsidRPr="00B10849">
        <w:rPr>
          <w:rFonts w:ascii="Times New Roman" w:hAnsi="Times New Roman" w:cs="Times New Roman"/>
        </w:rPr>
        <w:t>(4), 1164–1167. https://doi.org/10.1097/SCS.0000000000000779</w:t>
      </w:r>
    </w:p>
    <w:p w14:paraId="7396E82E"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Stratton, M. C., &amp; Gregory, R. J. (1995). What happens after a traumatic brain injury?: Four case studies. </w:t>
      </w:r>
      <w:r w:rsidRPr="00B10849">
        <w:rPr>
          <w:rFonts w:ascii="Times New Roman" w:hAnsi="Times New Roman" w:cs="Times New Roman"/>
          <w:i/>
          <w:iCs/>
        </w:rPr>
        <w:t>Rehabilitation Nursing : The Official Journal of the Association of Rehabilitation Nurses</w:t>
      </w:r>
      <w:r w:rsidRPr="00B10849">
        <w:rPr>
          <w:rFonts w:ascii="Times New Roman" w:hAnsi="Times New Roman" w:cs="Times New Roman"/>
        </w:rPr>
        <w:t xml:space="preserve">, </w:t>
      </w:r>
      <w:r w:rsidRPr="00B10849">
        <w:rPr>
          <w:rFonts w:ascii="Times New Roman" w:hAnsi="Times New Roman" w:cs="Times New Roman"/>
          <w:i/>
          <w:iCs/>
        </w:rPr>
        <w:t>20</w:t>
      </w:r>
      <w:r w:rsidRPr="00B10849">
        <w:rPr>
          <w:rFonts w:ascii="Times New Roman" w:hAnsi="Times New Roman" w:cs="Times New Roman"/>
        </w:rPr>
        <w:t>(6), 323–327.</w:t>
      </w:r>
    </w:p>
    <w:p w14:paraId="7F562245"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Tate, R. L. (2003). Impact of pre-injury factors on outcome after severe traumatic brain injury: Does post-traumatic personality change represent an exacerbation of premorbid traits? </w:t>
      </w:r>
      <w:r w:rsidRPr="00B10849">
        <w:rPr>
          <w:rFonts w:ascii="Times New Roman" w:hAnsi="Times New Roman" w:cs="Times New Roman"/>
          <w:i/>
          <w:iCs/>
        </w:rPr>
        <w:t>Neuropsychological Rehabilitation</w:t>
      </w:r>
      <w:r w:rsidRPr="00B10849">
        <w:rPr>
          <w:rFonts w:ascii="Times New Roman" w:hAnsi="Times New Roman" w:cs="Times New Roman"/>
        </w:rPr>
        <w:t xml:space="preserve">, </w:t>
      </w:r>
      <w:r w:rsidRPr="00B10849">
        <w:rPr>
          <w:rFonts w:ascii="Times New Roman" w:hAnsi="Times New Roman" w:cs="Times New Roman"/>
          <w:i/>
          <w:iCs/>
        </w:rPr>
        <w:t>13</w:t>
      </w:r>
      <w:r w:rsidRPr="00B10849">
        <w:rPr>
          <w:rFonts w:ascii="Times New Roman" w:hAnsi="Times New Roman" w:cs="Times New Roman"/>
        </w:rPr>
        <w:t>(1–2), 43–64. https://doi.org/10.1080/09602010244000372</w:t>
      </w:r>
    </w:p>
    <w:p w14:paraId="266DB11F"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Tate, R. L., Fenelon, B., Manning, M. L., &amp; Hunter, M. (1991). Patterns of neuropsychological impairment after severe blunt head injury. </w:t>
      </w:r>
      <w:r w:rsidRPr="00B10849">
        <w:rPr>
          <w:rFonts w:ascii="Times New Roman" w:hAnsi="Times New Roman" w:cs="Times New Roman"/>
          <w:i/>
          <w:iCs/>
        </w:rPr>
        <w:t>The Journal of Nervous and Mental Disease</w:t>
      </w:r>
      <w:r w:rsidRPr="00B10849">
        <w:rPr>
          <w:rFonts w:ascii="Times New Roman" w:hAnsi="Times New Roman" w:cs="Times New Roman"/>
        </w:rPr>
        <w:t xml:space="preserve">, </w:t>
      </w:r>
      <w:r w:rsidRPr="00B10849">
        <w:rPr>
          <w:rFonts w:ascii="Times New Roman" w:hAnsi="Times New Roman" w:cs="Times New Roman"/>
          <w:i/>
          <w:iCs/>
        </w:rPr>
        <w:t>179</w:t>
      </w:r>
      <w:r w:rsidRPr="00B10849">
        <w:rPr>
          <w:rFonts w:ascii="Times New Roman" w:hAnsi="Times New Roman" w:cs="Times New Roman"/>
        </w:rPr>
        <w:t>(3), 117–126.</w:t>
      </w:r>
    </w:p>
    <w:p w14:paraId="5930B612"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Thomsen, I. V. (1981). Neuropsychological treatment and longtime follow-up in an aphasic patient with very severe head trauma. </w:t>
      </w:r>
      <w:r w:rsidRPr="00B10849">
        <w:rPr>
          <w:rFonts w:ascii="Times New Roman" w:hAnsi="Times New Roman" w:cs="Times New Roman"/>
          <w:i/>
          <w:iCs/>
        </w:rPr>
        <w:t>Journal of Clinical Neuropsychology</w:t>
      </w:r>
      <w:r w:rsidRPr="00B10849">
        <w:rPr>
          <w:rFonts w:ascii="Times New Roman" w:hAnsi="Times New Roman" w:cs="Times New Roman"/>
        </w:rPr>
        <w:t xml:space="preserve">, </w:t>
      </w:r>
      <w:r w:rsidRPr="00B10849">
        <w:rPr>
          <w:rFonts w:ascii="Times New Roman" w:hAnsi="Times New Roman" w:cs="Times New Roman"/>
          <w:i/>
          <w:iCs/>
        </w:rPr>
        <w:t>3</w:t>
      </w:r>
      <w:r w:rsidRPr="00B10849">
        <w:rPr>
          <w:rFonts w:ascii="Times New Roman" w:hAnsi="Times New Roman" w:cs="Times New Roman"/>
        </w:rPr>
        <w:t>(1), 43–51.</w:t>
      </w:r>
    </w:p>
    <w:p w14:paraId="3CC5B924"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Thomsen, I. V. (1984). Late outcome of very severe blunt head trauma: A 10-15 year second follow-up. </w:t>
      </w:r>
      <w:r w:rsidRPr="00B10849">
        <w:rPr>
          <w:rFonts w:ascii="Times New Roman" w:hAnsi="Times New Roman" w:cs="Times New Roman"/>
          <w:i/>
          <w:iCs/>
        </w:rPr>
        <w:t>J Neurol Neurosurg Psychiatry</w:t>
      </w:r>
      <w:r w:rsidRPr="00B10849">
        <w:rPr>
          <w:rFonts w:ascii="Times New Roman" w:hAnsi="Times New Roman" w:cs="Times New Roman"/>
        </w:rPr>
        <w:t xml:space="preserve">, </w:t>
      </w:r>
      <w:r w:rsidRPr="00B10849">
        <w:rPr>
          <w:rFonts w:ascii="Times New Roman" w:hAnsi="Times New Roman" w:cs="Times New Roman"/>
          <w:i/>
          <w:iCs/>
        </w:rPr>
        <w:t>47</w:t>
      </w:r>
      <w:r w:rsidRPr="00B10849">
        <w:rPr>
          <w:rFonts w:ascii="Times New Roman" w:hAnsi="Times New Roman" w:cs="Times New Roman"/>
        </w:rPr>
        <w:t>(3), 260–268. https://doi.org/10.1136/jnnp.47.3.260</w:t>
      </w:r>
    </w:p>
    <w:p w14:paraId="085C6370"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Tsai, Y.-C., Liu, C.-J., Huang, H.-C., Lin, J.-H., Chen, P.-Y., Su, Y.-K., Chen, C.-T., &amp; Chiu, H.-Y. (2021). A Meta-analysis of Dynamic Prevalence of Cognitive Deficits in the Acute, Subacute, and Chronic Phases After Traumatic Brain Injury. </w:t>
      </w:r>
      <w:r w:rsidRPr="00B10849">
        <w:rPr>
          <w:rFonts w:ascii="Times New Roman" w:hAnsi="Times New Roman" w:cs="Times New Roman"/>
          <w:i/>
          <w:iCs/>
        </w:rPr>
        <w:t>Journal of Neuroscience Nursing</w:t>
      </w:r>
      <w:r w:rsidRPr="00B10849">
        <w:rPr>
          <w:rFonts w:ascii="Times New Roman" w:hAnsi="Times New Roman" w:cs="Times New Roman"/>
        </w:rPr>
        <w:t xml:space="preserve">, </w:t>
      </w:r>
      <w:r w:rsidRPr="00B10849">
        <w:rPr>
          <w:rFonts w:ascii="Times New Roman" w:hAnsi="Times New Roman" w:cs="Times New Roman"/>
          <w:i/>
          <w:iCs/>
        </w:rPr>
        <w:t>53</w:t>
      </w:r>
      <w:r w:rsidRPr="00B10849">
        <w:rPr>
          <w:rFonts w:ascii="Times New Roman" w:hAnsi="Times New Roman" w:cs="Times New Roman"/>
        </w:rPr>
        <w:t>(2), 63. https://doi.org/10.1097/JNN.0000000000000570</w:t>
      </w:r>
    </w:p>
    <w:p w14:paraId="5B5F6C7E"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Tuokko, H., Vernon-Wilkinson, R., &amp; Robinson, E. (1991). The use of the MCMI in the personality assessment of head-injured adults. </w:t>
      </w:r>
      <w:r w:rsidRPr="00B10849">
        <w:rPr>
          <w:rFonts w:ascii="Times New Roman" w:hAnsi="Times New Roman" w:cs="Times New Roman"/>
          <w:i/>
          <w:iCs/>
        </w:rPr>
        <w:t>Brain Inj</w:t>
      </w:r>
      <w:r w:rsidRPr="00B10849">
        <w:rPr>
          <w:rFonts w:ascii="Times New Roman" w:hAnsi="Times New Roman" w:cs="Times New Roman"/>
        </w:rPr>
        <w:t xml:space="preserve">, </w:t>
      </w:r>
      <w:r w:rsidRPr="00B10849">
        <w:rPr>
          <w:rFonts w:ascii="Times New Roman" w:hAnsi="Times New Roman" w:cs="Times New Roman"/>
          <w:i/>
          <w:iCs/>
        </w:rPr>
        <w:t>5</w:t>
      </w:r>
      <w:r w:rsidRPr="00B10849">
        <w:rPr>
          <w:rFonts w:ascii="Times New Roman" w:hAnsi="Times New Roman" w:cs="Times New Roman"/>
        </w:rPr>
        <w:t>(3), 287–293. https://doi.org/10.3109/02699059109008098</w:t>
      </w:r>
    </w:p>
    <w:p w14:paraId="76D20F70"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Van Reekum, R., Bolago, I., Finlayson, M. A. J., Garner, S., &amp; Links, P. S. (1996). Psychiatric disorders after traumatic brain injury.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10</w:t>
      </w:r>
      <w:r w:rsidRPr="00B10849">
        <w:rPr>
          <w:rFonts w:ascii="Times New Roman" w:hAnsi="Times New Roman" w:cs="Times New Roman"/>
        </w:rPr>
        <w:t>(5), 319–328.</w:t>
      </w:r>
    </w:p>
    <w:p w14:paraId="73A72A94"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Weddell, R. A., &amp; Leggett, J. A. (2006). Factors triggering relatives’ judgements of personality change after traumatic brain injury.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20</w:t>
      </w:r>
      <w:r w:rsidRPr="00B10849">
        <w:rPr>
          <w:rFonts w:ascii="Times New Roman" w:hAnsi="Times New Roman" w:cs="Times New Roman"/>
        </w:rPr>
        <w:t>(12), 1221–1234. https://doi.org/10.1080/02699050601049783</w:t>
      </w:r>
    </w:p>
    <w:p w14:paraId="6F19695F"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Weddell, R. A., &amp; Wood, R. L. (2016). Exploration of correlates of self-reported personality change after moderate–severe traumatic brain injury.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30</w:t>
      </w:r>
      <w:r w:rsidRPr="00B10849">
        <w:rPr>
          <w:rFonts w:ascii="Times New Roman" w:hAnsi="Times New Roman" w:cs="Times New Roman"/>
        </w:rPr>
        <w:t>(11), 1362–1371. https://doi.org/10.1080/02699052.2016.1195921</w:t>
      </w:r>
    </w:p>
    <w:p w14:paraId="3CEC5A39"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Weddell, R. A., &amp; Wood, R. L. (2018). Perceived personality change after traumatic brain injury II: comparing participant and informant perspectives. </w:t>
      </w:r>
      <w:r w:rsidRPr="00B10849">
        <w:rPr>
          <w:rFonts w:ascii="Times New Roman" w:hAnsi="Times New Roman" w:cs="Times New Roman"/>
          <w:i/>
          <w:iCs/>
        </w:rPr>
        <w:t>Brain Injury</w:t>
      </w:r>
      <w:r w:rsidRPr="00B10849">
        <w:rPr>
          <w:rFonts w:ascii="Times New Roman" w:hAnsi="Times New Roman" w:cs="Times New Roman"/>
        </w:rPr>
        <w:t xml:space="preserve">, </w:t>
      </w:r>
      <w:r w:rsidRPr="00B10849">
        <w:rPr>
          <w:rFonts w:ascii="Times New Roman" w:hAnsi="Times New Roman" w:cs="Times New Roman"/>
          <w:i/>
          <w:iCs/>
        </w:rPr>
        <w:t>32</w:t>
      </w:r>
      <w:r w:rsidRPr="00B10849">
        <w:rPr>
          <w:rFonts w:ascii="Times New Roman" w:hAnsi="Times New Roman" w:cs="Times New Roman"/>
        </w:rPr>
        <w:t>(4), 442–452. https://doi.org/10.1080/02699052.2018.1429657</w:t>
      </w:r>
    </w:p>
    <w:p w14:paraId="524E0829"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Weddell, R., Oddy, M., &amp; Jenkins, D. (1980). Social adjustment after rehabilitation: A two year follow-up of patients with severe head injury. </w:t>
      </w:r>
      <w:r w:rsidRPr="00B10849">
        <w:rPr>
          <w:rFonts w:ascii="Times New Roman" w:hAnsi="Times New Roman" w:cs="Times New Roman"/>
          <w:i/>
          <w:iCs/>
        </w:rPr>
        <w:t>Psychological Medicine</w:t>
      </w:r>
      <w:r w:rsidRPr="00B10849">
        <w:rPr>
          <w:rFonts w:ascii="Times New Roman" w:hAnsi="Times New Roman" w:cs="Times New Roman"/>
        </w:rPr>
        <w:t xml:space="preserve">, </w:t>
      </w:r>
      <w:r w:rsidRPr="00B10849">
        <w:rPr>
          <w:rFonts w:ascii="Times New Roman" w:hAnsi="Times New Roman" w:cs="Times New Roman"/>
          <w:i/>
          <w:iCs/>
        </w:rPr>
        <w:t>10</w:t>
      </w:r>
      <w:r w:rsidRPr="00B10849">
        <w:rPr>
          <w:rFonts w:ascii="Times New Roman" w:hAnsi="Times New Roman" w:cs="Times New Roman"/>
        </w:rPr>
        <w:t>(2), 257–263. https://doi.org/10.1017/S0033291700044019</w:t>
      </w:r>
    </w:p>
    <w:p w14:paraId="169BE35D"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Wong, C. G., Rapport, L. J., Meachen, S.-J., Hanks, R. A., &amp; Lumley, M. A. (2016). Behavioral inhibition and activation systems in traumatic brain injury. </w:t>
      </w:r>
      <w:r w:rsidRPr="00B10849">
        <w:rPr>
          <w:rFonts w:ascii="Times New Roman" w:hAnsi="Times New Roman" w:cs="Times New Roman"/>
          <w:i/>
          <w:iCs/>
        </w:rPr>
        <w:t>Rehabilitation Psychology</w:t>
      </w:r>
      <w:r w:rsidRPr="00B10849">
        <w:rPr>
          <w:rFonts w:ascii="Times New Roman" w:hAnsi="Times New Roman" w:cs="Times New Roman"/>
        </w:rPr>
        <w:t xml:space="preserve">, </w:t>
      </w:r>
      <w:r w:rsidRPr="00B10849">
        <w:rPr>
          <w:rFonts w:ascii="Times New Roman" w:hAnsi="Times New Roman" w:cs="Times New Roman"/>
          <w:i/>
          <w:iCs/>
        </w:rPr>
        <w:t>61</w:t>
      </w:r>
      <w:r w:rsidRPr="00B10849">
        <w:rPr>
          <w:rFonts w:ascii="Times New Roman" w:hAnsi="Times New Roman" w:cs="Times New Roman"/>
        </w:rPr>
        <w:t>(4), 397–407. https://doi.org/10.1037/rep0000109</w:t>
      </w:r>
    </w:p>
    <w:p w14:paraId="756E31C9" w14:textId="77777777" w:rsidR="00BE34D6" w:rsidRPr="00B10849" w:rsidRDefault="00BE34D6" w:rsidP="00546F88">
      <w:pPr>
        <w:pStyle w:val="Bibliography"/>
        <w:spacing w:line="276" w:lineRule="auto"/>
        <w:rPr>
          <w:rFonts w:ascii="Times New Roman" w:hAnsi="Times New Roman" w:cs="Times New Roman"/>
        </w:rPr>
      </w:pPr>
      <w:r w:rsidRPr="00B10849">
        <w:rPr>
          <w:rFonts w:ascii="Times New Roman" w:hAnsi="Times New Roman" w:cs="Times New Roman"/>
        </w:rPr>
        <w:t xml:space="preserve">Wood, R. L., &amp; Rutterford, N. A. (2004). Relationships between measured cognitive ability and reported psychosocial activity after bilateral frontal lobe injury: An 18‐year follow‐up. </w:t>
      </w:r>
      <w:r w:rsidRPr="00B10849">
        <w:rPr>
          <w:rFonts w:ascii="Times New Roman" w:hAnsi="Times New Roman" w:cs="Times New Roman"/>
          <w:i/>
          <w:iCs/>
        </w:rPr>
        <w:t>Neuropsychological Rehabilitation</w:t>
      </w:r>
      <w:r w:rsidRPr="00B10849">
        <w:rPr>
          <w:rFonts w:ascii="Times New Roman" w:hAnsi="Times New Roman" w:cs="Times New Roman"/>
        </w:rPr>
        <w:t xml:space="preserve">, </w:t>
      </w:r>
      <w:r w:rsidRPr="00B10849">
        <w:rPr>
          <w:rFonts w:ascii="Times New Roman" w:hAnsi="Times New Roman" w:cs="Times New Roman"/>
          <w:i/>
          <w:iCs/>
        </w:rPr>
        <w:t>14</w:t>
      </w:r>
      <w:r w:rsidRPr="00B10849">
        <w:rPr>
          <w:rFonts w:ascii="Times New Roman" w:hAnsi="Times New Roman" w:cs="Times New Roman"/>
        </w:rPr>
        <w:t>(3), 329–350.</w:t>
      </w:r>
    </w:p>
    <w:p w14:paraId="4CCD68DA" w14:textId="7C058425" w:rsidR="00EF3FE4" w:rsidRPr="00B10849" w:rsidRDefault="00531359" w:rsidP="00546F88">
      <w:pPr>
        <w:spacing w:after="0" w:line="276" w:lineRule="auto"/>
        <w:rPr>
          <w:rFonts w:ascii="Times New Roman" w:hAnsi="Times New Roman" w:cs="Times New Roman"/>
        </w:rPr>
      </w:pPr>
      <w:r w:rsidRPr="00B10849">
        <w:rPr>
          <w:rFonts w:ascii="Times New Roman" w:hAnsi="Times New Roman" w:cs="Times New Roman"/>
        </w:rPr>
        <w:fldChar w:fldCharType="end"/>
      </w:r>
    </w:p>
    <w:p w14:paraId="51C0D986" w14:textId="77777777" w:rsidR="0051357F" w:rsidRPr="00B10849" w:rsidRDefault="0051357F" w:rsidP="00546F88">
      <w:pPr>
        <w:spacing w:after="0" w:line="276" w:lineRule="auto"/>
        <w:rPr>
          <w:rFonts w:ascii="Times New Roman" w:hAnsi="Times New Roman" w:cs="Times New Roman"/>
          <w:i/>
          <w:iCs/>
        </w:rPr>
      </w:pPr>
    </w:p>
    <w:bookmarkEnd w:id="0"/>
    <w:p w14:paraId="7A7F10D1" w14:textId="77777777" w:rsidR="0051357F" w:rsidRPr="00B10849" w:rsidRDefault="0051357F" w:rsidP="00546F88">
      <w:pPr>
        <w:spacing w:after="0" w:line="276" w:lineRule="auto"/>
        <w:rPr>
          <w:rFonts w:ascii="Times New Roman" w:hAnsi="Times New Roman" w:cs="Times New Roman"/>
        </w:rPr>
      </w:pPr>
    </w:p>
    <w:sectPr w:rsidR="0051357F" w:rsidRPr="00B10849" w:rsidSect="00B1084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433BD9" w14:textId="77777777" w:rsidR="0041767B" w:rsidRDefault="0041767B" w:rsidP="006F6AE8">
      <w:pPr>
        <w:spacing w:after="0" w:line="240" w:lineRule="auto"/>
      </w:pPr>
      <w:r>
        <w:separator/>
      </w:r>
    </w:p>
  </w:endnote>
  <w:endnote w:type="continuationSeparator" w:id="0">
    <w:p w14:paraId="2FF1480C" w14:textId="77777777" w:rsidR="0041767B" w:rsidRDefault="0041767B" w:rsidP="006F6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373B9D" w14:textId="77777777" w:rsidR="006F6AE8" w:rsidRPr="009C4AAC" w:rsidRDefault="006F6AE8">
    <w:pPr>
      <w:pStyle w:val="Footer"/>
      <w:jc w:val="center"/>
      <w:rPr>
        <w:rFonts w:ascii="Times New Roman" w:hAnsi="Times New Roman" w:cs="Times New Roman"/>
        <w:caps/>
        <w:noProof/>
      </w:rPr>
    </w:pPr>
    <w:r w:rsidRPr="009C4AAC">
      <w:rPr>
        <w:rFonts w:ascii="Times New Roman" w:hAnsi="Times New Roman" w:cs="Times New Roman"/>
        <w:caps/>
      </w:rPr>
      <w:fldChar w:fldCharType="begin"/>
    </w:r>
    <w:r w:rsidRPr="009C4AAC">
      <w:rPr>
        <w:rFonts w:ascii="Times New Roman" w:hAnsi="Times New Roman" w:cs="Times New Roman"/>
        <w:caps/>
      </w:rPr>
      <w:instrText xml:space="preserve"> PAGE   \* MERGEFORMAT </w:instrText>
    </w:r>
    <w:r w:rsidRPr="009C4AAC">
      <w:rPr>
        <w:rFonts w:ascii="Times New Roman" w:hAnsi="Times New Roman" w:cs="Times New Roman"/>
        <w:caps/>
      </w:rPr>
      <w:fldChar w:fldCharType="separate"/>
    </w:r>
    <w:r w:rsidRPr="009C4AAC">
      <w:rPr>
        <w:rFonts w:ascii="Times New Roman" w:hAnsi="Times New Roman" w:cs="Times New Roman"/>
        <w:caps/>
        <w:noProof/>
      </w:rPr>
      <w:t>2</w:t>
    </w:r>
    <w:r w:rsidRPr="009C4AAC">
      <w:rPr>
        <w:rFonts w:ascii="Times New Roman" w:hAnsi="Times New Roman" w:cs="Times New Roman"/>
        <w:caps/>
        <w:noProof/>
      </w:rPr>
      <w:fldChar w:fldCharType="end"/>
    </w:r>
  </w:p>
  <w:p w14:paraId="099B4C2F" w14:textId="77777777" w:rsidR="006F6AE8" w:rsidRDefault="006F6A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1EFA5C" w14:textId="77777777" w:rsidR="0041767B" w:rsidRDefault="0041767B" w:rsidP="006F6AE8">
      <w:pPr>
        <w:spacing w:after="0" w:line="240" w:lineRule="auto"/>
      </w:pPr>
      <w:r>
        <w:separator/>
      </w:r>
    </w:p>
  </w:footnote>
  <w:footnote w:type="continuationSeparator" w:id="0">
    <w:p w14:paraId="02F772BE" w14:textId="77777777" w:rsidR="0041767B" w:rsidRDefault="0041767B" w:rsidP="006F6A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0C7"/>
    <w:rsid w:val="00013D89"/>
    <w:rsid w:val="00031BFE"/>
    <w:rsid w:val="000346B4"/>
    <w:rsid w:val="00063DD5"/>
    <w:rsid w:val="00067F44"/>
    <w:rsid w:val="00073261"/>
    <w:rsid w:val="000952BE"/>
    <w:rsid w:val="000A0DCC"/>
    <w:rsid w:val="000A1DEA"/>
    <w:rsid w:val="000A3FC0"/>
    <w:rsid w:val="000B114E"/>
    <w:rsid w:val="000B61A6"/>
    <w:rsid w:val="000D60E6"/>
    <w:rsid w:val="000D7386"/>
    <w:rsid w:val="00112104"/>
    <w:rsid w:val="00164956"/>
    <w:rsid w:val="00184C67"/>
    <w:rsid w:val="0019701D"/>
    <w:rsid w:val="001C3F5B"/>
    <w:rsid w:val="001E2A44"/>
    <w:rsid w:val="00201DB7"/>
    <w:rsid w:val="00234AF1"/>
    <w:rsid w:val="00255A05"/>
    <w:rsid w:val="00256F05"/>
    <w:rsid w:val="0026620C"/>
    <w:rsid w:val="002824BA"/>
    <w:rsid w:val="002831C8"/>
    <w:rsid w:val="002C1228"/>
    <w:rsid w:val="002C3CB1"/>
    <w:rsid w:val="002E0739"/>
    <w:rsid w:val="002E59F6"/>
    <w:rsid w:val="002F0973"/>
    <w:rsid w:val="00314FE4"/>
    <w:rsid w:val="00322B3C"/>
    <w:rsid w:val="00322DCE"/>
    <w:rsid w:val="00323A52"/>
    <w:rsid w:val="00335AFA"/>
    <w:rsid w:val="0035763A"/>
    <w:rsid w:val="0037298E"/>
    <w:rsid w:val="00376761"/>
    <w:rsid w:val="00384D6C"/>
    <w:rsid w:val="003901B5"/>
    <w:rsid w:val="00391157"/>
    <w:rsid w:val="00392788"/>
    <w:rsid w:val="003B7083"/>
    <w:rsid w:val="003C3840"/>
    <w:rsid w:val="003E3699"/>
    <w:rsid w:val="003E50C7"/>
    <w:rsid w:val="003F0F59"/>
    <w:rsid w:val="004037C5"/>
    <w:rsid w:val="00416B8E"/>
    <w:rsid w:val="0041767B"/>
    <w:rsid w:val="004204F0"/>
    <w:rsid w:val="004206B3"/>
    <w:rsid w:val="004211AF"/>
    <w:rsid w:val="00421A78"/>
    <w:rsid w:val="00427711"/>
    <w:rsid w:val="00461563"/>
    <w:rsid w:val="00467E2B"/>
    <w:rsid w:val="004841F4"/>
    <w:rsid w:val="00486AE5"/>
    <w:rsid w:val="00496A6F"/>
    <w:rsid w:val="004A1D16"/>
    <w:rsid w:val="004A7DD3"/>
    <w:rsid w:val="004B2BD0"/>
    <w:rsid w:val="004B503F"/>
    <w:rsid w:val="004B5FD2"/>
    <w:rsid w:val="004D3A61"/>
    <w:rsid w:val="00500750"/>
    <w:rsid w:val="0051357F"/>
    <w:rsid w:val="00514FA0"/>
    <w:rsid w:val="00531359"/>
    <w:rsid w:val="0053137C"/>
    <w:rsid w:val="00533E46"/>
    <w:rsid w:val="005374BE"/>
    <w:rsid w:val="00545352"/>
    <w:rsid w:val="00546F88"/>
    <w:rsid w:val="00552924"/>
    <w:rsid w:val="005E2EA3"/>
    <w:rsid w:val="005F189E"/>
    <w:rsid w:val="005F4497"/>
    <w:rsid w:val="00601E75"/>
    <w:rsid w:val="0061462E"/>
    <w:rsid w:val="00615B98"/>
    <w:rsid w:val="00626573"/>
    <w:rsid w:val="00642E26"/>
    <w:rsid w:val="00654B82"/>
    <w:rsid w:val="00663504"/>
    <w:rsid w:val="00671A7F"/>
    <w:rsid w:val="00676164"/>
    <w:rsid w:val="00680B78"/>
    <w:rsid w:val="00682FFB"/>
    <w:rsid w:val="006A15C2"/>
    <w:rsid w:val="006C1ED0"/>
    <w:rsid w:val="006D37D3"/>
    <w:rsid w:val="006D77C1"/>
    <w:rsid w:val="006E331F"/>
    <w:rsid w:val="006F6AE8"/>
    <w:rsid w:val="00702BD5"/>
    <w:rsid w:val="00715157"/>
    <w:rsid w:val="00717FAA"/>
    <w:rsid w:val="0072088D"/>
    <w:rsid w:val="007443BA"/>
    <w:rsid w:val="0074448E"/>
    <w:rsid w:val="00764549"/>
    <w:rsid w:val="007715B7"/>
    <w:rsid w:val="007916CE"/>
    <w:rsid w:val="00795FA2"/>
    <w:rsid w:val="007A1CBC"/>
    <w:rsid w:val="007B705B"/>
    <w:rsid w:val="007D5D82"/>
    <w:rsid w:val="007E0BFD"/>
    <w:rsid w:val="007F644F"/>
    <w:rsid w:val="00806899"/>
    <w:rsid w:val="0080775F"/>
    <w:rsid w:val="00826131"/>
    <w:rsid w:val="00827018"/>
    <w:rsid w:val="00831827"/>
    <w:rsid w:val="008808B5"/>
    <w:rsid w:val="00892541"/>
    <w:rsid w:val="008B4137"/>
    <w:rsid w:val="008B417C"/>
    <w:rsid w:val="008C3462"/>
    <w:rsid w:val="008E1BC0"/>
    <w:rsid w:val="009068FA"/>
    <w:rsid w:val="00923B5D"/>
    <w:rsid w:val="00927D47"/>
    <w:rsid w:val="00934CF3"/>
    <w:rsid w:val="00943FD7"/>
    <w:rsid w:val="00977F03"/>
    <w:rsid w:val="009925A3"/>
    <w:rsid w:val="009C4AAC"/>
    <w:rsid w:val="00A72141"/>
    <w:rsid w:val="00AB077D"/>
    <w:rsid w:val="00AB21EE"/>
    <w:rsid w:val="00AE7E92"/>
    <w:rsid w:val="00AF701C"/>
    <w:rsid w:val="00AF7740"/>
    <w:rsid w:val="00B02BD1"/>
    <w:rsid w:val="00B10849"/>
    <w:rsid w:val="00B146F9"/>
    <w:rsid w:val="00B305CA"/>
    <w:rsid w:val="00B402FA"/>
    <w:rsid w:val="00B61534"/>
    <w:rsid w:val="00B77F6A"/>
    <w:rsid w:val="00B83F0A"/>
    <w:rsid w:val="00B9168D"/>
    <w:rsid w:val="00BA5FA5"/>
    <w:rsid w:val="00BA7597"/>
    <w:rsid w:val="00BA7849"/>
    <w:rsid w:val="00BD4C5B"/>
    <w:rsid w:val="00BE1D9F"/>
    <w:rsid w:val="00BE34D6"/>
    <w:rsid w:val="00BF59C5"/>
    <w:rsid w:val="00C02704"/>
    <w:rsid w:val="00C1359F"/>
    <w:rsid w:val="00C351BC"/>
    <w:rsid w:val="00C47608"/>
    <w:rsid w:val="00C57C0F"/>
    <w:rsid w:val="00C60238"/>
    <w:rsid w:val="00C6307A"/>
    <w:rsid w:val="00CB5D24"/>
    <w:rsid w:val="00CC1670"/>
    <w:rsid w:val="00CC3DAA"/>
    <w:rsid w:val="00CE2D62"/>
    <w:rsid w:val="00CF0113"/>
    <w:rsid w:val="00D24B3F"/>
    <w:rsid w:val="00D267AB"/>
    <w:rsid w:val="00D32272"/>
    <w:rsid w:val="00D825AC"/>
    <w:rsid w:val="00D86979"/>
    <w:rsid w:val="00D96F92"/>
    <w:rsid w:val="00DA5445"/>
    <w:rsid w:val="00DA5C6E"/>
    <w:rsid w:val="00DC7614"/>
    <w:rsid w:val="00DD1AC2"/>
    <w:rsid w:val="00DD4656"/>
    <w:rsid w:val="00DE610A"/>
    <w:rsid w:val="00E01CF5"/>
    <w:rsid w:val="00E10F3C"/>
    <w:rsid w:val="00E24480"/>
    <w:rsid w:val="00E24B37"/>
    <w:rsid w:val="00E44008"/>
    <w:rsid w:val="00E461AA"/>
    <w:rsid w:val="00E53F36"/>
    <w:rsid w:val="00E664CE"/>
    <w:rsid w:val="00E72F24"/>
    <w:rsid w:val="00E7350F"/>
    <w:rsid w:val="00E8789B"/>
    <w:rsid w:val="00EA08F0"/>
    <w:rsid w:val="00EA210A"/>
    <w:rsid w:val="00EB7187"/>
    <w:rsid w:val="00EC6AC6"/>
    <w:rsid w:val="00ED11D2"/>
    <w:rsid w:val="00EF3FE4"/>
    <w:rsid w:val="00EF644C"/>
    <w:rsid w:val="00EF7982"/>
    <w:rsid w:val="00F032E9"/>
    <w:rsid w:val="00F1222E"/>
    <w:rsid w:val="00F154B8"/>
    <w:rsid w:val="00F343C3"/>
    <w:rsid w:val="00F4279B"/>
    <w:rsid w:val="00F435A7"/>
    <w:rsid w:val="00F44D9E"/>
    <w:rsid w:val="00F46537"/>
    <w:rsid w:val="00F86721"/>
    <w:rsid w:val="00FA114B"/>
    <w:rsid w:val="00FC481B"/>
    <w:rsid w:val="00FD5974"/>
    <w:rsid w:val="00FF4E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7FE81"/>
  <w15:chartTrackingRefBased/>
  <w15:docId w15:val="{949E6346-B6D6-4E80-BCF0-495AC6467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E5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0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0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50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50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0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0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0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0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50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0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0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50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50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0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0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0C7"/>
    <w:rPr>
      <w:rFonts w:eastAsiaTheme="majorEastAsia" w:cstheme="majorBidi"/>
      <w:color w:val="272727" w:themeColor="text1" w:themeTint="D8"/>
    </w:rPr>
  </w:style>
  <w:style w:type="paragraph" w:styleId="Title">
    <w:name w:val="Title"/>
    <w:basedOn w:val="Normal"/>
    <w:next w:val="Normal"/>
    <w:link w:val="TitleChar"/>
    <w:uiPriority w:val="10"/>
    <w:qFormat/>
    <w:rsid w:val="003E5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0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0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0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0C7"/>
    <w:pPr>
      <w:spacing w:before="160"/>
      <w:jc w:val="center"/>
    </w:pPr>
    <w:rPr>
      <w:i/>
      <w:iCs/>
      <w:color w:val="404040" w:themeColor="text1" w:themeTint="BF"/>
    </w:rPr>
  </w:style>
  <w:style w:type="character" w:customStyle="1" w:styleId="QuoteChar">
    <w:name w:val="Quote Char"/>
    <w:basedOn w:val="DefaultParagraphFont"/>
    <w:link w:val="Quote"/>
    <w:uiPriority w:val="29"/>
    <w:rsid w:val="003E50C7"/>
    <w:rPr>
      <w:i/>
      <w:iCs/>
      <w:color w:val="404040" w:themeColor="text1" w:themeTint="BF"/>
    </w:rPr>
  </w:style>
  <w:style w:type="paragraph" w:styleId="ListParagraph">
    <w:name w:val="List Paragraph"/>
    <w:basedOn w:val="Normal"/>
    <w:uiPriority w:val="34"/>
    <w:qFormat/>
    <w:rsid w:val="003E50C7"/>
    <w:pPr>
      <w:ind w:left="720"/>
      <w:contextualSpacing/>
    </w:pPr>
  </w:style>
  <w:style w:type="character" w:styleId="IntenseEmphasis">
    <w:name w:val="Intense Emphasis"/>
    <w:basedOn w:val="DefaultParagraphFont"/>
    <w:uiPriority w:val="21"/>
    <w:qFormat/>
    <w:rsid w:val="003E50C7"/>
    <w:rPr>
      <w:i/>
      <w:iCs/>
      <w:color w:val="0F4761" w:themeColor="accent1" w:themeShade="BF"/>
    </w:rPr>
  </w:style>
  <w:style w:type="paragraph" w:styleId="IntenseQuote">
    <w:name w:val="Intense Quote"/>
    <w:basedOn w:val="Normal"/>
    <w:next w:val="Normal"/>
    <w:link w:val="IntenseQuoteChar"/>
    <w:uiPriority w:val="30"/>
    <w:qFormat/>
    <w:rsid w:val="003E5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0C7"/>
    <w:rPr>
      <w:i/>
      <w:iCs/>
      <w:color w:val="0F4761" w:themeColor="accent1" w:themeShade="BF"/>
    </w:rPr>
  </w:style>
  <w:style w:type="character" w:styleId="IntenseReference">
    <w:name w:val="Intense Reference"/>
    <w:basedOn w:val="DefaultParagraphFont"/>
    <w:uiPriority w:val="32"/>
    <w:qFormat/>
    <w:rsid w:val="003E50C7"/>
    <w:rPr>
      <w:b/>
      <w:bCs/>
      <w:smallCaps/>
      <w:color w:val="0F4761" w:themeColor="accent1" w:themeShade="BF"/>
      <w:spacing w:val="5"/>
    </w:rPr>
  </w:style>
  <w:style w:type="table" w:styleId="TableGrid">
    <w:name w:val="Table Grid"/>
    <w:basedOn w:val="TableNormal"/>
    <w:uiPriority w:val="39"/>
    <w:rsid w:val="007A1CBC"/>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663504"/>
    <w:pPr>
      <w:spacing w:after="200" w:line="240" w:lineRule="auto"/>
    </w:pPr>
    <w:rPr>
      <w:rFonts w:eastAsiaTheme="minorEastAsia"/>
      <w:i/>
      <w:iCs/>
      <w:color w:val="0E2841" w:themeColor="text2"/>
      <w:kern w:val="0"/>
      <w:sz w:val="18"/>
      <w:szCs w:val="18"/>
      <w:lang w:val="en-US" w:eastAsia="ja-JP"/>
      <w14:ligatures w14:val="none"/>
    </w:rPr>
  </w:style>
  <w:style w:type="paragraph" w:styleId="Bibliography">
    <w:name w:val="Bibliography"/>
    <w:basedOn w:val="Normal"/>
    <w:next w:val="Normal"/>
    <w:uiPriority w:val="37"/>
    <w:unhideWhenUsed/>
    <w:rsid w:val="00531359"/>
    <w:pPr>
      <w:spacing w:after="0" w:line="480" w:lineRule="auto"/>
      <w:ind w:left="720" w:hanging="720"/>
    </w:pPr>
  </w:style>
  <w:style w:type="character" w:styleId="Hyperlink">
    <w:name w:val="Hyperlink"/>
    <w:basedOn w:val="DefaultParagraphFont"/>
    <w:uiPriority w:val="99"/>
    <w:semiHidden/>
    <w:unhideWhenUsed/>
    <w:rsid w:val="007916CE"/>
    <w:rPr>
      <w:color w:val="467886"/>
      <w:u w:val="single"/>
    </w:rPr>
  </w:style>
  <w:style w:type="character" w:styleId="FollowedHyperlink">
    <w:name w:val="FollowedHyperlink"/>
    <w:basedOn w:val="DefaultParagraphFont"/>
    <w:uiPriority w:val="99"/>
    <w:semiHidden/>
    <w:unhideWhenUsed/>
    <w:rsid w:val="007916CE"/>
    <w:rPr>
      <w:color w:val="96607D"/>
      <w:u w:val="single"/>
    </w:rPr>
  </w:style>
  <w:style w:type="paragraph" w:customStyle="1" w:styleId="msonormal0">
    <w:name w:val="msonormal"/>
    <w:basedOn w:val="Normal"/>
    <w:rsid w:val="007916C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65">
    <w:name w:val="xl65"/>
    <w:basedOn w:val="Normal"/>
    <w:rsid w:val="007916CE"/>
    <w:pPr>
      <w:spacing w:before="100" w:beforeAutospacing="1" w:after="100" w:afterAutospacing="1" w:line="240" w:lineRule="auto"/>
    </w:pPr>
    <w:rPr>
      <w:rFonts w:ascii="Times New Roman" w:eastAsia="Times New Roman" w:hAnsi="Times New Roman" w:cs="Times New Roman"/>
      <w:b/>
      <w:bCs/>
      <w:kern w:val="0"/>
      <w:lang w:eastAsia="en-GB"/>
      <w14:ligatures w14:val="none"/>
    </w:rPr>
  </w:style>
  <w:style w:type="paragraph" w:customStyle="1" w:styleId="xl66">
    <w:name w:val="xl66"/>
    <w:basedOn w:val="Normal"/>
    <w:rsid w:val="007916CE"/>
    <w:pPr>
      <w:spacing w:before="100" w:beforeAutospacing="1" w:after="100" w:afterAutospacing="1" w:line="240" w:lineRule="auto"/>
    </w:pPr>
    <w:rPr>
      <w:rFonts w:ascii="Times New Roman" w:eastAsia="Times New Roman" w:hAnsi="Times New Roman" w:cs="Times New Roman"/>
      <w:color w:val="FF0000"/>
      <w:kern w:val="0"/>
      <w:lang w:eastAsia="en-GB"/>
      <w14:ligatures w14:val="none"/>
    </w:rPr>
  </w:style>
  <w:style w:type="paragraph" w:customStyle="1" w:styleId="xl67">
    <w:name w:val="xl67"/>
    <w:basedOn w:val="Normal"/>
    <w:rsid w:val="007916C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6F6A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6AE8"/>
  </w:style>
  <w:style w:type="paragraph" w:styleId="Footer">
    <w:name w:val="footer"/>
    <w:basedOn w:val="Normal"/>
    <w:link w:val="FooterChar"/>
    <w:uiPriority w:val="99"/>
    <w:unhideWhenUsed/>
    <w:rsid w:val="006F6A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6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462</TotalTime>
  <Pages>1</Pages>
  <Words>24787</Words>
  <Characters>141292</Characters>
  <Application>Microsoft Office Word</Application>
  <DocSecurity>0</DocSecurity>
  <Lines>1177</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Vaughan</dc:creator>
  <cp:keywords/>
  <dc:description/>
  <cp:lastModifiedBy>Mohamed Ibrahim Mohamed Ansari</cp:lastModifiedBy>
  <cp:revision>170</cp:revision>
  <dcterms:created xsi:type="dcterms:W3CDTF">2025-04-01T07:53:00Z</dcterms:created>
  <dcterms:modified xsi:type="dcterms:W3CDTF">2026-07-25T05:59:00Z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id="E2A1EiiK"/&gt;&lt;style id="http://www.zotero.org/styles/apa" locale="en-GB" hasBibliography="1" bibliographyStyleHasBeenSet="1"/&gt;&lt;prefs&gt;&lt;pref name="fieldType" value="Field"/&gt;&lt;/prefs&gt;&lt;/data&gt;</vt:lpwstr>
  </property>
</Properties>
</file>