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1CFBE2" w14:textId="77777777" w:rsidR="0022120C" w:rsidRPr="00D42EFF" w:rsidRDefault="00D42EFF">
      <w:pPr>
        <w:spacing w:after="80" w:line="260" w:lineRule="auto"/>
        <w:jc w:val="center"/>
        <w:rPr>
          <w:color w:val="000000" w:themeColor="text1"/>
        </w:rPr>
      </w:pPr>
      <w:r w:rsidRPr="00D42EFF">
        <w:rPr>
          <w:b/>
          <w:bCs/>
          <w:color w:val="000000" w:themeColor="text1"/>
          <w:sz w:val="28"/>
          <w:szCs w:val="28"/>
        </w:rPr>
        <w:t>Supplementary Material</w:t>
      </w:r>
    </w:p>
    <w:p w14:paraId="60F7E07F" w14:textId="77777777" w:rsidR="0022120C" w:rsidRPr="00D42EFF" w:rsidRDefault="00D42EFF">
      <w:pPr>
        <w:spacing w:after="60" w:line="260" w:lineRule="auto"/>
        <w:jc w:val="center"/>
        <w:rPr>
          <w:color w:val="000000" w:themeColor="text1"/>
        </w:rPr>
      </w:pPr>
      <w:r w:rsidRPr="00D42EFF">
        <w:rPr>
          <w:b/>
          <w:bCs/>
          <w:color w:val="000000" w:themeColor="text1"/>
        </w:rPr>
        <w:t>Prognostic Factors in Pediatric-Onset Multiple Sclerosis: A Narrative Review</w:t>
      </w:r>
    </w:p>
    <w:p w14:paraId="206C4859" w14:textId="77777777" w:rsidR="0022120C" w:rsidRPr="00D42EFF" w:rsidRDefault="00D42EFF">
      <w:pPr>
        <w:spacing w:after="200" w:line="260" w:lineRule="auto"/>
        <w:jc w:val="center"/>
        <w:rPr>
          <w:color w:val="000000" w:themeColor="text1"/>
        </w:rPr>
      </w:pPr>
      <w:r w:rsidRPr="00D42EFF">
        <w:rPr>
          <w:i/>
          <w:iCs/>
          <w:color w:val="000000" w:themeColor="text1"/>
          <w:sz w:val="20"/>
          <w:szCs w:val="20"/>
        </w:rPr>
        <w:t>Manuscript JOON-D-26-03298 — Journal of Neurology</w:t>
      </w:r>
    </w:p>
    <w:p w14:paraId="75203A7F" w14:textId="77777777" w:rsidR="0022120C" w:rsidRPr="00D42EFF" w:rsidRDefault="00D42EFF">
      <w:pPr>
        <w:spacing w:after="120" w:line="260" w:lineRule="auto"/>
        <w:jc w:val="both"/>
        <w:rPr>
          <w:color w:val="000000" w:themeColor="text1"/>
        </w:rPr>
      </w:pPr>
      <w:r w:rsidRPr="00D42EFF">
        <w:rPr>
          <w:color w:val="000000" w:themeColor="text1"/>
        </w:rPr>
        <w:t>Supplementary Tables S1–S5 replace the single Table 1 of the original submission, and are organised</w:t>
      </w:r>
      <w:r w:rsidRPr="00D42EFF">
        <w:rPr>
          <w:color w:val="000000" w:themeColor="text1"/>
        </w:rPr>
        <w:t xml:space="preserve"> by domain as requested. For every factor, the </w:t>
      </w:r>
      <w:r w:rsidRPr="00D42EFF">
        <w:rPr>
          <w:b/>
          <w:bCs/>
          <w:color w:val="000000" w:themeColor="text1"/>
        </w:rPr>
        <w:t>axis of inference</w:t>
      </w:r>
      <w:r w:rsidRPr="00D42EFF">
        <w:rPr>
          <w:color w:val="000000" w:themeColor="text1"/>
        </w:rPr>
        <w:t xml:space="preserve"> column states whether the evidence pertains to susceptibility (risk of developing POMS), conversion (from CIS/ADS to MS) or prognosis (course after a POMS diagnosis); the </w:t>
      </w:r>
      <w:r w:rsidRPr="00D42EFF">
        <w:rPr>
          <w:b/>
          <w:bCs/>
          <w:color w:val="000000" w:themeColor="text1"/>
        </w:rPr>
        <w:t>outcome predicted</w:t>
      </w:r>
      <w:r w:rsidRPr="00D42EFF">
        <w:rPr>
          <w:color w:val="000000" w:themeColor="text1"/>
        </w:rPr>
        <w:t xml:space="preserve"> co</w:t>
      </w:r>
      <w:r w:rsidRPr="00D42EFF">
        <w:rPr>
          <w:color w:val="000000" w:themeColor="text1"/>
        </w:rPr>
        <w:t xml:space="preserve">lumn states the specific endpoint against which the factor was assessed; and the </w:t>
      </w:r>
      <w:r w:rsidRPr="00D42EFF">
        <w:rPr>
          <w:b/>
          <w:bCs/>
          <w:color w:val="000000" w:themeColor="text1"/>
        </w:rPr>
        <w:t>evidence tier</w:t>
      </w:r>
      <w:r w:rsidRPr="00D42EFF">
        <w:rPr>
          <w:color w:val="000000" w:themeColor="text1"/>
        </w:rPr>
        <w:t xml:space="preserve"> column reports the grading defined in the Methods and summarised in Table 2 of the main text.</w:t>
      </w:r>
    </w:p>
    <w:p w14:paraId="707114DE" w14:textId="77777777" w:rsidR="0022120C" w:rsidRPr="00D42EFF" w:rsidRDefault="00D42EFF">
      <w:pPr>
        <w:spacing w:after="240" w:line="260" w:lineRule="auto"/>
        <w:jc w:val="both"/>
        <w:rPr>
          <w:color w:val="000000" w:themeColor="text1"/>
        </w:rPr>
      </w:pPr>
      <w:r w:rsidRPr="00D42EFF">
        <w:rPr>
          <w:b/>
          <w:bCs/>
          <w:color w:val="000000" w:themeColor="text1"/>
        </w:rPr>
        <w:t>Evidence tiers: A</w:t>
      </w:r>
      <w:sdt>
        <w:sdtPr>
          <w:rPr>
            <w:color w:val="000000" w:themeColor="text1"/>
          </w:rPr>
          <w:tag w:val="goog_rdk_0"/>
          <w:id w:val="-114516971"/>
        </w:sdtPr>
        <w:sdtEndPr/>
        <w:sdtContent>
          <w:r w:rsidRPr="00D42EFF">
            <w:rPr>
              <w:rFonts w:ascii="Gungsuh" w:eastAsia="Gungsuh" w:hAnsi="Gungsuh" w:cs="Gungsuh"/>
              <w:color w:val="000000" w:themeColor="text1"/>
            </w:rPr>
            <w:t xml:space="preserve"> = </w:t>
          </w:r>
          <w:r w:rsidRPr="00D42EFF">
            <w:rPr>
              <w:rFonts w:eastAsia="Gungsuh"/>
              <w:color w:val="000000" w:themeColor="text1"/>
            </w:rPr>
            <w:t>replicated (consistent direction across ≥2 inde</w:t>
          </w:r>
          <w:r w:rsidRPr="00D42EFF">
            <w:rPr>
              <w:rFonts w:eastAsia="Gungsuh"/>
              <w:color w:val="000000" w:themeColor="text1"/>
            </w:rPr>
            <w:t>pendent cohorts, ≥1 multivariable-adjusted);</w:t>
          </w:r>
          <w:r w:rsidRPr="00D42EFF">
            <w:rPr>
              <w:rFonts w:ascii="Gungsuh" w:eastAsia="Gungsuh" w:hAnsi="Gungsuh" w:cs="Gungsuh"/>
              <w:color w:val="000000" w:themeColor="text1"/>
            </w:rPr>
            <w:t xml:space="preserve"> </w:t>
          </w:r>
        </w:sdtContent>
      </w:sdt>
      <w:r w:rsidRPr="00D42EFF">
        <w:rPr>
          <w:b/>
          <w:bCs/>
          <w:color w:val="000000" w:themeColor="text1"/>
        </w:rPr>
        <w:t>B</w:t>
      </w:r>
      <w:r w:rsidRPr="00D42EFF">
        <w:rPr>
          <w:color w:val="000000" w:themeColor="text1"/>
        </w:rPr>
        <w:t xml:space="preserve"> = promising but preliminary (single cohort, small or unreplicated); </w:t>
      </w:r>
      <w:r w:rsidRPr="00D42EFF">
        <w:rPr>
          <w:b/>
          <w:bCs/>
          <w:color w:val="000000" w:themeColor="text1"/>
        </w:rPr>
        <w:t>C</w:t>
      </w:r>
      <w:r w:rsidRPr="00D42EFF">
        <w:rPr>
          <w:color w:val="000000" w:themeColor="text1"/>
        </w:rPr>
        <w:t xml:space="preserve"> = susceptibility rather than prognosis (pertains to disease risk or age at onset, not to post-diagnosis course); </w:t>
      </w:r>
      <w:r w:rsidRPr="00D42EFF">
        <w:rPr>
          <w:b/>
          <w:bCs/>
          <w:color w:val="000000" w:themeColor="text1"/>
        </w:rPr>
        <w:t>D</w:t>
      </w:r>
      <w:r w:rsidRPr="00D42EFF">
        <w:rPr>
          <w:color w:val="000000" w:themeColor="text1"/>
        </w:rPr>
        <w:t xml:space="preserve"> = inconsistent (confli</w:t>
      </w:r>
      <w:r w:rsidRPr="00D42EFF">
        <w:rPr>
          <w:color w:val="000000" w:themeColor="text1"/>
        </w:rPr>
        <w:t>cting directions across cohorts).</w:t>
      </w:r>
    </w:p>
    <w:p w14:paraId="3D3A76DE" w14:textId="77777777" w:rsidR="0022120C" w:rsidRPr="00D42EFF" w:rsidRDefault="00D42EFF">
      <w:pPr>
        <w:spacing w:before="280" w:after="120"/>
        <w:rPr>
          <w:color w:val="000000" w:themeColor="text1"/>
        </w:rPr>
      </w:pPr>
      <w:r w:rsidRPr="00D42EFF">
        <w:rPr>
          <w:b/>
          <w:bCs/>
          <w:color w:val="000000" w:themeColor="text1"/>
          <w:sz w:val="24"/>
          <w:szCs w:val="24"/>
        </w:rPr>
        <w:t>Table S1. Demographic and clinical factors</w:t>
      </w:r>
    </w:p>
    <w:tbl>
      <w:tblPr>
        <w:tblStyle w:val="a"/>
        <w:tblW w:w="13400" w:type="dxa"/>
        <w:tblInd w:w="0" w:type="dxa"/>
        <w:tblBorders>
          <w:top w:val="single" w:sz="4" w:space="0" w:color="1F3864"/>
          <w:left w:val="nil"/>
          <w:bottom w:val="single" w:sz="4" w:space="0" w:color="1F3864"/>
          <w:right w:val="nil"/>
          <w:insideH w:val="single" w:sz="4" w:space="0" w:color="BFBFBF"/>
          <w:insideV w:val="single" w:sz="4" w:space="0" w:color="E7E7E7"/>
        </w:tblBorders>
        <w:tblLayout w:type="fixed"/>
        <w:tblLook w:val="0000" w:firstRow="0" w:lastRow="0" w:firstColumn="0" w:lastColumn="0" w:noHBand="0" w:noVBand="0"/>
      </w:tblPr>
      <w:tblGrid>
        <w:gridCol w:w="2050"/>
        <w:gridCol w:w="1750"/>
        <w:gridCol w:w="1700"/>
        <w:gridCol w:w="1350"/>
        <w:gridCol w:w="1900"/>
        <w:gridCol w:w="3450"/>
        <w:gridCol w:w="1200"/>
      </w:tblGrid>
      <w:tr w:rsidR="00D42EFF" w:rsidRPr="00D42EFF" w14:paraId="2F5B6D03" w14:textId="77777777">
        <w:trPr>
          <w:tblHeader/>
        </w:trPr>
        <w:tc>
          <w:tcPr>
            <w:tcW w:w="2050" w:type="dxa"/>
            <w:shd w:val="clear" w:color="auto" w:fill="1F3864"/>
            <w:tcMar>
              <w:top w:w="50" w:type="dxa"/>
              <w:left w:w="60" w:type="dxa"/>
              <w:bottom w:w="50" w:type="dxa"/>
              <w:right w:w="60" w:type="dxa"/>
            </w:tcMar>
            <w:vAlign w:val="center"/>
          </w:tcPr>
          <w:p w14:paraId="06EF03FC" w14:textId="77777777" w:rsidR="0022120C" w:rsidRPr="00D42EFF" w:rsidRDefault="00D42EFF">
            <w:pPr>
              <w:spacing w:line="210" w:lineRule="auto"/>
              <w:jc w:val="center"/>
              <w:rPr>
                <w:color w:val="000000" w:themeColor="text1"/>
              </w:rPr>
            </w:pPr>
            <w:r w:rsidRPr="00D42EFF">
              <w:rPr>
                <w:b/>
                <w:bCs/>
                <w:color w:val="000000" w:themeColor="text1"/>
                <w:sz w:val="16"/>
                <w:szCs w:val="16"/>
              </w:rPr>
              <w:t>Factor</w:t>
            </w:r>
          </w:p>
        </w:tc>
        <w:tc>
          <w:tcPr>
            <w:tcW w:w="1750" w:type="dxa"/>
            <w:shd w:val="clear" w:color="auto" w:fill="1F3864"/>
            <w:tcMar>
              <w:top w:w="50" w:type="dxa"/>
              <w:left w:w="60" w:type="dxa"/>
              <w:bottom w:w="50" w:type="dxa"/>
              <w:right w:w="60" w:type="dxa"/>
            </w:tcMar>
            <w:vAlign w:val="center"/>
          </w:tcPr>
          <w:p w14:paraId="1A788C27" w14:textId="77777777" w:rsidR="0022120C" w:rsidRPr="00D42EFF" w:rsidRDefault="00D42EFF">
            <w:pPr>
              <w:spacing w:line="210" w:lineRule="auto"/>
              <w:jc w:val="center"/>
              <w:rPr>
                <w:color w:val="000000" w:themeColor="text1"/>
              </w:rPr>
            </w:pPr>
            <w:r w:rsidRPr="00D42EFF">
              <w:rPr>
                <w:b/>
                <w:bCs/>
                <w:color w:val="000000" w:themeColor="text1"/>
                <w:sz w:val="16"/>
                <w:szCs w:val="16"/>
              </w:rPr>
              <w:t>Study [ref]</w:t>
            </w:r>
          </w:p>
        </w:tc>
        <w:tc>
          <w:tcPr>
            <w:tcW w:w="1700" w:type="dxa"/>
            <w:shd w:val="clear" w:color="auto" w:fill="1F3864"/>
            <w:tcMar>
              <w:top w:w="50" w:type="dxa"/>
              <w:left w:w="60" w:type="dxa"/>
              <w:bottom w:w="50" w:type="dxa"/>
              <w:right w:w="60" w:type="dxa"/>
            </w:tcMar>
            <w:vAlign w:val="center"/>
          </w:tcPr>
          <w:p w14:paraId="1DA57116" w14:textId="77777777" w:rsidR="0022120C" w:rsidRPr="00D42EFF" w:rsidRDefault="00D42EFF">
            <w:pPr>
              <w:spacing w:line="210" w:lineRule="auto"/>
              <w:jc w:val="center"/>
              <w:rPr>
                <w:color w:val="000000" w:themeColor="text1"/>
              </w:rPr>
            </w:pPr>
            <w:r w:rsidRPr="00D42EFF">
              <w:rPr>
                <w:b/>
                <w:bCs/>
                <w:color w:val="000000" w:themeColor="text1"/>
                <w:sz w:val="16"/>
                <w:szCs w:val="16"/>
              </w:rPr>
              <w:t>Design; N</w:t>
            </w:r>
          </w:p>
        </w:tc>
        <w:tc>
          <w:tcPr>
            <w:tcW w:w="1350" w:type="dxa"/>
            <w:shd w:val="clear" w:color="auto" w:fill="1F3864"/>
            <w:tcMar>
              <w:top w:w="50" w:type="dxa"/>
              <w:left w:w="60" w:type="dxa"/>
              <w:bottom w:w="50" w:type="dxa"/>
              <w:right w:w="60" w:type="dxa"/>
            </w:tcMar>
            <w:vAlign w:val="center"/>
          </w:tcPr>
          <w:p w14:paraId="6EF02651" w14:textId="77777777" w:rsidR="0022120C" w:rsidRPr="00D42EFF" w:rsidRDefault="00D42EFF">
            <w:pPr>
              <w:spacing w:line="210" w:lineRule="auto"/>
              <w:jc w:val="center"/>
              <w:rPr>
                <w:color w:val="000000" w:themeColor="text1"/>
              </w:rPr>
            </w:pPr>
            <w:r w:rsidRPr="00D42EFF">
              <w:rPr>
                <w:b/>
                <w:bCs/>
                <w:color w:val="000000" w:themeColor="text1"/>
                <w:sz w:val="16"/>
                <w:szCs w:val="16"/>
              </w:rPr>
              <w:t>Axis of inference</w:t>
            </w:r>
          </w:p>
        </w:tc>
        <w:tc>
          <w:tcPr>
            <w:tcW w:w="1900" w:type="dxa"/>
            <w:shd w:val="clear" w:color="auto" w:fill="1F3864"/>
            <w:tcMar>
              <w:top w:w="50" w:type="dxa"/>
              <w:left w:w="60" w:type="dxa"/>
              <w:bottom w:w="50" w:type="dxa"/>
              <w:right w:w="60" w:type="dxa"/>
            </w:tcMar>
            <w:vAlign w:val="center"/>
          </w:tcPr>
          <w:p w14:paraId="0DFADCA7" w14:textId="77777777" w:rsidR="0022120C" w:rsidRPr="00D42EFF" w:rsidRDefault="00D42EFF">
            <w:pPr>
              <w:spacing w:line="210" w:lineRule="auto"/>
              <w:jc w:val="center"/>
              <w:rPr>
                <w:color w:val="000000" w:themeColor="text1"/>
              </w:rPr>
            </w:pPr>
            <w:r w:rsidRPr="00D42EFF">
              <w:rPr>
                <w:b/>
                <w:bCs/>
                <w:color w:val="000000" w:themeColor="text1"/>
                <w:sz w:val="16"/>
                <w:szCs w:val="16"/>
              </w:rPr>
              <w:t>Outcome predicted</w:t>
            </w:r>
          </w:p>
        </w:tc>
        <w:tc>
          <w:tcPr>
            <w:tcW w:w="3450" w:type="dxa"/>
            <w:shd w:val="clear" w:color="auto" w:fill="1F3864"/>
            <w:tcMar>
              <w:top w:w="50" w:type="dxa"/>
              <w:left w:w="60" w:type="dxa"/>
              <w:bottom w:w="50" w:type="dxa"/>
              <w:right w:w="60" w:type="dxa"/>
            </w:tcMar>
            <w:vAlign w:val="center"/>
          </w:tcPr>
          <w:p w14:paraId="6BEFA372" w14:textId="77777777" w:rsidR="0022120C" w:rsidRPr="00D42EFF" w:rsidRDefault="00D42EFF">
            <w:pPr>
              <w:spacing w:line="210" w:lineRule="auto"/>
              <w:jc w:val="center"/>
              <w:rPr>
                <w:color w:val="000000" w:themeColor="text1"/>
              </w:rPr>
            </w:pPr>
            <w:r w:rsidRPr="00D42EFF">
              <w:rPr>
                <w:b/>
                <w:bCs/>
                <w:color w:val="000000" w:themeColor="text1"/>
                <w:sz w:val="16"/>
                <w:szCs w:val="16"/>
              </w:rPr>
              <w:t>Effect estimate</w:t>
            </w:r>
          </w:p>
        </w:tc>
        <w:tc>
          <w:tcPr>
            <w:tcW w:w="1200" w:type="dxa"/>
            <w:shd w:val="clear" w:color="auto" w:fill="1F3864"/>
            <w:tcMar>
              <w:top w:w="50" w:type="dxa"/>
              <w:left w:w="60" w:type="dxa"/>
              <w:bottom w:w="50" w:type="dxa"/>
              <w:right w:w="60" w:type="dxa"/>
            </w:tcMar>
            <w:vAlign w:val="center"/>
          </w:tcPr>
          <w:p w14:paraId="635E2FC4" w14:textId="77777777" w:rsidR="0022120C" w:rsidRPr="00D42EFF" w:rsidRDefault="00D42EFF">
            <w:pPr>
              <w:spacing w:line="210" w:lineRule="auto"/>
              <w:jc w:val="center"/>
              <w:rPr>
                <w:color w:val="000000" w:themeColor="text1"/>
              </w:rPr>
            </w:pPr>
            <w:r w:rsidRPr="00D42EFF">
              <w:rPr>
                <w:b/>
                <w:bCs/>
                <w:color w:val="000000" w:themeColor="text1"/>
                <w:sz w:val="16"/>
                <w:szCs w:val="16"/>
              </w:rPr>
              <w:t>Evidence tier</w:t>
            </w:r>
          </w:p>
        </w:tc>
      </w:tr>
      <w:tr w:rsidR="00D42EFF" w:rsidRPr="00D42EFF" w14:paraId="54AF907B" w14:textId="77777777">
        <w:tc>
          <w:tcPr>
            <w:tcW w:w="2050" w:type="dxa"/>
            <w:tcMar>
              <w:top w:w="35" w:type="dxa"/>
              <w:left w:w="60" w:type="dxa"/>
              <w:bottom w:w="35" w:type="dxa"/>
              <w:right w:w="60" w:type="dxa"/>
            </w:tcMar>
          </w:tcPr>
          <w:p w14:paraId="6171DAC3" w14:textId="77777777" w:rsidR="0022120C" w:rsidRPr="00D42EFF" w:rsidRDefault="00D42EFF">
            <w:pPr>
              <w:spacing w:line="210" w:lineRule="auto"/>
              <w:rPr>
                <w:color w:val="000000" w:themeColor="text1"/>
              </w:rPr>
            </w:pPr>
            <w:r w:rsidRPr="00D42EFF">
              <w:rPr>
                <w:b/>
                <w:bCs/>
                <w:color w:val="000000" w:themeColor="text1"/>
                <w:sz w:val="15"/>
                <w:szCs w:val="15"/>
              </w:rPr>
              <w:t>Age at onset (younger)</w:t>
            </w:r>
          </w:p>
        </w:tc>
        <w:tc>
          <w:tcPr>
            <w:tcW w:w="1750" w:type="dxa"/>
            <w:tcMar>
              <w:top w:w="35" w:type="dxa"/>
              <w:left w:w="60" w:type="dxa"/>
              <w:bottom w:w="35" w:type="dxa"/>
              <w:right w:w="60" w:type="dxa"/>
            </w:tcMar>
          </w:tcPr>
          <w:p w14:paraId="67E26066" w14:textId="77777777" w:rsidR="0022120C" w:rsidRPr="00D42EFF" w:rsidRDefault="00D42EFF">
            <w:pPr>
              <w:spacing w:line="210" w:lineRule="auto"/>
              <w:rPr>
                <w:color w:val="000000" w:themeColor="text1"/>
              </w:rPr>
            </w:pPr>
            <w:r w:rsidRPr="00D42EFF">
              <w:rPr>
                <w:color w:val="000000" w:themeColor="text1"/>
                <w:sz w:val="15"/>
                <w:szCs w:val="15"/>
              </w:rPr>
              <w:t>Chitnis 2020 [13]</w:t>
            </w:r>
          </w:p>
        </w:tc>
        <w:tc>
          <w:tcPr>
            <w:tcW w:w="1700" w:type="dxa"/>
            <w:tcMar>
              <w:top w:w="35" w:type="dxa"/>
              <w:left w:w="60" w:type="dxa"/>
              <w:bottom w:w="35" w:type="dxa"/>
              <w:right w:w="60" w:type="dxa"/>
            </w:tcMar>
          </w:tcPr>
          <w:p w14:paraId="72992908" w14:textId="77777777" w:rsidR="0022120C" w:rsidRPr="00D42EFF" w:rsidRDefault="00D42EFF">
            <w:pPr>
              <w:spacing w:line="210" w:lineRule="auto"/>
              <w:rPr>
                <w:color w:val="000000" w:themeColor="text1"/>
              </w:rPr>
            </w:pPr>
            <w:r w:rsidRPr="00D42EFF">
              <w:rPr>
                <w:color w:val="000000" w:themeColor="text1"/>
                <w:sz w:val="15"/>
                <w:szCs w:val="15"/>
              </w:rPr>
              <w:t>Longitudinal prospective; 132 POMS</w:t>
            </w:r>
          </w:p>
        </w:tc>
        <w:tc>
          <w:tcPr>
            <w:tcW w:w="1350" w:type="dxa"/>
            <w:tcMar>
              <w:top w:w="35" w:type="dxa"/>
              <w:left w:w="60" w:type="dxa"/>
              <w:bottom w:w="35" w:type="dxa"/>
              <w:right w:w="60" w:type="dxa"/>
            </w:tcMar>
          </w:tcPr>
          <w:p w14:paraId="78C7FB09"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2AF66E19" w14:textId="77777777" w:rsidR="0022120C" w:rsidRPr="00D42EFF" w:rsidRDefault="00D42EFF">
            <w:pPr>
              <w:spacing w:line="210" w:lineRule="auto"/>
              <w:rPr>
                <w:color w:val="000000" w:themeColor="text1"/>
              </w:rPr>
            </w:pPr>
            <w:r w:rsidRPr="00D42EFF">
              <w:rPr>
                <w:color w:val="000000" w:themeColor="text1"/>
                <w:sz w:val="15"/>
                <w:szCs w:val="15"/>
              </w:rPr>
              <w:t>EDSS recovery 6 months after relapse</w:t>
            </w:r>
          </w:p>
        </w:tc>
        <w:tc>
          <w:tcPr>
            <w:tcW w:w="3450" w:type="dxa"/>
            <w:tcMar>
              <w:top w:w="35" w:type="dxa"/>
              <w:left w:w="60" w:type="dxa"/>
              <w:bottom w:w="35" w:type="dxa"/>
              <w:right w:w="60" w:type="dxa"/>
            </w:tcMar>
          </w:tcPr>
          <w:p w14:paraId="4AEA893A" w14:textId="77777777" w:rsidR="0022120C" w:rsidRPr="00D42EFF" w:rsidRDefault="00D42EFF">
            <w:pPr>
              <w:spacing w:line="210" w:lineRule="auto"/>
              <w:rPr>
                <w:color w:val="000000" w:themeColor="text1"/>
              </w:rPr>
            </w:pPr>
            <w:r w:rsidRPr="00D42EFF">
              <w:rPr>
                <w:color w:val="000000" w:themeColor="text1"/>
                <w:sz w:val="15"/>
                <w:szCs w:val="15"/>
              </w:rPr>
              <w:t>Per 10 years of age, EDSS recovery reduced by 0.15 points (p &lt; 0.001); odds of EDSS not improving increased 1.33-fold (p &lt; 0.0001)</w:t>
            </w:r>
          </w:p>
        </w:tc>
        <w:tc>
          <w:tcPr>
            <w:tcW w:w="1200" w:type="dxa"/>
            <w:shd w:val="clear" w:color="auto" w:fill="C6E0B4"/>
            <w:tcMar>
              <w:top w:w="35" w:type="dxa"/>
              <w:left w:w="60" w:type="dxa"/>
              <w:bottom w:w="35" w:type="dxa"/>
              <w:right w:w="60" w:type="dxa"/>
            </w:tcMar>
          </w:tcPr>
          <w:p w14:paraId="229F4F3D"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71C9C425" w14:textId="77777777">
        <w:tc>
          <w:tcPr>
            <w:tcW w:w="2050" w:type="dxa"/>
            <w:shd w:val="clear" w:color="auto" w:fill="F2F2F2"/>
            <w:tcMar>
              <w:top w:w="35" w:type="dxa"/>
              <w:left w:w="60" w:type="dxa"/>
              <w:bottom w:w="35" w:type="dxa"/>
              <w:right w:w="60" w:type="dxa"/>
            </w:tcMar>
          </w:tcPr>
          <w:p w14:paraId="6E4696CC" w14:textId="77777777" w:rsidR="0022120C" w:rsidRPr="00D42EFF" w:rsidRDefault="00D42EFF">
            <w:pPr>
              <w:spacing w:line="210" w:lineRule="auto"/>
              <w:rPr>
                <w:color w:val="000000" w:themeColor="text1"/>
              </w:rPr>
            </w:pPr>
            <w:r w:rsidRPr="00D42EFF">
              <w:rPr>
                <w:b/>
                <w:bCs/>
                <w:color w:val="000000" w:themeColor="text1"/>
                <w:sz w:val="15"/>
                <w:szCs w:val="15"/>
              </w:rPr>
              <w:t>Age at onset &lt; 15 years</w:t>
            </w:r>
          </w:p>
        </w:tc>
        <w:tc>
          <w:tcPr>
            <w:tcW w:w="1750" w:type="dxa"/>
            <w:shd w:val="clear" w:color="auto" w:fill="F2F2F2"/>
            <w:tcMar>
              <w:top w:w="35" w:type="dxa"/>
              <w:left w:w="60" w:type="dxa"/>
              <w:bottom w:w="35" w:type="dxa"/>
              <w:right w:w="60" w:type="dxa"/>
            </w:tcMar>
          </w:tcPr>
          <w:p w14:paraId="25140154" w14:textId="77777777" w:rsidR="0022120C" w:rsidRPr="00D42EFF" w:rsidRDefault="00D42EFF">
            <w:pPr>
              <w:spacing w:line="210" w:lineRule="auto"/>
              <w:rPr>
                <w:color w:val="000000" w:themeColor="text1"/>
              </w:rPr>
            </w:pPr>
            <w:r w:rsidRPr="00D42EFF">
              <w:rPr>
                <w:color w:val="000000" w:themeColor="text1"/>
                <w:sz w:val="15"/>
                <w:szCs w:val="15"/>
              </w:rPr>
              <w:t>Iaffaldano 2017 [14]</w:t>
            </w:r>
          </w:p>
        </w:tc>
        <w:tc>
          <w:tcPr>
            <w:tcW w:w="1700" w:type="dxa"/>
            <w:shd w:val="clear" w:color="auto" w:fill="F2F2F2"/>
            <w:tcMar>
              <w:top w:w="35" w:type="dxa"/>
              <w:left w:w="60" w:type="dxa"/>
              <w:bottom w:w="35" w:type="dxa"/>
              <w:right w:w="60" w:type="dxa"/>
            </w:tcMar>
          </w:tcPr>
          <w:p w14:paraId="0B83B8AE" w14:textId="77777777" w:rsidR="0022120C" w:rsidRPr="00D42EFF" w:rsidRDefault="00D42EFF">
            <w:pPr>
              <w:spacing w:line="210" w:lineRule="auto"/>
              <w:rPr>
                <w:color w:val="000000" w:themeColor="text1"/>
              </w:rPr>
            </w:pPr>
            <w:r w:rsidRPr="00D42EFF">
              <w:rPr>
                <w:color w:val="000000" w:themeColor="text1"/>
                <w:sz w:val="15"/>
                <w:szCs w:val="15"/>
              </w:rPr>
              <w:t xml:space="preserve">Observational; 770 pediatric </w:t>
            </w:r>
            <w:r w:rsidRPr="00D42EFF">
              <w:rPr>
                <w:color w:val="000000" w:themeColor="text1"/>
                <w:sz w:val="15"/>
                <w:szCs w:val="15"/>
              </w:rPr>
              <w:t>CIS</w:t>
            </w:r>
          </w:p>
        </w:tc>
        <w:tc>
          <w:tcPr>
            <w:tcW w:w="1350" w:type="dxa"/>
            <w:shd w:val="clear" w:color="auto" w:fill="F2F2F2"/>
            <w:tcMar>
              <w:top w:w="35" w:type="dxa"/>
              <w:left w:w="60" w:type="dxa"/>
              <w:bottom w:w="35" w:type="dxa"/>
              <w:right w:w="60" w:type="dxa"/>
            </w:tcMar>
          </w:tcPr>
          <w:p w14:paraId="5750916C"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48E7CE80" w14:textId="77777777" w:rsidR="0022120C" w:rsidRPr="00D42EFF" w:rsidRDefault="00D42EFF">
            <w:pPr>
              <w:spacing w:line="210" w:lineRule="auto"/>
              <w:rPr>
                <w:color w:val="000000" w:themeColor="text1"/>
              </w:rPr>
            </w:pPr>
            <w:r w:rsidRPr="00D42EFF">
              <w:rPr>
                <w:color w:val="000000" w:themeColor="text1"/>
                <w:sz w:val="15"/>
                <w:szCs w:val="15"/>
              </w:rPr>
              <w:t>Time to first confirmed EDSS-worsening event</w:t>
            </w:r>
          </w:p>
        </w:tc>
        <w:tc>
          <w:tcPr>
            <w:tcW w:w="3450" w:type="dxa"/>
            <w:shd w:val="clear" w:color="auto" w:fill="F2F2F2"/>
            <w:tcMar>
              <w:top w:w="35" w:type="dxa"/>
              <w:left w:w="60" w:type="dxa"/>
              <w:bottom w:w="35" w:type="dxa"/>
              <w:right w:w="60" w:type="dxa"/>
            </w:tcMar>
          </w:tcPr>
          <w:p w14:paraId="7FE9DE69" w14:textId="77777777" w:rsidR="0022120C" w:rsidRPr="00D42EFF" w:rsidRDefault="00D42EFF">
            <w:pPr>
              <w:spacing w:line="210" w:lineRule="auto"/>
              <w:rPr>
                <w:color w:val="000000" w:themeColor="text1"/>
              </w:rPr>
            </w:pPr>
            <w:r w:rsidRPr="00D42EFF">
              <w:rPr>
                <w:color w:val="000000" w:themeColor="text1"/>
                <w:sz w:val="15"/>
                <w:szCs w:val="15"/>
              </w:rPr>
              <w:t>HR 0.59 (95% CI 0.42–0.83)</w:t>
            </w:r>
          </w:p>
        </w:tc>
        <w:tc>
          <w:tcPr>
            <w:tcW w:w="1200" w:type="dxa"/>
            <w:shd w:val="clear" w:color="auto" w:fill="C6E0B4"/>
            <w:tcMar>
              <w:top w:w="35" w:type="dxa"/>
              <w:left w:w="60" w:type="dxa"/>
              <w:bottom w:w="35" w:type="dxa"/>
              <w:right w:w="60" w:type="dxa"/>
            </w:tcMar>
          </w:tcPr>
          <w:p w14:paraId="4A066126"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3BFDD0A2" w14:textId="77777777">
        <w:tc>
          <w:tcPr>
            <w:tcW w:w="2050" w:type="dxa"/>
            <w:tcMar>
              <w:top w:w="35" w:type="dxa"/>
              <w:left w:w="60" w:type="dxa"/>
              <w:bottom w:w="35" w:type="dxa"/>
              <w:right w:w="60" w:type="dxa"/>
            </w:tcMar>
          </w:tcPr>
          <w:p w14:paraId="6476BB5F" w14:textId="77777777" w:rsidR="0022120C" w:rsidRPr="00D42EFF" w:rsidRDefault="00D42EFF">
            <w:pPr>
              <w:spacing w:line="210" w:lineRule="auto"/>
              <w:rPr>
                <w:color w:val="000000" w:themeColor="text1"/>
              </w:rPr>
            </w:pPr>
            <w:r w:rsidRPr="00D42EFF">
              <w:rPr>
                <w:b/>
                <w:bCs/>
                <w:color w:val="000000" w:themeColor="text1"/>
                <w:sz w:val="15"/>
                <w:szCs w:val="15"/>
              </w:rPr>
              <w:t>Age at onset &gt; 11.5 years</w:t>
            </w:r>
          </w:p>
        </w:tc>
        <w:tc>
          <w:tcPr>
            <w:tcW w:w="1750" w:type="dxa"/>
            <w:tcMar>
              <w:top w:w="35" w:type="dxa"/>
              <w:left w:w="60" w:type="dxa"/>
              <w:bottom w:w="35" w:type="dxa"/>
              <w:right w:w="60" w:type="dxa"/>
            </w:tcMar>
          </w:tcPr>
          <w:p w14:paraId="39FF1623" w14:textId="77777777" w:rsidR="0022120C" w:rsidRPr="00D42EFF" w:rsidRDefault="00D42EFF">
            <w:pPr>
              <w:spacing w:line="210" w:lineRule="auto"/>
              <w:rPr>
                <w:color w:val="000000" w:themeColor="text1"/>
              </w:rPr>
            </w:pPr>
            <w:r w:rsidRPr="00D42EFF">
              <w:rPr>
                <w:color w:val="000000" w:themeColor="text1"/>
                <w:sz w:val="15"/>
                <w:szCs w:val="15"/>
              </w:rPr>
              <w:t>de Chalus 2025 [15]</w:t>
            </w:r>
          </w:p>
        </w:tc>
        <w:tc>
          <w:tcPr>
            <w:tcW w:w="1700" w:type="dxa"/>
            <w:tcMar>
              <w:top w:w="35" w:type="dxa"/>
              <w:left w:w="60" w:type="dxa"/>
              <w:bottom w:w="35" w:type="dxa"/>
              <w:right w:w="60" w:type="dxa"/>
            </w:tcMar>
          </w:tcPr>
          <w:p w14:paraId="0A010267" w14:textId="77777777" w:rsidR="0022120C" w:rsidRPr="00D42EFF" w:rsidRDefault="00D42EFF">
            <w:pPr>
              <w:spacing w:line="210" w:lineRule="auto"/>
              <w:rPr>
                <w:color w:val="000000" w:themeColor="text1"/>
              </w:rPr>
            </w:pPr>
            <w:r w:rsidRPr="00D42EFF">
              <w:rPr>
                <w:color w:val="000000" w:themeColor="text1"/>
                <w:sz w:val="15"/>
                <w:szCs w:val="15"/>
              </w:rPr>
              <w:t>Multicentre retrospective (KidBioSEP); French 70 pediatric MS cohort</w:t>
            </w:r>
          </w:p>
        </w:tc>
        <w:tc>
          <w:tcPr>
            <w:tcW w:w="1350" w:type="dxa"/>
            <w:tcMar>
              <w:top w:w="35" w:type="dxa"/>
              <w:left w:w="60" w:type="dxa"/>
              <w:bottom w:w="35" w:type="dxa"/>
              <w:right w:w="60" w:type="dxa"/>
            </w:tcMar>
          </w:tcPr>
          <w:p w14:paraId="63C5DA0B"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384AD3C7" w14:textId="77777777" w:rsidR="0022120C" w:rsidRPr="00D42EFF" w:rsidRDefault="00D42EFF">
            <w:pPr>
              <w:spacing w:line="210" w:lineRule="auto"/>
              <w:rPr>
                <w:color w:val="000000" w:themeColor="text1"/>
              </w:rPr>
            </w:pPr>
            <w:r w:rsidRPr="00D42EFF">
              <w:rPr>
                <w:color w:val="000000" w:themeColor="text1"/>
                <w:sz w:val="15"/>
                <w:szCs w:val="15"/>
              </w:rPr>
              <w:t>Time to relapse; severity of course</w:t>
            </w:r>
          </w:p>
        </w:tc>
        <w:tc>
          <w:tcPr>
            <w:tcW w:w="3450" w:type="dxa"/>
            <w:tcMar>
              <w:top w:w="35" w:type="dxa"/>
              <w:left w:w="60" w:type="dxa"/>
              <w:bottom w:w="35" w:type="dxa"/>
              <w:right w:w="60" w:type="dxa"/>
            </w:tcMar>
          </w:tcPr>
          <w:p w14:paraId="29AB55D5" w14:textId="77777777" w:rsidR="0022120C" w:rsidRPr="00D42EFF" w:rsidRDefault="00D42EFF">
            <w:pPr>
              <w:spacing w:line="210" w:lineRule="auto"/>
              <w:rPr>
                <w:color w:val="000000" w:themeColor="text1"/>
              </w:rPr>
            </w:pPr>
            <w:r w:rsidRPr="00D42EFF">
              <w:rPr>
                <w:color w:val="000000" w:themeColor="text1"/>
                <w:sz w:val="15"/>
                <w:szCs w:val="15"/>
              </w:rPr>
              <w:t>Earlier relapse and worse prognosis in children &gt; 11.5 years (predictive model)</w:t>
            </w:r>
          </w:p>
        </w:tc>
        <w:tc>
          <w:tcPr>
            <w:tcW w:w="1200" w:type="dxa"/>
            <w:shd w:val="clear" w:color="auto" w:fill="C6E0B4"/>
            <w:tcMar>
              <w:top w:w="35" w:type="dxa"/>
              <w:left w:w="60" w:type="dxa"/>
              <w:bottom w:w="35" w:type="dxa"/>
              <w:right w:w="60" w:type="dxa"/>
            </w:tcMar>
          </w:tcPr>
          <w:p w14:paraId="2D088C5F"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413A2E01" w14:textId="77777777">
        <w:tc>
          <w:tcPr>
            <w:tcW w:w="2050" w:type="dxa"/>
            <w:shd w:val="clear" w:color="auto" w:fill="F2F2F2"/>
            <w:tcMar>
              <w:top w:w="35" w:type="dxa"/>
              <w:left w:w="60" w:type="dxa"/>
              <w:bottom w:w="35" w:type="dxa"/>
              <w:right w:w="60" w:type="dxa"/>
            </w:tcMar>
          </w:tcPr>
          <w:p w14:paraId="1339B291" w14:textId="77777777" w:rsidR="0022120C" w:rsidRPr="00D42EFF" w:rsidRDefault="00D42EFF">
            <w:pPr>
              <w:spacing w:line="210" w:lineRule="auto"/>
              <w:rPr>
                <w:color w:val="000000" w:themeColor="text1"/>
              </w:rPr>
            </w:pPr>
            <w:sdt>
              <w:sdtPr>
                <w:rPr>
                  <w:color w:val="000000" w:themeColor="text1"/>
                </w:rPr>
                <w:tag w:val="goog_rdk_1"/>
                <w:id w:val="855613774"/>
              </w:sdtPr>
              <w:sdtEndPr/>
              <w:sdtContent>
                <w:r w:rsidRPr="00D42EFF">
                  <w:rPr>
                    <w:rFonts w:ascii="Gungsuh" w:eastAsia="Gungsuh" w:hAnsi="Gungsuh" w:cs="Gungsuh"/>
                    <w:b/>
                    <w:bCs/>
                    <w:color w:val="000000" w:themeColor="text1"/>
                    <w:sz w:val="15"/>
                    <w:szCs w:val="15"/>
                  </w:rPr>
                  <w:t>Age at onset ≥ 14 years</w:t>
                </w:r>
              </w:sdtContent>
            </w:sdt>
          </w:p>
        </w:tc>
        <w:tc>
          <w:tcPr>
            <w:tcW w:w="1750" w:type="dxa"/>
            <w:shd w:val="clear" w:color="auto" w:fill="F2F2F2"/>
            <w:tcMar>
              <w:top w:w="35" w:type="dxa"/>
              <w:left w:w="60" w:type="dxa"/>
              <w:bottom w:w="35" w:type="dxa"/>
              <w:right w:w="60" w:type="dxa"/>
            </w:tcMar>
          </w:tcPr>
          <w:p w14:paraId="278424BE" w14:textId="77777777" w:rsidR="0022120C" w:rsidRPr="00D42EFF" w:rsidRDefault="00D42EFF">
            <w:pPr>
              <w:spacing w:line="210" w:lineRule="auto"/>
              <w:rPr>
                <w:color w:val="000000" w:themeColor="text1"/>
              </w:rPr>
            </w:pPr>
            <w:r w:rsidRPr="00D42EFF">
              <w:rPr>
                <w:color w:val="000000" w:themeColor="text1"/>
                <w:sz w:val="15"/>
                <w:szCs w:val="15"/>
              </w:rPr>
              <w:t>McKay 2019 [20]</w:t>
            </w:r>
          </w:p>
        </w:tc>
        <w:tc>
          <w:tcPr>
            <w:tcW w:w="1700" w:type="dxa"/>
            <w:shd w:val="clear" w:color="auto" w:fill="F2F2F2"/>
            <w:tcMar>
              <w:top w:w="35" w:type="dxa"/>
              <w:left w:w="60" w:type="dxa"/>
              <w:bottom w:w="35" w:type="dxa"/>
              <w:right w:w="60" w:type="dxa"/>
            </w:tcMar>
          </w:tcPr>
          <w:p w14:paraId="13824C1E" w14:textId="77777777" w:rsidR="0022120C" w:rsidRPr="00D42EFF" w:rsidRDefault="00D42EFF">
            <w:pPr>
              <w:spacing w:line="210" w:lineRule="auto"/>
              <w:rPr>
                <w:color w:val="000000" w:themeColor="text1"/>
              </w:rPr>
            </w:pPr>
            <w:r w:rsidRPr="00D42EFF">
              <w:rPr>
                <w:color w:val="000000" w:themeColor="text1"/>
                <w:sz w:val="15"/>
                <w:szCs w:val="15"/>
              </w:rPr>
              <w:t>Retrospective cohort; 549 POMS</w:t>
            </w:r>
          </w:p>
        </w:tc>
        <w:tc>
          <w:tcPr>
            <w:tcW w:w="1350" w:type="dxa"/>
            <w:shd w:val="clear" w:color="auto" w:fill="F2F2F2"/>
            <w:tcMar>
              <w:top w:w="35" w:type="dxa"/>
              <w:left w:w="60" w:type="dxa"/>
              <w:bottom w:w="35" w:type="dxa"/>
              <w:right w:w="60" w:type="dxa"/>
            </w:tcMar>
          </w:tcPr>
          <w:p w14:paraId="08AECC21"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34D9CE6D" w14:textId="77777777" w:rsidR="0022120C" w:rsidRPr="00D42EFF" w:rsidRDefault="00D42EFF">
            <w:pPr>
              <w:spacing w:line="210" w:lineRule="auto"/>
              <w:rPr>
                <w:color w:val="000000" w:themeColor="text1"/>
              </w:rPr>
            </w:pPr>
            <w:r w:rsidRPr="00D42EFF">
              <w:rPr>
                <w:color w:val="000000" w:themeColor="text1"/>
                <w:sz w:val="15"/>
                <w:szCs w:val="15"/>
              </w:rPr>
              <w:t>Time to sustained EDSS 3.0/4.0/6.0</w:t>
            </w:r>
          </w:p>
        </w:tc>
        <w:tc>
          <w:tcPr>
            <w:tcW w:w="3450" w:type="dxa"/>
            <w:shd w:val="clear" w:color="auto" w:fill="F2F2F2"/>
            <w:tcMar>
              <w:top w:w="35" w:type="dxa"/>
              <w:left w:w="60" w:type="dxa"/>
              <w:bottom w:w="35" w:type="dxa"/>
              <w:right w:w="60" w:type="dxa"/>
            </w:tcMar>
          </w:tcPr>
          <w:p w14:paraId="22D10D88" w14:textId="77777777" w:rsidR="0022120C" w:rsidRPr="00D42EFF" w:rsidRDefault="00D42EFF">
            <w:pPr>
              <w:spacing w:line="210" w:lineRule="auto"/>
              <w:rPr>
                <w:color w:val="000000" w:themeColor="text1"/>
              </w:rPr>
            </w:pPr>
            <w:r w:rsidRPr="00D42EFF">
              <w:rPr>
                <w:color w:val="000000" w:themeColor="text1"/>
                <w:sz w:val="15"/>
                <w:szCs w:val="15"/>
              </w:rPr>
              <w:t>HR 5.78 (univariable analysis)</w:t>
            </w:r>
          </w:p>
        </w:tc>
        <w:tc>
          <w:tcPr>
            <w:tcW w:w="1200" w:type="dxa"/>
            <w:shd w:val="clear" w:color="auto" w:fill="FFE699"/>
            <w:tcMar>
              <w:top w:w="35" w:type="dxa"/>
              <w:left w:w="60" w:type="dxa"/>
              <w:bottom w:w="35" w:type="dxa"/>
              <w:right w:w="60" w:type="dxa"/>
            </w:tcMar>
          </w:tcPr>
          <w:p w14:paraId="4900DD64"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r w:rsidR="00D42EFF" w:rsidRPr="00D42EFF" w14:paraId="2917A56C" w14:textId="77777777">
        <w:tc>
          <w:tcPr>
            <w:tcW w:w="2050" w:type="dxa"/>
            <w:tcMar>
              <w:top w:w="35" w:type="dxa"/>
              <w:left w:w="60" w:type="dxa"/>
              <w:bottom w:w="35" w:type="dxa"/>
              <w:right w:w="60" w:type="dxa"/>
            </w:tcMar>
          </w:tcPr>
          <w:p w14:paraId="7003ACAF" w14:textId="77777777" w:rsidR="0022120C" w:rsidRPr="00D42EFF" w:rsidRDefault="00D42EFF">
            <w:pPr>
              <w:spacing w:line="210" w:lineRule="auto"/>
              <w:rPr>
                <w:color w:val="000000" w:themeColor="text1"/>
              </w:rPr>
            </w:pPr>
            <w:r w:rsidRPr="00D42EFF">
              <w:rPr>
                <w:b/>
                <w:bCs/>
                <w:color w:val="000000" w:themeColor="text1"/>
                <w:sz w:val="15"/>
                <w:szCs w:val="15"/>
              </w:rPr>
              <w:t>Female sex</w:t>
            </w:r>
          </w:p>
        </w:tc>
        <w:tc>
          <w:tcPr>
            <w:tcW w:w="1750" w:type="dxa"/>
            <w:tcMar>
              <w:top w:w="35" w:type="dxa"/>
              <w:left w:w="60" w:type="dxa"/>
              <w:bottom w:w="35" w:type="dxa"/>
              <w:right w:w="60" w:type="dxa"/>
            </w:tcMar>
          </w:tcPr>
          <w:p w14:paraId="5804AAFC" w14:textId="77777777" w:rsidR="0022120C" w:rsidRPr="00D42EFF" w:rsidRDefault="00D42EFF">
            <w:pPr>
              <w:spacing w:line="210" w:lineRule="auto"/>
              <w:rPr>
                <w:color w:val="000000" w:themeColor="text1"/>
              </w:rPr>
            </w:pPr>
            <w:r w:rsidRPr="00D42EFF">
              <w:rPr>
                <w:color w:val="000000" w:themeColor="text1"/>
                <w:sz w:val="15"/>
                <w:szCs w:val="15"/>
              </w:rPr>
              <w:t>Iaffaldano</w:t>
            </w:r>
            <w:r w:rsidRPr="00D42EFF">
              <w:rPr>
                <w:color w:val="000000" w:themeColor="text1"/>
                <w:sz w:val="15"/>
                <w:szCs w:val="15"/>
              </w:rPr>
              <w:t xml:space="preserve"> 2017 [14]</w:t>
            </w:r>
          </w:p>
        </w:tc>
        <w:tc>
          <w:tcPr>
            <w:tcW w:w="1700" w:type="dxa"/>
            <w:tcMar>
              <w:top w:w="35" w:type="dxa"/>
              <w:left w:w="60" w:type="dxa"/>
              <w:bottom w:w="35" w:type="dxa"/>
              <w:right w:w="60" w:type="dxa"/>
            </w:tcMar>
          </w:tcPr>
          <w:p w14:paraId="462077AA" w14:textId="77777777" w:rsidR="0022120C" w:rsidRPr="00D42EFF" w:rsidRDefault="00D42EFF">
            <w:pPr>
              <w:spacing w:line="210" w:lineRule="auto"/>
              <w:rPr>
                <w:color w:val="000000" w:themeColor="text1"/>
              </w:rPr>
            </w:pPr>
            <w:r w:rsidRPr="00D42EFF">
              <w:rPr>
                <w:color w:val="000000" w:themeColor="text1"/>
                <w:sz w:val="15"/>
                <w:szCs w:val="15"/>
              </w:rPr>
              <w:t>Observational; 770 pediatric CIS</w:t>
            </w:r>
          </w:p>
        </w:tc>
        <w:tc>
          <w:tcPr>
            <w:tcW w:w="1350" w:type="dxa"/>
            <w:tcMar>
              <w:top w:w="35" w:type="dxa"/>
              <w:left w:w="60" w:type="dxa"/>
              <w:bottom w:w="35" w:type="dxa"/>
              <w:right w:w="60" w:type="dxa"/>
            </w:tcMar>
          </w:tcPr>
          <w:p w14:paraId="669B80BC" w14:textId="77777777" w:rsidR="0022120C" w:rsidRPr="00D42EFF" w:rsidRDefault="00D42EFF">
            <w:pPr>
              <w:spacing w:line="210" w:lineRule="auto"/>
              <w:jc w:val="center"/>
              <w:rPr>
                <w:color w:val="000000" w:themeColor="text1"/>
              </w:rPr>
            </w:pPr>
            <w:r w:rsidRPr="00D42EFF">
              <w:rPr>
                <w:color w:val="000000" w:themeColor="text1"/>
                <w:sz w:val="15"/>
                <w:szCs w:val="15"/>
              </w:rPr>
              <w:t>Conversion</w:t>
            </w:r>
          </w:p>
        </w:tc>
        <w:tc>
          <w:tcPr>
            <w:tcW w:w="1900" w:type="dxa"/>
            <w:tcMar>
              <w:top w:w="35" w:type="dxa"/>
              <w:left w:w="60" w:type="dxa"/>
              <w:bottom w:w="35" w:type="dxa"/>
              <w:right w:w="60" w:type="dxa"/>
            </w:tcMar>
          </w:tcPr>
          <w:p w14:paraId="76A68D2D" w14:textId="77777777" w:rsidR="0022120C" w:rsidRPr="00D42EFF" w:rsidRDefault="00D42EFF">
            <w:pPr>
              <w:spacing w:line="210" w:lineRule="auto"/>
              <w:rPr>
                <w:color w:val="000000" w:themeColor="text1"/>
              </w:rPr>
            </w:pPr>
            <w:r w:rsidRPr="00D42EFF">
              <w:rPr>
                <w:color w:val="000000" w:themeColor="text1"/>
                <w:sz w:val="15"/>
                <w:szCs w:val="15"/>
              </w:rPr>
              <w:t>Time to second clinical attack</w:t>
            </w:r>
          </w:p>
        </w:tc>
        <w:tc>
          <w:tcPr>
            <w:tcW w:w="3450" w:type="dxa"/>
            <w:tcMar>
              <w:top w:w="35" w:type="dxa"/>
              <w:left w:w="60" w:type="dxa"/>
              <w:bottom w:w="35" w:type="dxa"/>
              <w:right w:w="60" w:type="dxa"/>
            </w:tcMar>
          </w:tcPr>
          <w:p w14:paraId="6E82F23A" w14:textId="77777777" w:rsidR="0022120C" w:rsidRPr="00D42EFF" w:rsidRDefault="00D42EFF">
            <w:pPr>
              <w:spacing w:line="210" w:lineRule="auto"/>
              <w:rPr>
                <w:color w:val="000000" w:themeColor="text1"/>
              </w:rPr>
            </w:pPr>
            <w:r w:rsidRPr="00D42EFF">
              <w:rPr>
                <w:color w:val="000000" w:themeColor="text1"/>
                <w:sz w:val="15"/>
                <w:szCs w:val="15"/>
              </w:rPr>
              <w:t>Independent predictor of second clinical attack (multivariable Cox model)</w:t>
            </w:r>
          </w:p>
        </w:tc>
        <w:tc>
          <w:tcPr>
            <w:tcW w:w="1200" w:type="dxa"/>
            <w:shd w:val="clear" w:color="auto" w:fill="FFFFFF"/>
            <w:tcMar>
              <w:top w:w="35" w:type="dxa"/>
              <w:left w:w="60" w:type="dxa"/>
              <w:bottom w:w="35" w:type="dxa"/>
              <w:right w:w="60" w:type="dxa"/>
            </w:tcMar>
          </w:tcPr>
          <w:p w14:paraId="30939714" w14:textId="77777777" w:rsidR="0022120C" w:rsidRPr="00D42EFF" w:rsidRDefault="00D42EFF">
            <w:pPr>
              <w:spacing w:line="210" w:lineRule="auto"/>
              <w:jc w:val="center"/>
              <w:rPr>
                <w:color w:val="000000" w:themeColor="text1"/>
              </w:rPr>
            </w:pPr>
            <w:r w:rsidRPr="00D42EFF">
              <w:rPr>
                <w:color w:val="000000" w:themeColor="text1"/>
                <w:sz w:val="15"/>
                <w:szCs w:val="15"/>
              </w:rPr>
              <w:t>—</w:t>
            </w:r>
          </w:p>
        </w:tc>
      </w:tr>
      <w:tr w:rsidR="00D42EFF" w:rsidRPr="00D42EFF" w14:paraId="012CE109" w14:textId="77777777">
        <w:tc>
          <w:tcPr>
            <w:tcW w:w="2050" w:type="dxa"/>
            <w:shd w:val="clear" w:color="auto" w:fill="F2F2F2"/>
            <w:tcMar>
              <w:top w:w="35" w:type="dxa"/>
              <w:left w:w="60" w:type="dxa"/>
              <w:bottom w:w="35" w:type="dxa"/>
              <w:right w:w="60" w:type="dxa"/>
            </w:tcMar>
          </w:tcPr>
          <w:p w14:paraId="0B31DAD5" w14:textId="77777777" w:rsidR="0022120C" w:rsidRPr="00D42EFF" w:rsidRDefault="00D42EFF">
            <w:pPr>
              <w:spacing w:line="210" w:lineRule="auto"/>
              <w:rPr>
                <w:color w:val="000000" w:themeColor="text1"/>
              </w:rPr>
            </w:pPr>
            <w:r w:rsidRPr="00D42EFF">
              <w:rPr>
                <w:b/>
                <w:bCs/>
                <w:color w:val="000000" w:themeColor="text1"/>
                <w:sz w:val="15"/>
                <w:szCs w:val="15"/>
              </w:rPr>
              <w:t>Baseline EDSS (higher)</w:t>
            </w:r>
          </w:p>
        </w:tc>
        <w:tc>
          <w:tcPr>
            <w:tcW w:w="1750" w:type="dxa"/>
            <w:shd w:val="clear" w:color="auto" w:fill="F2F2F2"/>
            <w:tcMar>
              <w:top w:w="35" w:type="dxa"/>
              <w:left w:w="60" w:type="dxa"/>
              <w:bottom w:w="35" w:type="dxa"/>
              <w:right w:w="60" w:type="dxa"/>
            </w:tcMar>
          </w:tcPr>
          <w:p w14:paraId="12A4D282" w14:textId="77777777" w:rsidR="0022120C" w:rsidRPr="00D42EFF" w:rsidRDefault="00D42EFF">
            <w:pPr>
              <w:spacing w:line="210" w:lineRule="auto"/>
              <w:rPr>
                <w:color w:val="000000" w:themeColor="text1"/>
              </w:rPr>
            </w:pPr>
            <w:r w:rsidRPr="00D42EFF">
              <w:rPr>
                <w:color w:val="000000" w:themeColor="text1"/>
                <w:sz w:val="15"/>
                <w:szCs w:val="15"/>
              </w:rPr>
              <w:t>De Meo 2021 [16]</w:t>
            </w:r>
          </w:p>
        </w:tc>
        <w:tc>
          <w:tcPr>
            <w:tcW w:w="1700" w:type="dxa"/>
            <w:shd w:val="clear" w:color="auto" w:fill="F2F2F2"/>
            <w:tcMar>
              <w:top w:w="35" w:type="dxa"/>
              <w:left w:w="60" w:type="dxa"/>
              <w:bottom w:w="35" w:type="dxa"/>
              <w:right w:w="60" w:type="dxa"/>
            </w:tcMar>
          </w:tcPr>
          <w:p w14:paraId="582C7062" w14:textId="77777777" w:rsidR="0022120C" w:rsidRPr="00D42EFF" w:rsidRDefault="00D42EFF">
            <w:pPr>
              <w:spacing w:line="210" w:lineRule="auto"/>
              <w:rPr>
                <w:color w:val="000000" w:themeColor="text1"/>
              </w:rPr>
            </w:pPr>
            <w:r w:rsidRPr="00D42EFF">
              <w:rPr>
                <w:color w:val="000000" w:themeColor="text1"/>
                <w:sz w:val="15"/>
                <w:szCs w:val="15"/>
              </w:rPr>
              <w:t>Longitudinal observational cohort; 123 POMS</w:t>
            </w:r>
          </w:p>
        </w:tc>
        <w:tc>
          <w:tcPr>
            <w:tcW w:w="1350" w:type="dxa"/>
            <w:shd w:val="clear" w:color="auto" w:fill="F2F2F2"/>
            <w:tcMar>
              <w:top w:w="35" w:type="dxa"/>
              <w:left w:w="60" w:type="dxa"/>
              <w:bottom w:w="35" w:type="dxa"/>
              <w:right w:w="60" w:type="dxa"/>
            </w:tcMar>
          </w:tcPr>
          <w:p w14:paraId="3BE0516B"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27A04C57" w14:textId="77777777" w:rsidR="0022120C" w:rsidRPr="00D42EFF" w:rsidRDefault="00D42EFF">
            <w:pPr>
              <w:spacing w:line="210" w:lineRule="auto"/>
              <w:rPr>
                <w:color w:val="000000" w:themeColor="text1"/>
              </w:rPr>
            </w:pPr>
            <w:r w:rsidRPr="00D42EFF">
              <w:rPr>
                <w:color w:val="000000" w:themeColor="text1"/>
                <w:sz w:val="15"/>
                <w:szCs w:val="15"/>
              </w:rPr>
              <w:t>9-year EDSS score</w:t>
            </w:r>
          </w:p>
        </w:tc>
        <w:tc>
          <w:tcPr>
            <w:tcW w:w="3450" w:type="dxa"/>
            <w:shd w:val="clear" w:color="auto" w:fill="F2F2F2"/>
            <w:tcMar>
              <w:top w:w="35" w:type="dxa"/>
              <w:left w:w="60" w:type="dxa"/>
              <w:bottom w:w="35" w:type="dxa"/>
              <w:right w:w="60" w:type="dxa"/>
            </w:tcMar>
          </w:tcPr>
          <w:p w14:paraId="4B9D709C" w14:textId="77777777" w:rsidR="0022120C" w:rsidRPr="00D42EFF" w:rsidRDefault="00D42EFF">
            <w:pPr>
              <w:spacing w:line="210" w:lineRule="auto"/>
              <w:rPr>
                <w:color w:val="000000" w:themeColor="text1"/>
              </w:rPr>
            </w:pPr>
            <w:r w:rsidRPr="00D42EFF">
              <w:rPr>
                <w:color w:val="000000" w:themeColor="text1"/>
                <w:sz w:val="15"/>
                <w:szCs w:val="15"/>
              </w:rPr>
              <w:t>β = 0.58, p &lt; 0.001 (linear regression)</w:t>
            </w:r>
          </w:p>
        </w:tc>
        <w:tc>
          <w:tcPr>
            <w:tcW w:w="1200" w:type="dxa"/>
            <w:shd w:val="clear" w:color="auto" w:fill="F8CBAD"/>
            <w:tcMar>
              <w:top w:w="35" w:type="dxa"/>
              <w:left w:w="60" w:type="dxa"/>
              <w:bottom w:w="35" w:type="dxa"/>
              <w:right w:w="60" w:type="dxa"/>
            </w:tcMar>
          </w:tcPr>
          <w:p w14:paraId="71F5E3B1" w14:textId="77777777" w:rsidR="0022120C" w:rsidRPr="00D42EFF" w:rsidRDefault="00D42EFF">
            <w:pPr>
              <w:spacing w:line="210" w:lineRule="auto"/>
              <w:jc w:val="center"/>
              <w:rPr>
                <w:color w:val="000000" w:themeColor="text1"/>
              </w:rPr>
            </w:pPr>
            <w:r w:rsidRPr="00D42EFF">
              <w:rPr>
                <w:color w:val="000000" w:themeColor="text1"/>
                <w:sz w:val="15"/>
                <w:szCs w:val="15"/>
              </w:rPr>
              <w:t>D</w:t>
            </w:r>
          </w:p>
        </w:tc>
      </w:tr>
      <w:tr w:rsidR="00D42EFF" w:rsidRPr="00D42EFF" w14:paraId="7680FD7E" w14:textId="77777777">
        <w:tc>
          <w:tcPr>
            <w:tcW w:w="2050" w:type="dxa"/>
            <w:tcMar>
              <w:top w:w="35" w:type="dxa"/>
              <w:left w:w="60" w:type="dxa"/>
              <w:bottom w:w="35" w:type="dxa"/>
              <w:right w:w="60" w:type="dxa"/>
            </w:tcMar>
          </w:tcPr>
          <w:p w14:paraId="31C1C0C1" w14:textId="77777777" w:rsidR="0022120C" w:rsidRPr="00D42EFF" w:rsidRDefault="00D42EFF">
            <w:pPr>
              <w:spacing w:line="210" w:lineRule="auto"/>
              <w:rPr>
                <w:color w:val="000000" w:themeColor="text1"/>
              </w:rPr>
            </w:pPr>
            <w:sdt>
              <w:sdtPr>
                <w:rPr>
                  <w:color w:val="000000" w:themeColor="text1"/>
                </w:rPr>
                <w:tag w:val="goog_rdk_2"/>
                <w:id w:val="1869107079"/>
              </w:sdtPr>
              <w:sdtEndPr/>
              <w:sdtContent>
                <w:r w:rsidRPr="00D42EFF">
                  <w:rPr>
                    <w:rFonts w:ascii="Gungsuh" w:eastAsia="Gungsuh" w:hAnsi="Gungsuh" w:cs="Gungsuh"/>
                    <w:b/>
                    <w:bCs/>
                    <w:color w:val="000000" w:themeColor="text1"/>
                    <w:sz w:val="15"/>
                    <w:szCs w:val="15"/>
                  </w:rPr>
                  <w:t>Baseline EDSS ≥ 3</w:t>
                </w:r>
              </w:sdtContent>
            </w:sdt>
          </w:p>
        </w:tc>
        <w:tc>
          <w:tcPr>
            <w:tcW w:w="1750" w:type="dxa"/>
            <w:tcMar>
              <w:top w:w="35" w:type="dxa"/>
              <w:left w:w="60" w:type="dxa"/>
              <w:bottom w:w="35" w:type="dxa"/>
              <w:right w:w="60" w:type="dxa"/>
            </w:tcMar>
          </w:tcPr>
          <w:p w14:paraId="710C8593" w14:textId="77777777" w:rsidR="0022120C" w:rsidRPr="00D42EFF" w:rsidRDefault="00D42EFF">
            <w:pPr>
              <w:spacing w:line="210" w:lineRule="auto"/>
              <w:rPr>
                <w:color w:val="000000" w:themeColor="text1"/>
              </w:rPr>
            </w:pPr>
            <w:r w:rsidRPr="00D42EFF">
              <w:rPr>
                <w:color w:val="000000" w:themeColor="text1"/>
                <w:sz w:val="15"/>
                <w:szCs w:val="15"/>
              </w:rPr>
              <w:t>Kopp 2020 [17]</w:t>
            </w:r>
          </w:p>
        </w:tc>
        <w:tc>
          <w:tcPr>
            <w:tcW w:w="1700" w:type="dxa"/>
            <w:tcMar>
              <w:top w:w="35" w:type="dxa"/>
              <w:left w:w="60" w:type="dxa"/>
              <w:bottom w:w="35" w:type="dxa"/>
              <w:right w:w="60" w:type="dxa"/>
            </w:tcMar>
          </w:tcPr>
          <w:p w14:paraId="086D5F77" w14:textId="77777777" w:rsidR="0022120C" w:rsidRPr="00D42EFF" w:rsidRDefault="00D42EFF">
            <w:pPr>
              <w:spacing w:line="210" w:lineRule="auto"/>
              <w:rPr>
                <w:color w:val="000000" w:themeColor="text1"/>
              </w:rPr>
            </w:pPr>
            <w:r w:rsidRPr="00D42EFF">
              <w:rPr>
                <w:color w:val="000000" w:themeColor="text1"/>
                <w:sz w:val="15"/>
                <w:szCs w:val="15"/>
              </w:rPr>
              <w:t>Observational cohort; 291 POMS</w:t>
            </w:r>
          </w:p>
        </w:tc>
        <w:tc>
          <w:tcPr>
            <w:tcW w:w="1350" w:type="dxa"/>
            <w:tcMar>
              <w:top w:w="35" w:type="dxa"/>
              <w:left w:w="60" w:type="dxa"/>
              <w:bottom w:w="35" w:type="dxa"/>
              <w:right w:w="60" w:type="dxa"/>
            </w:tcMar>
          </w:tcPr>
          <w:p w14:paraId="66F40842"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3AEDB660" w14:textId="77777777" w:rsidR="0022120C" w:rsidRPr="00D42EFF" w:rsidRDefault="00D42EFF">
            <w:pPr>
              <w:spacing w:line="210" w:lineRule="auto"/>
              <w:rPr>
                <w:color w:val="000000" w:themeColor="text1"/>
              </w:rPr>
            </w:pPr>
            <w:r w:rsidRPr="00D42EFF">
              <w:rPr>
                <w:color w:val="000000" w:themeColor="text1"/>
                <w:sz w:val="15"/>
                <w:szCs w:val="15"/>
              </w:rPr>
              <w:t>6-month confirmed EDSS improvement</w:t>
            </w:r>
          </w:p>
        </w:tc>
        <w:tc>
          <w:tcPr>
            <w:tcW w:w="3450" w:type="dxa"/>
            <w:tcMar>
              <w:top w:w="35" w:type="dxa"/>
              <w:left w:w="60" w:type="dxa"/>
              <w:bottom w:w="35" w:type="dxa"/>
              <w:right w:w="60" w:type="dxa"/>
            </w:tcMar>
          </w:tcPr>
          <w:p w14:paraId="4C7A5804" w14:textId="77777777" w:rsidR="0022120C" w:rsidRPr="00D42EFF" w:rsidRDefault="00D42EFF">
            <w:pPr>
              <w:spacing w:line="210" w:lineRule="auto"/>
              <w:rPr>
                <w:color w:val="000000" w:themeColor="text1"/>
              </w:rPr>
            </w:pPr>
            <w:r w:rsidRPr="00D42EFF">
              <w:rPr>
                <w:color w:val="000000" w:themeColor="text1"/>
                <w:sz w:val="15"/>
                <w:szCs w:val="15"/>
              </w:rPr>
              <w:t>~2-fold higher likelihood of confirmed clinical improvement vs EDSS &lt; 3</w:t>
            </w:r>
          </w:p>
        </w:tc>
        <w:tc>
          <w:tcPr>
            <w:tcW w:w="1200" w:type="dxa"/>
            <w:shd w:val="clear" w:color="auto" w:fill="F8CBAD"/>
            <w:tcMar>
              <w:top w:w="35" w:type="dxa"/>
              <w:left w:w="60" w:type="dxa"/>
              <w:bottom w:w="35" w:type="dxa"/>
              <w:right w:w="60" w:type="dxa"/>
            </w:tcMar>
          </w:tcPr>
          <w:p w14:paraId="0C8F74D0" w14:textId="77777777" w:rsidR="0022120C" w:rsidRPr="00D42EFF" w:rsidRDefault="00D42EFF">
            <w:pPr>
              <w:spacing w:line="210" w:lineRule="auto"/>
              <w:jc w:val="center"/>
              <w:rPr>
                <w:color w:val="000000" w:themeColor="text1"/>
              </w:rPr>
            </w:pPr>
            <w:r w:rsidRPr="00D42EFF">
              <w:rPr>
                <w:color w:val="000000" w:themeColor="text1"/>
                <w:sz w:val="15"/>
                <w:szCs w:val="15"/>
              </w:rPr>
              <w:t>D</w:t>
            </w:r>
          </w:p>
        </w:tc>
      </w:tr>
      <w:tr w:rsidR="00D42EFF" w:rsidRPr="00D42EFF" w14:paraId="0CAA00E1" w14:textId="77777777">
        <w:tc>
          <w:tcPr>
            <w:tcW w:w="2050" w:type="dxa"/>
            <w:shd w:val="clear" w:color="auto" w:fill="F2F2F2"/>
            <w:tcMar>
              <w:top w:w="35" w:type="dxa"/>
              <w:left w:w="60" w:type="dxa"/>
              <w:bottom w:w="35" w:type="dxa"/>
              <w:right w:w="60" w:type="dxa"/>
            </w:tcMar>
          </w:tcPr>
          <w:p w14:paraId="4D89B1E0" w14:textId="77777777" w:rsidR="0022120C" w:rsidRPr="00D42EFF" w:rsidRDefault="00D42EFF">
            <w:pPr>
              <w:spacing w:line="210" w:lineRule="auto"/>
              <w:rPr>
                <w:color w:val="000000" w:themeColor="text1"/>
              </w:rPr>
            </w:pPr>
            <w:r w:rsidRPr="00D42EFF">
              <w:rPr>
                <w:b/>
                <w:bCs/>
                <w:color w:val="000000" w:themeColor="text1"/>
                <w:sz w:val="15"/>
                <w:szCs w:val="15"/>
              </w:rPr>
              <w:t xml:space="preserve">EDSS </w:t>
            </w:r>
            <w:r w:rsidRPr="00D42EFF">
              <w:rPr>
                <w:b/>
                <w:bCs/>
                <w:color w:val="000000" w:themeColor="text1"/>
                <w:sz w:val="15"/>
                <w:szCs w:val="15"/>
              </w:rPr>
              <w:t>change in first 2 years</w:t>
            </w:r>
          </w:p>
        </w:tc>
        <w:tc>
          <w:tcPr>
            <w:tcW w:w="1750" w:type="dxa"/>
            <w:shd w:val="clear" w:color="auto" w:fill="F2F2F2"/>
            <w:tcMar>
              <w:top w:w="35" w:type="dxa"/>
              <w:left w:w="60" w:type="dxa"/>
              <w:bottom w:w="35" w:type="dxa"/>
              <w:right w:w="60" w:type="dxa"/>
            </w:tcMar>
          </w:tcPr>
          <w:p w14:paraId="3679B5D1" w14:textId="77777777" w:rsidR="0022120C" w:rsidRPr="00D42EFF" w:rsidRDefault="00D42EFF">
            <w:pPr>
              <w:spacing w:line="210" w:lineRule="auto"/>
              <w:rPr>
                <w:color w:val="000000" w:themeColor="text1"/>
              </w:rPr>
            </w:pPr>
            <w:r w:rsidRPr="00D42EFF">
              <w:rPr>
                <w:color w:val="000000" w:themeColor="text1"/>
                <w:sz w:val="15"/>
                <w:szCs w:val="15"/>
              </w:rPr>
              <w:t>De Meo 2021 [16]</w:t>
            </w:r>
          </w:p>
        </w:tc>
        <w:tc>
          <w:tcPr>
            <w:tcW w:w="1700" w:type="dxa"/>
            <w:shd w:val="clear" w:color="auto" w:fill="F2F2F2"/>
            <w:tcMar>
              <w:top w:w="35" w:type="dxa"/>
              <w:left w:w="60" w:type="dxa"/>
              <w:bottom w:w="35" w:type="dxa"/>
              <w:right w:w="60" w:type="dxa"/>
            </w:tcMar>
          </w:tcPr>
          <w:p w14:paraId="7640EBCA" w14:textId="77777777" w:rsidR="0022120C" w:rsidRPr="00D42EFF" w:rsidRDefault="00D42EFF">
            <w:pPr>
              <w:spacing w:line="210" w:lineRule="auto"/>
              <w:rPr>
                <w:color w:val="000000" w:themeColor="text1"/>
              </w:rPr>
            </w:pPr>
            <w:r w:rsidRPr="00D42EFF">
              <w:rPr>
                <w:color w:val="000000" w:themeColor="text1"/>
                <w:sz w:val="15"/>
                <w:szCs w:val="15"/>
              </w:rPr>
              <w:t>Longitudinal observational cohort; 123 POMS</w:t>
            </w:r>
          </w:p>
        </w:tc>
        <w:tc>
          <w:tcPr>
            <w:tcW w:w="1350" w:type="dxa"/>
            <w:shd w:val="clear" w:color="auto" w:fill="F2F2F2"/>
            <w:tcMar>
              <w:top w:w="35" w:type="dxa"/>
              <w:left w:w="60" w:type="dxa"/>
              <w:bottom w:w="35" w:type="dxa"/>
              <w:right w:w="60" w:type="dxa"/>
            </w:tcMar>
          </w:tcPr>
          <w:p w14:paraId="33A28E8F"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7E43C642" w14:textId="77777777" w:rsidR="0022120C" w:rsidRPr="00D42EFF" w:rsidRDefault="00D42EFF">
            <w:pPr>
              <w:spacing w:line="210" w:lineRule="auto"/>
              <w:rPr>
                <w:color w:val="000000" w:themeColor="text1"/>
              </w:rPr>
            </w:pPr>
            <w:r w:rsidRPr="00D42EFF">
              <w:rPr>
                <w:color w:val="000000" w:themeColor="text1"/>
                <w:sz w:val="15"/>
                <w:szCs w:val="15"/>
              </w:rPr>
              <w:t>9-year disability worsening; 9-year EDSS</w:t>
            </w:r>
          </w:p>
        </w:tc>
        <w:tc>
          <w:tcPr>
            <w:tcW w:w="3450" w:type="dxa"/>
            <w:shd w:val="clear" w:color="auto" w:fill="F2F2F2"/>
            <w:tcMar>
              <w:top w:w="35" w:type="dxa"/>
              <w:left w:w="60" w:type="dxa"/>
              <w:bottom w:w="35" w:type="dxa"/>
              <w:right w:w="60" w:type="dxa"/>
            </w:tcMar>
          </w:tcPr>
          <w:p w14:paraId="0919C8AB" w14:textId="77777777" w:rsidR="0022120C" w:rsidRPr="00D42EFF" w:rsidRDefault="00D42EFF">
            <w:pPr>
              <w:spacing w:line="210" w:lineRule="auto"/>
              <w:rPr>
                <w:color w:val="000000" w:themeColor="text1"/>
              </w:rPr>
            </w:pPr>
            <w:r w:rsidRPr="00D42EFF">
              <w:rPr>
                <w:color w:val="000000" w:themeColor="text1"/>
                <w:sz w:val="15"/>
                <w:szCs w:val="15"/>
              </w:rPr>
              <w:t>1-year EDSS change: OR 13.40, p &lt; 0.001; 2-year change: OR 16.38, p = 0.02. 9-year EDSS: β = 0.71 and β = 0.55, p &lt; 0.00</w:t>
            </w:r>
            <w:r w:rsidRPr="00D42EFF">
              <w:rPr>
                <w:color w:val="000000" w:themeColor="text1"/>
                <w:sz w:val="15"/>
                <w:szCs w:val="15"/>
              </w:rPr>
              <w:t>1</w:t>
            </w:r>
          </w:p>
        </w:tc>
        <w:tc>
          <w:tcPr>
            <w:tcW w:w="1200" w:type="dxa"/>
            <w:shd w:val="clear" w:color="auto" w:fill="C6E0B4"/>
            <w:tcMar>
              <w:top w:w="35" w:type="dxa"/>
              <w:left w:w="60" w:type="dxa"/>
              <w:bottom w:w="35" w:type="dxa"/>
              <w:right w:w="60" w:type="dxa"/>
            </w:tcMar>
          </w:tcPr>
          <w:p w14:paraId="3D33F0CF"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559301FF" w14:textId="77777777">
        <w:tc>
          <w:tcPr>
            <w:tcW w:w="2050" w:type="dxa"/>
            <w:tcMar>
              <w:top w:w="35" w:type="dxa"/>
              <w:left w:w="60" w:type="dxa"/>
              <w:bottom w:w="35" w:type="dxa"/>
              <w:right w:w="60" w:type="dxa"/>
            </w:tcMar>
          </w:tcPr>
          <w:p w14:paraId="70F07CBF" w14:textId="77777777" w:rsidR="0022120C" w:rsidRPr="00D42EFF" w:rsidRDefault="00D42EFF">
            <w:pPr>
              <w:spacing w:line="210" w:lineRule="auto"/>
              <w:rPr>
                <w:color w:val="000000" w:themeColor="text1"/>
              </w:rPr>
            </w:pPr>
            <w:r w:rsidRPr="00D42EFF">
              <w:rPr>
                <w:b/>
                <w:bCs/>
                <w:color w:val="000000" w:themeColor="text1"/>
                <w:sz w:val="15"/>
                <w:szCs w:val="15"/>
              </w:rPr>
              <w:t>Relapse number in first 2 years</w:t>
            </w:r>
          </w:p>
        </w:tc>
        <w:tc>
          <w:tcPr>
            <w:tcW w:w="1750" w:type="dxa"/>
            <w:tcMar>
              <w:top w:w="35" w:type="dxa"/>
              <w:left w:w="60" w:type="dxa"/>
              <w:bottom w:w="35" w:type="dxa"/>
              <w:right w:w="60" w:type="dxa"/>
            </w:tcMar>
          </w:tcPr>
          <w:p w14:paraId="54EE9064" w14:textId="77777777" w:rsidR="0022120C" w:rsidRPr="00D42EFF" w:rsidRDefault="00D42EFF">
            <w:pPr>
              <w:spacing w:line="210" w:lineRule="auto"/>
              <w:rPr>
                <w:color w:val="000000" w:themeColor="text1"/>
              </w:rPr>
            </w:pPr>
            <w:r w:rsidRPr="00D42EFF">
              <w:rPr>
                <w:color w:val="000000" w:themeColor="text1"/>
                <w:sz w:val="15"/>
                <w:szCs w:val="15"/>
              </w:rPr>
              <w:t>McKay 2019 [20]</w:t>
            </w:r>
          </w:p>
        </w:tc>
        <w:tc>
          <w:tcPr>
            <w:tcW w:w="1700" w:type="dxa"/>
            <w:tcMar>
              <w:top w:w="35" w:type="dxa"/>
              <w:left w:w="60" w:type="dxa"/>
              <w:bottom w:w="35" w:type="dxa"/>
              <w:right w:w="60" w:type="dxa"/>
            </w:tcMar>
          </w:tcPr>
          <w:p w14:paraId="5F262079" w14:textId="77777777" w:rsidR="0022120C" w:rsidRPr="00D42EFF" w:rsidRDefault="00D42EFF">
            <w:pPr>
              <w:spacing w:line="210" w:lineRule="auto"/>
              <w:rPr>
                <w:color w:val="000000" w:themeColor="text1"/>
              </w:rPr>
            </w:pPr>
            <w:r w:rsidRPr="00D42EFF">
              <w:rPr>
                <w:color w:val="000000" w:themeColor="text1"/>
                <w:sz w:val="15"/>
                <w:szCs w:val="15"/>
              </w:rPr>
              <w:t>Retrospective cohort; 549 POMS</w:t>
            </w:r>
          </w:p>
        </w:tc>
        <w:tc>
          <w:tcPr>
            <w:tcW w:w="1350" w:type="dxa"/>
            <w:tcMar>
              <w:top w:w="35" w:type="dxa"/>
              <w:left w:w="60" w:type="dxa"/>
              <w:bottom w:w="35" w:type="dxa"/>
              <w:right w:w="60" w:type="dxa"/>
            </w:tcMar>
          </w:tcPr>
          <w:p w14:paraId="54B89B1F"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4923D3F2" w14:textId="77777777" w:rsidR="0022120C" w:rsidRPr="00D42EFF" w:rsidRDefault="00D42EFF">
            <w:pPr>
              <w:spacing w:line="210" w:lineRule="auto"/>
              <w:rPr>
                <w:color w:val="000000" w:themeColor="text1"/>
              </w:rPr>
            </w:pPr>
            <w:r w:rsidRPr="00D42EFF">
              <w:rPr>
                <w:color w:val="000000" w:themeColor="text1"/>
                <w:sz w:val="15"/>
                <w:szCs w:val="15"/>
              </w:rPr>
              <w:t>Time to secondary progression</w:t>
            </w:r>
          </w:p>
        </w:tc>
        <w:tc>
          <w:tcPr>
            <w:tcW w:w="3450" w:type="dxa"/>
            <w:tcMar>
              <w:top w:w="35" w:type="dxa"/>
              <w:left w:w="60" w:type="dxa"/>
              <w:bottom w:w="35" w:type="dxa"/>
              <w:right w:w="60" w:type="dxa"/>
            </w:tcMar>
          </w:tcPr>
          <w:p w14:paraId="7E86C307" w14:textId="77777777" w:rsidR="0022120C" w:rsidRPr="00D42EFF" w:rsidRDefault="00D42EFF">
            <w:pPr>
              <w:spacing w:line="210" w:lineRule="auto"/>
              <w:rPr>
                <w:color w:val="000000" w:themeColor="text1"/>
              </w:rPr>
            </w:pPr>
            <w:r w:rsidRPr="00D42EFF">
              <w:rPr>
                <w:color w:val="000000" w:themeColor="text1"/>
                <w:sz w:val="15"/>
                <w:szCs w:val="15"/>
              </w:rPr>
              <w:t>HR 4.52, p = 0.016 (multivariable Cox)</w:t>
            </w:r>
          </w:p>
        </w:tc>
        <w:tc>
          <w:tcPr>
            <w:tcW w:w="1200" w:type="dxa"/>
            <w:shd w:val="clear" w:color="auto" w:fill="C6E0B4"/>
            <w:tcMar>
              <w:top w:w="35" w:type="dxa"/>
              <w:left w:w="60" w:type="dxa"/>
              <w:bottom w:w="35" w:type="dxa"/>
              <w:right w:w="60" w:type="dxa"/>
            </w:tcMar>
          </w:tcPr>
          <w:p w14:paraId="12F4D4C3"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0E778FF4" w14:textId="77777777">
        <w:tc>
          <w:tcPr>
            <w:tcW w:w="2050" w:type="dxa"/>
            <w:shd w:val="clear" w:color="auto" w:fill="F2F2F2"/>
            <w:tcMar>
              <w:top w:w="35" w:type="dxa"/>
              <w:left w:w="60" w:type="dxa"/>
              <w:bottom w:w="35" w:type="dxa"/>
              <w:right w:w="60" w:type="dxa"/>
            </w:tcMar>
          </w:tcPr>
          <w:p w14:paraId="03C08695" w14:textId="77777777" w:rsidR="0022120C" w:rsidRPr="00D42EFF" w:rsidRDefault="00D42EFF">
            <w:pPr>
              <w:spacing w:line="210" w:lineRule="auto"/>
              <w:rPr>
                <w:color w:val="000000" w:themeColor="text1"/>
              </w:rPr>
            </w:pPr>
            <w:r w:rsidRPr="00D42EFF">
              <w:rPr>
                <w:b/>
                <w:bCs/>
                <w:color w:val="000000" w:themeColor="text1"/>
                <w:sz w:val="15"/>
                <w:szCs w:val="15"/>
              </w:rPr>
              <w:t>Relapse occurrence (any)</w:t>
            </w:r>
          </w:p>
        </w:tc>
        <w:tc>
          <w:tcPr>
            <w:tcW w:w="1750" w:type="dxa"/>
            <w:shd w:val="clear" w:color="auto" w:fill="F2F2F2"/>
            <w:tcMar>
              <w:top w:w="35" w:type="dxa"/>
              <w:left w:w="60" w:type="dxa"/>
              <w:bottom w:w="35" w:type="dxa"/>
              <w:right w:w="60" w:type="dxa"/>
            </w:tcMar>
          </w:tcPr>
          <w:p w14:paraId="0BF7A7AC" w14:textId="77777777" w:rsidR="0022120C" w:rsidRPr="00D42EFF" w:rsidRDefault="00D42EFF">
            <w:pPr>
              <w:spacing w:line="210" w:lineRule="auto"/>
              <w:rPr>
                <w:color w:val="000000" w:themeColor="text1"/>
              </w:rPr>
            </w:pPr>
            <w:r w:rsidRPr="00D42EFF">
              <w:rPr>
                <w:color w:val="000000" w:themeColor="text1"/>
                <w:sz w:val="15"/>
                <w:szCs w:val="15"/>
              </w:rPr>
              <w:t>Iaffaldano 2017 [14]</w:t>
            </w:r>
          </w:p>
        </w:tc>
        <w:tc>
          <w:tcPr>
            <w:tcW w:w="1700" w:type="dxa"/>
            <w:shd w:val="clear" w:color="auto" w:fill="F2F2F2"/>
            <w:tcMar>
              <w:top w:w="35" w:type="dxa"/>
              <w:left w:w="60" w:type="dxa"/>
              <w:bottom w:w="35" w:type="dxa"/>
              <w:right w:w="60" w:type="dxa"/>
            </w:tcMar>
          </w:tcPr>
          <w:p w14:paraId="36E82509" w14:textId="77777777" w:rsidR="0022120C" w:rsidRPr="00D42EFF" w:rsidRDefault="00D42EFF">
            <w:pPr>
              <w:spacing w:line="210" w:lineRule="auto"/>
              <w:rPr>
                <w:color w:val="000000" w:themeColor="text1"/>
              </w:rPr>
            </w:pPr>
            <w:r w:rsidRPr="00D42EFF">
              <w:rPr>
                <w:color w:val="000000" w:themeColor="text1"/>
                <w:sz w:val="15"/>
                <w:szCs w:val="15"/>
              </w:rPr>
              <w:t>Observational; 770 pediatric CIS</w:t>
            </w:r>
          </w:p>
        </w:tc>
        <w:tc>
          <w:tcPr>
            <w:tcW w:w="1350" w:type="dxa"/>
            <w:shd w:val="clear" w:color="auto" w:fill="F2F2F2"/>
            <w:tcMar>
              <w:top w:w="35" w:type="dxa"/>
              <w:left w:w="60" w:type="dxa"/>
              <w:bottom w:w="35" w:type="dxa"/>
              <w:right w:w="60" w:type="dxa"/>
            </w:tcMar>
          </w:tcPr>
          <w:p w14:paraId="02E1A2EA"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253399EA" w14:textId="77777777" w:rsidR="0022120C" w:rsidRPr="00D42EFF" w:rsidRDefault="00D42EFF">
            <w:pPr>
              <w:spacing w:line="210" w:lineRule="auto"/>
              <w:rPr>
                <w:color w:val="000000" w:themeColor="text1"/>
              </w:rPr>
            </w:pPr>
            <w:r w:rsidRPr="00D42EFF">
              <w:rPr>
                <w:color w:val="000000" w:themeColor="text1"/>
                <w:sz w:val="15"/>
                <w:szCs w:val="15"/>
              </w:rPr>
              <w:t>Time to first EDSS-worsening event</w:t>
            </w:r>
          </w:p>
        </w:tc>
        <w:tc>
          <w:tcPr>
            <w:tcW w:w="3450" w:type="dxa"/>
            <w:shd w:val="clear" w:color="auto" w:fill="F2F2F2"/>
            <w:tcMar>
              <w:top w:w="35" w:type="dxa"/>
              <w:left w:w="60" w:type="dxa"/>
              <w:bottom w:w="35" w:type="dxa"/>
              <w:right w:w="60" w:type="dxa"/>
            </w:tcMar>
          </w:tcPr>
          <w:p w14:paraId="47A4749C" w14:textId="77777777" w:rsidR="0022120C" w:rsidRPr="00D42EFF" w:rsidRDefault="00D42EFF">
            <w:pPr>
              <w:spacing w:line="210" w:lineRule="auto"/>
              <w:rPr>
                <w:color w:val="000000" w:themeColor="text1"/>
              </w:rPr>
            </w:pPr>
            <w:r w:rsidRPr="00D42EFF">
              <w:rPr>
                <w:color w:val="000000" w:themeColor="text1"/>
                <w:sz w:val="15"/>
                <w:szCs w:val="15"/>
              </w:rPr>
              <w:t>HR 5.08 (95% CI 3.46–7.46)</w:t>
            </w:r>
          </w:p>
        </w:tc>
        <w:tc>
          <w:tcPr>
            <w:tcW w:w="1200" w:type="dxa"/>
            <w:shd w:val="clear" w:color="auto" w:fill="C6E0B4"/>
            <w:tcMar>
              <w:top w:w="35" w:type="dxa"/>
              <w:left w:w="60" w:type="dxa"/>
              <w:bottom w:w="35" w:type="dxa"/>
              <w:right w:w="60" w:type="dxa"/>
            </w:tcMar>
          </w:tcPr>
          <w:p w14:paraId="0B1A63E9"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74CEC4DE" w14:textId="77777777">
        <w:tc>
          <w:tcPr>
            <w:tcW w:w="2050" w:type="dxa"/>
            <w:tcMar>
              <w:top w:w="35" w:type="dxa"/>
              <w:left w:w="60" w:type="dxa"/>
              <w:bottom w:w="35" w:type="dxa"/>
              <w:right w:w="60" w:type="dxa"/>
            </w:tcMar>
          </w:tcPr>
          <w:p w14:paraId="1BDA40DC" w14:textId="77777777" w:rsidR="0022120C" w:rsidRPr="00D42EFF" w:rsidRDefault="00D42EFF">
            <w:pPr>
              <w:spacing w:line="210" w:lineRule="auto"/>
              <w:rPr>
                <w:color w:val="000000" w:themeColor="text1"/>
              </w:rPr>
            </w:pPr>
            <w:r w:rsidRPr="00D42EFF">
              <w:rPr>
                <w:b/>
                <w:bCs/>
                <w:color w:val="000000" w:themeColor="text1"/>
                <w:sz w:val="15"/>
                <w:szCs w:val="15"/>
              </w:rPr>
              <w:t>Annualised relapse rate (first 5 years)</w:t>
            </w:r>
          </w:p>
        </w:tc>
        <w:tc>
          <w:tcPr>
            <w:tcW w:w="1750" w:type="dxa"/>
            <w:tcMar>
              <w:top w:w="35" w:type="dxa"/>
              <w:left w:w="60" w:type="dxa"/>
              <w:bottom w:w="35" w:type="dxa"/>
              <w:right w:w="60" w:type="dxa"/>
            </w:tcMar>
          </w:tcPr>
          <w:p w14:paraId="1EF6FAC3" w14:textId="77777777" w:rsidR="0022120C" w:rsidRPr="00D42EFF" w:rsidRDefault="00D42EFF">
            <w:pPr>
              <w:spacing w:line="210" w:lineRule="auto"/>
              <w:rPr>
                <w:color w:val="000000" w:themeColor="text1"/>
              </w:rPr>
            </w:pPr>
            <w:r w:rsidRPr="00D42EFF">
              <w:rPr>
                <w:color w:val="000000" w:themeColor="text1"/>
                <w:sz w:val="15"/>
                <w:szCs w:val="15"/>
              </w:rPr>
              <w:t>Boiko 2002 [21]</w:t>
            </w:r>
          </w:p>
        </w:tc>
        <w:tc>
          <w:tcPr>
            <w:tcW w:w="1700" w:type="dxa"/>
            <w:tcMar>
              <w:top w:w="35" w:type="dxa"/>
              <w:left w:w="60" w:type="dxa"/>
              <w:bottom w:w="35" w:type="dxa"/>
              <w:right w:w="60" w:type="dxa"/>
            </w:tcMar>
          </w:tcPr>
          <w:p w14:paraId="03FEBF38" w14:textId="77777777" w:rsidR="0022120C" w:rsidRPr="00D42EFF" w:rsidRDefault="00D42EFF">
            <w:pPr>
              <w:spacing w:line="210" w:lineRule="auto"/>
              <w:rPr>
                <w:color w:val="000000" w:themeColor="text1"/>
              </w:rPr>
            </w:pPr>
            <w:r w:rsidRPr="00D42EFF">
              <w:rPr>
                <w:color w:val="000000" w:themeColor="text1"/>
                <w:sz w:val="15"/>
                <w:szCs w:val="15"/>
              </w:rPr>
              <w:t>Prospective longitudinal; 116 POMS</w:t>
            </w:r>
          </w:p>
        </w:tc>
        <w:tc>
          <w:tcPr>
            <w:tcW w:w="1350" w:type="dxa"/>
            <w:tcMar>
              <w:top w:w="35" w:type="dxa"/>
              <w:left w:w="60" w:type="dxa"/>
              <w:bottom w:w="35" w:type="dxa"/>
              <w:right w:w="60" w:type="dxa"/>
            </w:tcMar>
          </w:tcPr>
          <w:p w14:paraId="5EFA798B"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4A15BE29" w14:textId="77777777" w:rsidR="0022120C" w:rsidRPr="00D42EFF" w:rsidRDefault="00D42EFF">
            <w:pPr>
              <w:spacing w:line="210" w:lineRule="auto"/>
              <w:rPr>
                <w:color w:val="000000" w:themeColor="text1"/>
              </w:rPr>
            </w:pPr>
            <w:r w:rsidRPr="00D42EFF">
              <w:rPr>
                <w:color w:val="000000" w:themeColor="text1"/>
                <w:sz w:val="15"/>
                <w:szCs w:val="15"/>
              </w:rPr>
              <w:t>Time to EDSS 3.0/4.0/6.0; SPMS conversion</w:t>
            </w:r>
          </w:p>
        </w:tc>
        <w:tc>
          <w:tcPr>
            <w:tcW w:w="3450" w:type="dxa"/>
            <w:tcMar>
              <w:top w:w="35" w:type="dxa"/>
              <w:left w:w="60" w:type="dxa"/>
              <w:bottom w:w="35" w:type="dxa"/>
              <w:right w:w="60" w:type="dxa"/>
            </w:tcMar>
          </w:tcPr>
          <w:p w14:paraId="3F2CFD9E" w14:textId="77777777" w:rsidR="0022120C" w:rsidRPr="00D42EFF" w:rsidRDefault="00D42EFF">
            <w:pPr>
              <w:spacing w:line="210" w:lineRule="auto"/>
              <w:rPr>
                <w:color w:val="000000" w:themeColor="text1"/>
              </w:rPr>
            </w:pPr>
            <w:r w:rsidRPr="00D42EFF">
              <w:rPr>
                <w:color w:val="000000" w:themeColor="text1"/>
                <w:sz w:val="15"/>
                <w:szCs w:val="15"/>
              </w:rPr>
              <w:t>EDSS 3.0: HR 4.62 (3.40–6.28); EDSS 4.0: HR 4.64 (3.02–7.15); EDSS 6.0: HR 2.69 (1.42–5.11). ARR &gt; 0.6 predicted shorter time to SPMS</w:t>
            </w:r>
          </w:p>
        </w:tc>
        <w:tc>
          <w:tcPr>
            <w:tcW w:w="1200" w:type="dxa"/>
            <w:shd w:val="clear" w:color="auto" w:fill="C6E0B4"/>
            <w:tcMar>
              <w:top w:w="35" w:type="dxa"/>
              <w:left w:w="60" w:type="dxa"/>
              <w:bottom w:w="35" w:type="dxa"/>
              <w:right w:w="60" w:type="dxa"/>
            </w:tcMar>
          </w:tcPr>
          <w:p w14:paraId="3C0A5E41"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15D2229D" w14:textId="77777777">
        <w:tc>
          <w:tcPr>
            <w:tcW w:w="2050" w:type="dxa"/>
            <w:shd w:val="clear" w:color="auto" w:fill="F2F2F2"/>
            <w:tcMar>
              <w:top w:w="35" w:type="dxa"/>
              <w:left w:w="60" w:type="dxa"/>
              <w:bottom w:w="35" w:type="dxa"/>
              <w:right w:w="60" w:type="dxa"/>
            </w:tcMar>
          </w:tcPr>
          <w:p w14:paraId="3B637003" w14:textId="77777777" w:rsidR="0022120C" w:rsidRPr="00D42EFF" w:rsidRDefault="00D42EFF">
            <w:pPr>
              <w:spacing w:line="210" w:lineRule="auto"/>
              <w:rPr>
                <w:color w:val="000000" w:themeColor="text1"/>
              </w:rPr>
            </w:pPr>
            <w:sdt>
              <w:sdtPr>
                <w:rPr>
                  <w:color w:val="000000" w:themeColor="text1"/>
                </w:rPr>
                <w:tag w:val="goog_rdk_3"/>
                <w:id w:val="-497314792"/>
              </w:sdtPr>
              <w:sdtEndPr/>
              <w:sdtContent>
                <w:r w:rsidRPr="00D42EFF">
                  <w:rPr>
                    <w:rFonts w:ascii="Gungsuh" w:eastAsia="Gungsuh" w:hAnsi="Gungsuh" w:cs="Gungsuh"/>
                    <w:b/>
                    <w:bCs/>
                    <w:color w:val="000000" w:themeColor="text1"/>
                    <w:sz w:val="15"/>
                    <w:szCs w:val="15"/>
                  </w:rPr>
                  <w:t>Short inter-attack interval (1st–2nd attack ≤ 1 year)</w:t>
                </w:r>
              </w:sdtContent>
            </w:sdt>
          </w:p>
        </w:tc>
        <w:tc>
          <w:tcPr>
            <w:tcW w:w="1750" w:type="dxa"/>
            <w:shd w:val="clear" w:color="auto" w:fill="F2F2F2"/>
            <w:tcMar>
              <w:top w:w="35" w:type="dxa"/>
              <w:left w:w="60" w:type="dxa"/>
              <w:bottom w:w="35" w:type="dxa"/>
              <w:right w:w="60" w:type="dxa"/>
            </w:tcMar>
          </w:tcPr>
          <w:p w14:paraId="70CCE433" w14:textId="77777777" w:rsidR="0022120C" w:rsidRPr="00D42EFF" w:rsidRDefault="00D42EFF">
            <w:pPr>
              <w:spacing w:line="210" w:lineRule="auto"/>
              <w:rPr>
                <w:color w:val="000000" w:themeColor="text1"/>
              </w:rPr>
            </w:pPr>
            <w:r w:rsidRPr="00D42EFF">
              <w:rPr>
                <w:color w:val="000000" w:themeColor="text1"/>
                <w:sz w:val="15"/>
                <w:szCs w:val="15"/>
              </w:rPr>
              <w:t>Mikaeloff 2006 [18]</w:t>
            </w:r>
          </w:p>
        </w:tc>
        <w:tc>
          <w:tcPr>
            <w:tcW w:w="1700" w:type="dxa"/>
            <w:shd w:val="clear" w:color="auto" w:fill="F2F2F2"/>
            <w:tcMar>
              <w:top w:w="35" w:type="dxa"/>
              <w:left w:w="60" w:type="dxa"/>
              <w:bottom w:w="35" w:type="dxa"/>
              <w:right w:w="60" w:type="dxa"/>
            </w:tcMar>
          </w:tcPr>
          <w:p w14:paraId="7F5B72CF" w14:textId="77777777" w:rsidR="0022120C" w:rsidRPr="00D42EFF" w:rsidRDefault="00D42EFF">
            <w:pPr>
              <w:spacing w:line="210" w:lineRule="auto"/>
              <w:rPr>
                <w:color w:val="000000" w:themeColor="text1"/>
              </w:rPr>
            </w:pPr>
            <w:r w:rsidRPr="00D42EFF">
              <w:rPr>
                <w:color w:val="000000" w:themeColor="text1"/>
                <w:sz w:val="15"/>
                <w:szCs w:val="15"/>
              </w:rPr>
              <w:t>Prospective; 197 POMS</w:t>
            </w:r>
          </w:p>
        </w:tc>
        <w:tc>
          <w:tcPr>
            <w:tcW w:w="1350" w:type="dxa"/>
            <w:shd w:val="clear" w:color="auto" w:fill="F2F2F2"/>
            <w:tcMar>
              <w:top w:w="35" w:type="dxa"/>
              <w:left w:w="60" w:type="dxa"/>
              <w:bottom w:w="35" w:type="dxa"/>
              <w:right w:w="60" w:type="dxa"/>
            </w:tcMar>
          </w:tcPr>
          <w:p w14:paraId="725059D2"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0F92B96A" w14:textId="77777777" w:rsidR="0022120C" w:rsidRPr="00D42EFF" w:rsidRDefault="00D42EFF">
            <w:pPr>
              <w:spacing w:line="210" w:lineRule="auto"/>
              <w:rPr>
                <w:color w:val="000000" w:themeColor="text1"/>
              </w:rPr>
            </w:pPr>
            <w:r w:rsidRPr="00D42EFF">
              <w:rPr>
                <w:color w:val="000000" w:themeColor="text1"/>
                <w:sz w:val="15"/>
                <w:szCs w:val="15"/>
              </w:rPr>
              <w:t xml:space="preserve">Third </w:t>
            </w:r>
            <w:r w:rsidRPr="00D42EFF">
              <w:rPr>
                <w:color w:val="000000" w:themeColor="text1"/>
                <w:sz w:val="15"/>
                <w:szCs w:val="15"/>
              </w:rPr>
              <w:t>demyelinating attack; EDSS &gt; 4</w:t>
            </w:r>
          </w:p>
        </w:tc>
        <w:tc>
          <w:tcPr>
            <w:tcW w:w="3450" w:type="dxa"/>
            <w:shd w:val="clear" w:color="auto" w:fill="F2F2F2"/>
            <w:tcMar>
              <w:top w:w="35" w:type="dxa"/>
              <w:left w:w="60" w:type="dxa"/>
              <w:bottom w:w="35" w:type="dxa"/>
              <w:right w:w="60" w:type="dxa"/>
            </w:tcMar>
          </w:tcPr>
          <w:p w14:paraId="0ADFCF2F" w14:textId="77777777" w:rsidR="0022120C" w:rsidRPr="00D42EFF" w:rsidRDefault="00D42EFF">
            <w:pPr>
              <w:spacing w:line="210" w:lineRule="auto"/>
              <w:rPr>
                <w:color w:val="000000" w:themeColor="text1"/>
              </w:rPr>
            </w:pPr>
            <w:r w:rsidRPr="00D42EFF">
              <w:rPr>
                <w:color w:val="000000" w:themeColor="text1"/>
                <w:sz w:val="15"/>
                <w:szCs w:val="15"/>
              </w:rPr>
              <w:t>HR 1.56 (95% CI 1.07–2.28), p = 0.02</w:t>
            </w:r>
          </w:p>
        </w:tc>
        <w:tc>
          <w:tcPr>
            <w:tcW w:w="1200" w:type="dxa"/>
            <w:shd w:val="clear" w:color="auto" w:fill="C6E0B4"/>
            <w:tcMar>
              <w:top w:w="35" w:type="dxa"/>
              <w:left w:w="60" w:type="dxa"/>
              <w:bottom w:w="35" w:type="dxa"/>
              <w:right w:w="60" w:type="dxa"/>
            </w:tcMar>
          </w:tcPr>
          <w:p w14:paraId="471BEFFA"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0A37E748" w14:textId="77777777">
        <w:tc>
          <w:tcPr>
            <w:tcW w:w="2050" w:type="dxa"/>
            <w:tcMar>
              <w:top w:w="35" w:type="dxa"/>
              <w:left w:w="60" w:type="dxa"/>
              <w:bottom w:w="35" w:type="dxa"/>
              <w:right w:w="60" w:type="dxa"/>
            </w:tcMar>
          </w:tcPr>
          <w:p w14:paraId="39869DE1" w14:textId="77777777" w:rsidR="0022120C" w:rsidRPr="00D42EFF" w:rsidRDefault="00D42EFF">
            <w:pPr>
              <w:spacing w:line="210" w:lineRule="auto"/>
              <w:rPr>
                <w:color w:val="000000" w:themeColor="text1"/>
              </w:rPr>
            </w:pPr>
            <w:r w:rsidRPr="00D42EFF">
              <w:rPr>
                <w:b/>
                <w:bCs/>
                <w:color w:val="000000" w:themeColor="text1"/>
                <w:sz w:val="15"/>
                <w:szCs w:val="15"/>
              </w:rPr>
              <w:t>First inter-attack interval &lt; 1 year</w:t>
            </w:r>
          </w:p>
        </w:tc>
        <w:tc>
          <w:tcPr>
            <w:tcW w:w="1750" w:type="dxa"/>
            <w:tcMar>
              <w:top w:w="35" w:type="dxa"/>
              <w:left w:w="60" w:type="dxa"/>
              <w:bottom w:w="35" w:type="dxa"/>
              <w:right w:w="60" w:type="dxa"/>
            </w:tcMar>
          </w:tcPr>
          <w:p w14:paraId="7C638718" w14:textId="77777777" w:rsidR="0022120C" w:rsidRPr="00D42EFF" w:rsidRDefault="00D42EFF">
            <w:pPr>
              <w:spacing w:line="210" w:lineRule="auto"/>
              <w:rPr>
                <w:color w:val="000000" w:themeColor="text1"/>
              </w:rPr>
            </w:pPr>
            <w:r w:rsidRPr="00D42EFF">
              <w:rPr>
                <w:color w:val="000000" w:themeColor="text1"/>
                <w:sz w:val="15"/>
                <w:szCs w:val="15"/>
              </w:rPr>
              <w:t>McKay 2019 [20]</w:t>
            </w:r>
          </w:p>
        </w:tc>
        <w:tc>
          <w:tcPr>
            <w:tcW w:w="1700" w:type="dxa"/>
            <w:tcMar>
              <w:top w:w="35" w:type="dxa"/>
              <w:left w:w="60" w:type="dxa"/>
              <w:bottom w:w="35" w:type="dxa"/>
              <w:right w:w="60" w:type="dxa"/>
            </w:tcMar>
          </w:tcPr>
          <w:p w14:paraId="11429311" w14:textId="77777777" w:rsidR="0022120C" w:rsidRPr="00D42EFF" w:rsidRDefault="00D42EFF">
            <w:pPr>
              <w:spacing w:line="210" w:lineRule="auto"/>
              <w:rPr>
                <w:color w:val="000000" w:themeColor="text1"/>
              </w:rPr>
            </w:pPr>
            <w:r w:rsidRPr="00D42EFF">
              <w:rPr>
                <w:color w:val="000000" w:themeColor="text1"/>
                <w:sz w:val="15"/>
                <w:szCs w:val="15"/>
              </w:rPr>
              <w:t>Retrospective cohort; 549 POMS</w:t>
            </w:r>
          </w:p>
        </w:tc>
        <w:tc>
          <w:tcPr>
            <w:tcW w:w="1350" w:type="dxa"/>
            <w:tcMar>
              <w:top w:w="35" w:type="dxa"/>
              <w:left w:w="60" w:type="dxa"/>
              <w:bottom w:w="35" w:type="dxa"/>
              <w:right w:w="60" w:type="dxa"/>
            </w:tcMar>
          </w:tcPr>
          <w:p w14:paraId="4210A3A8"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13632B84" w14:textId="77777777" w:rsidR="0022120C" w:rsidRPr="00D42EFF" w:rsidRDefault="00D42EFF">
            <w:pPr>
              <w:spacing w:line="210" w:lineRule="auto"/>
              <w:rPr>
                <w:color w:val="000000" w:themeColor="text1"/>
              </w:rPr>
            </w:pPr>
            <w:r w:rsidRPr="00D42EFF">
              <w:rPr>
                <w:color w:val="000000" w:themeColor="text1"/>
                <w:sz w:val="15"/>
                <w:szCs w:val="15"/>
              </w:rPr>
              <w:t>Time to disability milestones</w:t>
            </w:r>
          </w:p>
        </w:tc>
        <w:tc>
          <w:tcPr>
            <w:tcW w:w="3450" w:type="dxa"/>
            <w:tcMar>
              <w:top w:w="35" w:type="dxa"/>
              <w:left w:w="60" w:type="dxa"/>
              <w:bottom w:w="35" w:type="dxa"/>
              <w:right w:w="60" w:type="dxa"/>
            </w:tcMar>
          </w:tcPr>
          <w:p w14:paraId="5E89255E" w14:textId="77777777" w:rsidR="0022120C" w:rsidRPr="00D42EFF" w:rsidRDefault="00D42EFF">
            <w:pPr>
              <w:spacing w:line="210" w:lineRule="auto"/>
              <w:rPr>
                <w:color w:val="000000" w:themeColor="text1"/>
              </w:rPr>
            </w:pPr>
            <w:sdt>
              <w:sdtPr>
                <w:rPr>
                  <w:color w:val="000000" w:themeColor="text1"/>
                </w:rPr>
                <w:tag w:val="goog_rdk_4"/>
                <w:id w:val="1070119064"/>
              </w:sdtPr>
              <w:sdtEndPr/>
              <w:sdtContent>
                <w:r w:rsidRPr="00D42EFF">
                  <w:rPr>
                    <w:rFonts w:ascii="Gungsuh" w:eastAsia="Gungsuh" w:hAnsi="Gungsuh" w:cs="Gungsuh"/>
                    <w:color w:val="000000" w:themeColor="text1"/>
                    <w:sz w:val="15"/>
                    <w:szCs w:val="15"/>
                  </w:rPr>
                  <w:t>HR 3.09–4.27, p ≤ 0.04</w:t>
                </w:r>
              </w:sdtContent>
            </w:sdt>
          </w:p>
        </w:tc>
        <w:tc>
          <w:tcPr>
            <w:tcW w:w="1200" w:type="dxa"/>
            <w:shd w:val="clear" w:color="auto" w:fill="C6E0B4"/>
            <w:tcMar>
              <w:top w:w="35" w:type="dxa"/>
              <w:left w:w="60" w:type="dxa"/>
              <w:bottom w:w="35" w:type="dxa"/>
              <w:right w:w="60" w:type="dxa"/>
            </w:tcMar>
          </w:tcPr>
          <w:p w14:paraId="4E6B6CC0"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758E4ED9" w14:textId="77777777">
        <w:tc>
          <w:tcPr>
            <w:tcW w:w="2050" w:type="dxa"/>
            <w:shd w:val="clear" w:color="auto" w:fill="F2F2F2"/>
            <w:tcMar>
              <w:top w:w="35" w:type="dxa"/>
              <w:left w:w="60" w:type="dxa"/>
              <w:bottom w:w="35" w:type="dxa"/>
              <w:right w:w="60" w:type="dxa"/>
            </w:tcMar>
          </w:tcPr>
          <w:p w14:paraId="1DB06D5B" w14:textId="77777777" w:rsidR="0022120C" w:rsidRPr="00D42EFF" w:rsidRDefault="00D42EFF">
            <w:pPr>
              <w:spacing w:line="210" w:lineRule="auto"/>
              <w:rPr>
                <w:color w:val="000000" w:themeColor="text1"/>
              </w:rPr>
            </w:pPr>
            <w:r w:rsidRPr="00D42EFF">
              <w:rPr>
                <w:b/>
                <w:bCs/>
                <w:color w:val="000000" w:themeColor="text1"/>
                <w:sz w:val="15"/>
                <w:szCs w:val="15"/>
              </w:rPr>
              <w:t>Severity</w:t>
            </w:r>
            <w:r w:rsidRPr="00D42EFF">
              <w:rPr>
                <w:b/>
                <w:bCs/>
                <w:color w:val="000000" w:themeColor="text1"/>
                <w:sz w:val="15"/>
                <w:szCs w:val="15"/>
              </w:rPr>
              <w:t xml:space="preserve"> of / incomplete recovery from first relapse</w:t>
            </w:r>
          </w:p>
        </w:tc>
        <w:tc>
          <w:tcPr>
            <w:tcW w:w="1750" w:type="dxa"/>
            <w:shd w:val="clear" w:color="auto" w:fill="F2F2F2"/>
            <w:tcMar>
              <w:top w:w="35" w:type="dxa"/>
              <w:left w:w="60" w:type="dxa"/>
              <w:bottom w:w="35" w:type="dxa"/>
              <w:right w:w="60" w:type="dxa"/>
            </w:tcMar>
          </w:tcPr>
          <w:p w14:paraId="145FF861" w14:textId="77777777" w:rsidR="0022120C" w:rsidRPr="00D42EFF" w:rsidRDefault="00D42EFF">
            <w:pPr>
              <w:spacing w:line="210" w:lineRule="auto"/>
              <w:rPr>
                <w:color w:val="000000" w:themeColor="text1"/>
              </w:rPr>
            </w:pPr>
            <w:r w:rsidRPr="00D42EFF">
              <w:rPr>
                <w:color w:val="000000" w:themeColor="text1"/>
                <w:sz w:val="15"/>
                <w:szCs w:val="15"/>
              </w:rPr>
              <w:t>McKay 2019 [20]</w:t>
            </w:r>
          </w:p>
        </w:tc>
        <w:tc>
          <w:tcPr>
            <w:tcW w:w="1700" w:type="dxa"/>
            <w:shd w:val="clear" w:color="auto" w:fill="F2F2F2"/>
            <w:tcMar>
              <w:top w:w="35" w:type="dxa"/>
              <w:left w:w="60" w:type="dxa"/>
              <w:bottom w:w="35" w:type="dxa"/>
              <w:right w:w="60" w:type="dxa"/>
            </w:tcMar>
          </w:tcPr>
          <w:p w14:paraId="40C85D2E" w14:textId="77777777" w:rsidR="0022120C" w:rsidRPr="00D42EFF" w:rsidRDefault="00D42EFF">
            <w:pPr>
              <w:spacing w:line="210" w:lineRule="auto"/>
              <w:rPr>
                <w:color w:val="000000" w:themeColor="text1"/>
              </w:rPr>
            </w:pPr>
            <w:r w:rsidRPr="00D42EFF">
              <w:rPr>
                <w:color w:val="000000" w:themeColor="text1"/>
                <w:sz w:val="15"/>
                <w:szCs w:val="15"/>
              </w:rPr>
              <w:t>Retrospective cohort; 549 POMS</w:t>
            </w:r>
          </w:p>
        </w:tc>
        <w:tc>
          <w:tcPr>
            <w:tcW w:w="1350" w:type="dxa"/>
            <w:shd w:val="clear" w:color="auto" w:fill="F2F2F2"/>
            <w:tcMar>
              <w:top w:w="35" w:type="dxa"/>
              <w:left w:w="60" w:type="dxa"/>
              <w:bottom w:w="35" w:type="dxa"/>
              <w:right w:w="60" w:type="dxa"/>
            </w:tcMar>
          </w:tcPr>
          <w:p w14:paraId="61AB9389"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0E47E935" w14:textId="77777777" w:rsidR="0022120C" w:rsidRPr="00D42EFF" w:rsidRDefault="00D42EFF">
            <w:pPr>
              <w:spacing w:line="210" w:lineRule="auto"/>
              <w:rPr>
                <w:color w:val="000000" w:themeColor="text1"/>
              </w:rPr>
            </w:pPr>
            <w:r w:rsidRPr="00D42EFF">
              <w:rPr>
                <w:color w:val="000000" w:themeColor="text1"/>
                <w:sz w:val="15"/>
                <w:szCs w:val="15"/>
              </w:rPr>
              <w:t>Time to EDSS 3.0/4.0/6.0; recurrence of relapses</w:t>
            </w:r>
          </w:p>
        </w:tc>
        <w:tc>
          <w:tcPr>
            <w:tcW w:w="3450" w:type="dxa"/>
            <w:shd w:val="clear" w:color="auto" w:fill="F2F2F2"/>
            <w:tcMar>
              <w:top w:w="35" w:type="dxa"/>
              <w:left w:w="60" w:type="dxa"/>
              <w:bottom w:w="35" w:type="dxa"/>
              <w:right w:w="60" w:type="dxa"/>
            </w:tcMar>
          </w:tcPr>
          <w:p w14:paraId="77CA4215" w14:textId="77777777" w:rsidR="0022120C" w:rsidRPr="00D42EFF" w:rsidRDefault="00D42EFF">
            <w:pPr>
              <w:spacing w:line="210" w:lineRule="auto"/>
              <w:rPr>
                <w:color w:val="000000" w:themeColor="text1"/>
              </w:rPr>
            </w:pPr>
            <w:r w:rsidRPr="00D42EFF">
              <w:rPr>
                <w:color w:val="000000" w:themeColor="text1"/>
                <w:sz w:val="15"/>
                <w:szCs w:val="15"/>
              </w:rPr>
              <w:t>Higher hazard of reaching disability milestones (multivariable Cox)</w:t>
            </w:r>
          </w:p>
        </w:tc>
        <w:tc>
          <w:tcPr>
            <w:tcW w:w="1200" w:type="dxa"/>
            <w:shd w:val="clear" w:color="auto" w:fill="C6E0B4"/>
            <w:tcMar>
              <w:top w:w="35" w:type="dxa"/>
              <w:left w:w="60" w:type="dxa"/>
              <w:bottom w:w="35" w:type="dxa"/>
              <w:right w:w="60" w:type="dxa"/>
            </w:tcMar>
          </w:tcPr>
          <w:p w14:paraId="255629CC"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16BA5621" w14:textId="77777777">
        <w:tc>
          <w:tcPr>
            <w:tcW w:w="2050" w:type="dxa"/>
            <w:tcMar>
              <w:top w:w="35" w:type="dxa"/>
              <w:left w:w="60" w:type="dxa"/>
              <w:bottom w:w="35" w:type="dxa"/>
              <w:right w:w="60" w:type="dxa"/>
            </w:tcMar>
          </w:tcPr>
          <w:p w14:paraId="6F73CF91" w14:textId="77777777" w:rsidR="0022120C" w:rsidRPr="00D42EFF" w:rsidRDefault="00D42EFF">
            <w:pPr>
              <w:spacing w:line="210" w:lineRule="auto"/>
              <w:rPr>
                <w:color w:val="000000" w:themeColor="text1"/>
              </w:rPr>
            </w:pPr>
            <w:r w:rsidRPr="00D42EFF">
              <w:rPr>
                <w:b/>
                <w:bCs/>
                <w:color w:val="000000" w:themeColor="text1"/>
                <w:sz w:val="15"/>
                <w:szCs w:val="15"/>
              </w:rPr>
              <w:t>Complete remission</w:t>
            </w:r>
            <w:r w:rsidRPr="00D42EFF">
              <w:rPr>
                <w:b/>
                <w:bCs/>
                <w:color w:val="000000" w:themeColor="text1"/>
                <w:sz w:val="15"/>
                <w:szCs w:val="15"/>
              </w:rPr>
              <w:t xml:space="preserve"> after first relapse</w:t>
            </w:r>
          </w:p>
        </w:tc>
        <w:tc>
          <w:tcPr>
            <w:tcW w:w="1750" w:type="dxa"/>
            <w:tcMar>
              <w:top w:w="35" w:type="dxa"/>
              <w:left w:w="60" w:type="dxa"/>
              <w:bottom w:w="35" w:type="dxa"/>
              <w:right w:w="60" w:type="dxa"/>
            </w:tcMar>
          </w:tcPr>
          <w:p w14:paraId="48EEEDE1" w14:textId="77777777" w:rsidR="0022120C" w:rsidRPr="00D42EFF" w:rsidRDefault="00D42EFF">
            <w:pPr>
              <w:spacing w:line="210" w:lineRule="auto"/>
              <w:rPr>
                <w:color w:val="000000" w:themeColor="text1"/>
              </w:rPr>
            </w:pPr>
            <w:r w:rsidRPr="00D42EFF">
              <w:rPr>
                <w:color w:val="000000" w:themeColor="text1"/>
                <w:sz w:val="15"/>
                <w:szCs w:val="15"/>
              </w:rPr>
              <w:t>Boiko 2002 [21]; McKay 2019 [20]</w:t>
            </w:r>
          </w:p>
        </w:tc>
        <w:tc>
          <w:tcPr>
            <w:tcW w:w="1700" w:type="dxa"/>
            <w:tcMar>
              <w:top w:w="35" w:type="dxa"/>
              <w:left w:w="60" w:type="dxa"/>
              <w:bottom w:w="35" w:type="dxa"/>
              <w:right w:w="60" w:type="dxa"/>
            </w:tcMar>
          </w:tcPr>
          <w:p w14:paraId="1128A27D" w14:textId="77777777" w:rsidR="0022120C" w:rsidRPr="00D42EFF" w:rsidRDefault="00D42EFF">
            <w:pPr>
              <w:spacing w:line="210" w:lineRule="auto"/>
              <w:rPr>
                <w:color w:val="000000" w:themeColor="text1"/>
              </w:rPr>
            </w:pPr>
            <w:r w:rsidRPr="00D42EFF">
              <w:rPr>
                <w:color w:val="000000" w:themeColor="text1"/>
                <w:sz w:val="15"/>
                <w:szCs w:val="15"/>
              </w:rPr>
              <w:t>Prospective longitudinal (116 POMS); retrospective cohort (549 POMS)</w:t>
            </w:r>
          </w:p>
        </w:tc>
        <w:tc>
          <w:tcPr>
            <w:tcW w:w="1350" w:type="dxa"/>
            <w:tcMar>
              <w:top w:w="35" w:type="dxa"/>
              <w:left w:w="60" w:type="dxa"/>
              <w:bottom w:w="35" w:type="dxa"/>
              <w:right w:w="60" w:type="dxa"/>
            </w:tcMar>
          </w:tcPr>
          <w:p w14:paraId="5EEE4F67"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776912E2" w14:textId="77777777" w:rsidR="0022120C" w:rsidRPr="00D42EFF" w:rsidRDefault="00D42EFF">
            <w:pPr>
              <w:spacing w:line="210" w:lineRule="auto"/>
              <w:rPr>
                <w:color w:val="000000" w:themeColor="text1"/>
              </w:rPr>
            </w:pPr>
            <w:r w:rsidRPr="00D42EFF">
              <w:rPr>
                <w:color w:val="000000" w:themeColor="text1"/>
                <w:sz w:val="15"/>
                <w:szCs w:val="15"/>
              </w:rPr>
              <w:t>Time to EDSS 3.0/4.0</w:t>
            </w:r>
          </w:p>
        </w:tc>
        <w:tc>
          <w:tcPr>
            <w:tcW w:w="3450" w:type="dxa"/>
            <w:tcMar>
              <w:top w:w="35" w:type="dxa"/>
              <w:left w:w="60" w:type="dxa"/>
              <w:bottom w:w="35" w:type="dxa"/>
              <w:right w:w="60" w:type="dxa"/>
            </w:tcMar>
          </w:tcPr>
          <w:p w14:paraId="15065A98" w14:textId="77777777" w:rsidR="0022120C" w:rsidRPr="00D42EFF" w:rsidRDefault="00D42EFF">
            <w:pPr>
              <w:spacing w:line="210" w:lineRule="auto"/>
              <w:rPr>
                <w:color w:val="000000" w:themeColor="text1"/>
              </w:rPr>
            </w:pPr>
            <w:r w:rsidRPr="00D42EFF">
              <w:rPr>
                <w:color w:val="000000" w:themeColor="text1"/>
                <w:sz w:val="15"/>
                <w:szCs w:val="15"/>
              </w:rPr>
              <w:t>EDSS 3.0: HR 0.42 (0.21–0.83); EDSS 4.0: HR 0.41 (0.18–0.94)</w:t>
            </w:r>
          </w:p>
        </w:tc>
        <w:tc>
          <w:tcPr>
            <w:tcW w:w="1200" w:type="dxa"/>
            <w:shd w:val="clear" w:color="auto" w:fill="C6E0B4"/>
            <w:tcMar>
              <w:top w:w="35" w:type="dxa"/>
              <w:left w:w="60" w:type="dxa"/>
              <w:bottom w:w="35" w:type="dxa"/>
              <w:right w:w="60" w:type="dxa"/>
            </w:tcMar>
          </w:tcPr>
          <w:p w14:paraId="2FCE41AD"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427A1D1C" w14:textId="77777777">
        <w:tc>
          <w:tcPr>
            <w:tcW w:w="2050" w:type="dxa"/>
            <w:shd w:val="clear" w:color="auto" w:fill="F2F2F2"/>
            <w:tcMar>
              <w:top w:w="35" w:type="dxa"/>
              <w:left w:w="60" w:type="dxa"/>
              <w:bottom w:w="35" w:type="dxa"/>
              <w:right w:w="60" w:type="dxa"/>
            </w:tcMar>
          </w:tcPr>
          <w:p w14:paraId="0586E005" w14:textId="77777777" w:rsidR="0022120C" w:rsidRPr="00D42EFF" w:rsidRDefault="00D42EFF">
            <w:pPr>
              <w:spacing w:line="210" w:lineRule="auto"/>
              <w:rPr>
                <w:color w:val="000000" w:themeColor="text1"/>
              </w:rPr>
            </w:pPr>
            <w:r w:rsidRPr="00D42EFF">
              <w:rPr>
                <w:b/>
                <w:bCs/>
                <w:color w:val="000000" w:themeColor="text1"/>
                <w:sz w:val="15"/>
                <w:szCs w:val="15"/>
              </w:rPr>
              <w:t>Longer first remission</w:t>
            </w:r>
          </w:p>
        </w:tc>
        <w:tc>
          <w:tcPr>
            <w:tcW w:w="1750" w:type="dxa"/>
            <w:shd w:val="clear" w:color="auto" w:fill="F2F2F2"/>
            <w:tcMar>
              <w:top w:w="35" w:type="dxa"/>
              <w:left w:w="60" w:type="dxa"/>
              <w:bottom w:w="35" w:type="dxa"/>
              <w:right w:w="60" w:type="dxa"/>
            </w:tcMar>
          </w:tcPr>
          <w:p w14:paraId="224CE3DA" w14:textId="77777777" w:rsidR="0022120C" w:rsidRPr="00D42EFF" w:rsidRDefault="00D42EFF">
            <w:pPr>
              <w:spacing w:line="210" w:lineRule="auto"/>
              <w:rPr>
                <w:color w:val="000000" w:themeColor="text1"/>
              </w:rPr>
            </w:pPr>
            <w:r w:rsidRPr="00D42EFF">
              <w:rPr>
                <w:color w:val="000000" w:themeColor="text1"/>
                <w:sz w:val="15"/>
                <w:szCs w:val="15"/>
              </w:rPr>
              <w:t xml:space="preserve">Boiko 2002 </w:t>
            </w:r>
            <w:r w:rsidRPr="00D42EFF">
              <w:rPr>
                <w:color w:val="000000" w:themeColor="text1"/>
                <w:sz w:val="15"/>
                <w:szCs w:val="15"/>
              </w:rPr>
              <w:t>[21]; de Chalus 2025 [15]</w:t>
            </w:r>
          </w:p>
        </w:tc>
        <w:tc>
          <w:tcPr>
            <w:tcW w:w="1700" w:type="dxa"/>
            <w:shd w:val="clear" w:color="auto" w:fill="F2F2F2"/>
            <w:tcMar>
              <w:top w:w="35" w:type="dxa"/>
              <w:left w:w="60" w:type="dxa"/>
              <w:bottom w:w="35" w:type="dxa"/>
              <w:right w:w="60" w:type="dxa"/>
            </w:tcMar>
          </w:tcPr>
          <w:p w14:paraId="7ACDF955" w14:textId="77777777" w:rsidR="0022120C" w:rsidRPr="00D42EFF" w:rsidRDefault="00D42EFF">
            <w:pPr>
              <w:spacing w:line="210" w:lineRule="auto"/>
              <w:rPr>
                <w:color w:val="000000" w:themeColor="text1"/>
              </w:rPr>
            </w:pPr>
            <w:r w:rsidRPr="00D42EFF">
              <w:rPr>
                <w:color w:val="000000" w:themeColor="text1"/>
                <w:sz w:val="15"/>
                <w:szCs w:val="15"/>
              </w:rPr>
              <w:t>Prospective longitudinal; multicentre retrospective</w:t>
            </w:r>
          </w:p>
        </w:tc>
        <w:tc>
          <w:tcPr>
            <w:tcW w:w="1350" w:type="dxa"/>
            <w:shd w:val="clear" w:color="auto" w:fill="F2F2F2"/>
            <w:tcMar>
              <w:top w:w="35" w:type="dxa"/>
              <w:left w:w="60" w:type="dxa"/>
              <w:bottom w:w="35" w:type="dxa"/>
              <w:right w:w="60" w:type="dxa"/>
            </w:tcMar>
          </w:tcPr>
          <w:p w14:paraId="4AE33B99"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0A723108" w14:textId="77777777" w:rsidR="0022120C" w:rsidRPr="00D42EFF" w:rsidRDefault="00D42EFF">
            <w:pPr>
              <w:spacing w:line="210" w:lineRule="auto"/>
              <w:rPr>
                <w:color w:val="000000" w:themeColor="text1"/>
              </w:rPr>
            </w:pPr>
            <w:r w:rsidRPr="00D42EFF">
              <w:rPr>
                <w:color w:val="000000" w:themeColor="text1"/>
                <w:sz w:val="15"/>
                <w:szCs w:val="15"/>
              </w:rPr>
              <w:t>Time to SPMS conversion</w:t>
            </w:r>
          </w:p>
        </w:tc>
        <w:tc>
          <w:tcPr>
            <w:tcW w:w="3450" w:type="dxa"/>
            <w:shd w:val="clear" w:color="auto" w:fill="F2F2F2"/>
            <w:tcMar>
              <w:top w:w="35" w:type="dxa"/>
              <w:left w:w="60" w:type="dxa"/>
              <w:bottom w:w="35" w:type="dxa"/>
              <w:right w:w="60" w:type="dxa"/>
            </w:tcMar>
          </w:tcPr>
          <w:p w14:paraId="59CFA837" w14:textId="77777777" w:rsidR="0022120C" w:rsidRPr="00D42EFF" w:rsidRDefault="00D42EFF">
            <w:pPr>
              <w:spacing w:line="210" w:lineRule="auto"/>
              <w:rPr>
                <w:color w:val="000000" w:themeColor="text1"/>
              </w:rPr>
            </w:pPr>
            <w:r w:rsidRPr="00D42EFF">
              <w:rPr>
                <w:color w:val="000000" w:themeColor="text1"/>
                <w:sz w:val="15"/>
                <w:szCs w:val="15"/>
              </w:rPr>
              <w:t>Longer time between 1st and 2nd attack associated with lower hazard of SPMS</w:t>
            </w:r>
          </w:p>
        </w:tc>
        <w:tc>
          <w:tcPr>
            <w:tcW w:w="1200" w:type="dxa"/>
            <w:shd w:val="clear" w:color="auto" w:fill="C6E0B4"/>
            <w:tcMar>
              <w:top w:w="35" w:type="dxa"/>
              <w:left w:w="60" w:type="dxa"/>
              <w:bottom w:w="35" w:type="dxa"/>
              <w:right w:w="60" w:type="dxa"/>
            </w:tcMar>
          </w:tcPr>
          <w:p w14:paraId="0E753B8C"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2008047E" w14:textId="77777777">
        <w:tc>
          <w:tcPr>
            <w:tcW w:w="2050" w:type="dxa"/>
            <w:tcMar>
              <w:top w:w="35" w:type="dxa"/>
              <w:left w:w="60" w:type="dxa"/>
              <w:bottom w:w="35" w:type="dxa"/>
              <w:right w:w="60" w:type="dxa"/>
            </w:tcMar>
          </w:tcPr>
          <w:p w14:paraId="61BB9E4D" w14:textId="77777777" w:rsidR="0022120C" w:rsidRPr="00D42EFF" w:rsidRDefault="00D42EFF">
            <w:pPr>
              <w:spacing w:line="210" w:lineRule="auto"/>
              <w:rPr>
                <w:color w:val="000000" w:themeColor="text1"/>
              </w:rPr>
            </w:pPr>
            <w:r w:rsidRPr="00D42EFF">
              <w:rPr>
                <w:b/>
                <w:bCs/>
                <w:color w:val="000000" w:themeColor="text1"/>
                <w:sz w:val="15"/>
                <w:szCs w:val="15"/>
              </w:rPr>
              <w:t>Time to first relapse (shorter)</w:t>
            </w:r>
          </w:p>
        </w:tc>
        <w:tc>
          <w:tcPr>
            <w:tcW w:w="1750" w:type="dxa"/>
            <w:tcMar>
              <w:top w:w="35" w:type="dxa"/>
              <w:left w:w="60" w:type="dxa"/>
              <w:bottom w:w="35" w:type="dxa"/>
              <w:right w:w="60" w:type="dxa"/>
            </w:tcMar>
          </w:tcPr>
          <w:p w14:paraId="75B4D5B9" w14:textId="77777777" w:rsidR="0022120C" w:rsidRPr="00D42EFF" w:rsidRDefault="00D42EFF">
            <w:pPr>
              <w:spacing w:line="210" w:lineRule="auto"/>
              <w:rPr>
                <w:color w:val="000000" w:themeColor="text1"/>
              </w:rPr>
            </w:pPr>
            <w:r w:rsidRPr="00D42EFF">
              <w:rPr>
                <w:color w:val="000000" w:themeColor="text1"/>
                <w:sz w:val="15"/>
                <w:szCs w:val="15"/>
              </w:rPr>
              <w:t>De Meo 2021 [16]</w:t>
            </w:r>
          </w:p>
        </w:tc>
        <w:tc>
          <w:tcPr>
            <w:tcW w:w="1700" w:type="dxa"/>
            <w:tcMar>
              <w:top w:w="35" w:type="dxa"/>
              <w:left w:w="60" w:type="dxa"/>
              <w:bottom w:w="35" w:type="dxa"/>
              <w:right w:w="60" w:type="dxa"/>
            </w:tcMar>
          </w:tcPr>
          <w:p w14:paraId="35780DAC" w14:textId="77777777" w:rsidR="0022120C" w:rsidRPr="00D42EFF" w:rsidRDefault="00D42EFF">
            <w:pPr>
              <w:spacing w:line="210" w:lineRule="auto"/>
              <w:rPr>
                <w:color w:val="000000" w:themeColor="text1"/>
              </w:rPr>
            </w:pPr>
            <w:r w:rsidRPr="00D42EFF">
              <w:rPr>
                <w:color w:val="000000" w:themeColor="text1"/>
                <w:sz w:val="15"/>
                <w:szCs w:val="15"/>
              </w:rPr>
              <w:t xml:space="preserve">Longitudinal </w:t>
            </w:r>
            <w:r w:rsidRPr="00D42EFF">
              <w:rPr>
                <w:color w:val="000000" w:themeColor="text1"/>
                <w:sz w:val="15"/>
                <w:szCs w:val="15"/>
              </w:rPr>
              <w:t>observational cohort; 123 POMS</w:t>
            </w:r>
          </w:p>
        </w:tc>
        <w:tc>
          <w:tcPr>
            <w:tcW w:w="1350" w:type="dxa"/>
            <w:tcMar>
              <w:top w:w="35" w:type="dxa"/>
              <w:left w:w="60" w:type="dxa"/>
              <w:bottom w:w="35" w:type="dxa"/>
              <w:right w:w="60" w:type="dxa"/>
            </w:tcMar>
          </w:tcPr>
          <w:p w14:paraId="59B155E0"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03385CC7" w14:textId="77777777" w:rsidR="0022120C" w:rsidRPr="00D42EFF" w:rsidRDefault="00D42EFF">
            <w:pPr>
              <w:spacing w:line="210" w:lineRule="auto"/>
              <w:rPr>
                <w:color w:val="000000" w:themeColor="text1"/>
              </w:rPr>
            </w:pPr>
            <w:r w:rsidRPr="00D42EFF">
              <w:rPr>
                <w:color w:val="000000" w:themeColor="text1"/>
                <w:sz w:val="15"/>
                <w:szCs w:val="15"/>
              </w:rPr>
              <w:t>ARR at year 2</w:t>
            </w:r>
          </w:p>
        </w:tc>
        <w:tc>
          <w:tcPr>
            <w:tcW w:w="3450" w:type="dxa"/>
            <w:tcMar>
              <w:top w:w="35" w:type="dxa"/>
              <w:left w:w="60" w:type="dxa"/>
              <w:bottom w:w="35" w:type="dxa"/>
              <w:right w:w="60" w:type="dxa"/>
            </w:tcMar>
          </w:tcPr>
          <w:p w14:paraId="244BEF13" w14:textId="77777777" w:rsidR="0022120C" w:rsidRPr="00D42EFF" w:rsidRDefault="00D42EFF">
            <w:pPr>
              <w:spacing w:line="210" w:lineRule="auto"/>
              <w:rPr>
                <w:color w:val="000000" w:themeColor="text1"/>
              </w:rPr>
            </w:pPr>
            <w:sdt>
              <w:sdtPr>
                <w:rPr>
                  <w:color w:val="000000" w:themeColor="text1"/>
                </w:rPr>
                <w:tag w:val="goog_rdk_5"/>
                <w:id w:val="1258120050"/>
              </w:sdtPr>
              <w:sdtEndPr/>
              <w:sdtContent>
                <w:r w:rsidRPr="00D42EFF">
                  <w:rPr>
                    <w:rFonts w:ascii="Cardo" w:eastAsia="Cardo" w:hAnsi="Cardo" w:cs="Cardo"/>
                    <w:color w:val="000000" w:themeColor="text1"/>
                    <w:sz w:val="15"/>
                    <w:szCs w:val="15"/>
                  </w:rPr>
                  <w:t>β = −0.12, p = 0.01 (linear regression)</w:t>
                </w:r>
              </w:sdtContent>
            </w:sdt>
          </w:p>
        </w:tc>
        <w:tc>
          <w:tcPr>
            <w:tcW w:w="1200" w:type="dxa"/>
            <w:shd w:val="clear" w:color="auto" w:fill="FFE699"/>
            <w:tcMar>
              <w:top w:w="35" w:type="dxa"/>
              <w:left w:w="60" w:type="dxa"/>
              <w:bottom w:w="35" w:type="dxa"/>
              <w:right w:w="60" w:type="dxa"/>
            </w:tcMar>
          </w:tcPr>
          <w:p w14:paraId="101F68E6"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r w:rsidR="00D42EFF" w:rsidRPr="00D42EFF" w14:paraId="7B3B093C" w14:textId="77777777">
        <w:tc>
          <w:tcPr>
            <w:tcW w:w="2050" w:type="dxa"/>
            <w:shd w:val="clear" w:color="auto" w:fill="F2F2F2"/>
            <w:tcMar>
              <w:top w:w="35" w:type="dxa"/>
              <w:left w:w="60" w:type="dxa"/>
              <w:bottom w:w="35" w:type="dxa"/>
              <w:right w:w="60" w:type="dxa"/>
            </w:tcMar>
          </w:tcPr>
          <w:p w14:paraId="6EA10D71" w14:textId="77777777" w:rsidR="0022120C" w:rsidRPr="00D42EFF" w:rsidRDefault="00D42EFF">
            <w:pPr>
              <w:spacing w:line="210" w:lineRule="auto"/>
              <w:rPr>
                <w:color w:val="000000" w:themeColor="text1"/>
              </w:rPr>
            </w:pPr>
            <w:r w:rsidRPr="00D42EFF">
              <w:rPr>
                <w:b/>
                <w:bCs/>
                <w:color w:val="000000" w:themeColor="text1"/>
                <w:sz w:val="15"/>
                <w:szCs w:val="15"/>
              </w:rPr>
              <w:t>Progressive / secondary progressive course</w:t>
            </w:r>
          </w:p>
        </w:tc>
        <w:tc>
          <w:tcPr>
            <w:tcW w:w="1750" w:type="dxa"/>
            <w:shd w:val="clear" w:color="auto" w:fill="F2F2F2"/>
            <w:tcMar>
              <w:top w:w="35" w:type="dxa"/>
              <w:left w:w="60" w:type="dxa"/>
              <w:bottom w:w="35" w:type="dxa"/>
              <w:right w:w="60" w:type="dxa"/>
            </w:tcMar>
          </w:tcPr>
          <w:p w14:paraId="338DA6AE" w14:textId="77777777" w:rsidR="0022120C" w:rsidRPr="00D42EFF" w:rsidRDefault="00D42EFF">
            <w:pPr>
              <w:spacing w:line="210" w:lineRule="auto"/>
              <w:rPr>
                <w:color w:val="000000" w:themeColor="text1"/>
              </w:rPr>
            </w:pPr>
            <w:r w:rsidRPr="00D42EFF">
              <w:rPr>
                <w:color w:val="000000" w:themeColor="text1"/>
                <w:sz w:val="15"/>
                <w:szCs w:val="15"/>
              </w:rPr>
              <w:t>McKay 2019 [20]; Simone 2002 [19]</w:t>
            </w:r>
          </w:p>
        </w:tc>
        <w:tc>
          <w:tcPr>
            <w:tcW w:w="1700" w:type="dxa"/>
            <w:shd w:val="clear" w:color="auto" w:fill="F2F2F2"/>
            <w:tcMar>
              <w:top w:w="35" w:type="dxa"/>
              <w:left w:w="60" w:type="dxa"/>
              <w:bottom w:w="35" w:type="dxa"/>
              <w:right w:w="60" w:type="dxa"/>
            </w:tcMar>
          </w:tcPr>
          <w:p w14:paraId="5C403A26" w14:textId="77777777" w:rsidR="0022120C" w:rsidRPr="00D42EFF" w:rsidRDefault="00D42EFF">
            <w:pPr>
              <w:spacing w:line="210" w:lineRule="auto"/>
              <w:rPr>
                <w:color w:val="000000" w:themeColor="text1"/>
              </w:rPr>
            </w:pPr>
            <w:r w:rsidRPr="00D42EFF">
              <w:rPr>
                <w:color w:val="000000" w:themeColor="text1"/>
                <w:sz w:val="15"/>
                <w:szCs w:val="15"/>
              </w:rPr>
              <w:t>Retrospective cohorts; 549 and 83 POMS</w:t>
            </w:r>
          </w:p>
        </w:tc>
        <w:tc>
          <w:tcPr>
            <w:tcW w:w="1350" w:type="dxa"/>
            <w:shd w:val="clear" w:color="auto" w:fill="F2F2F2"/>
            <w:tcMar>
              <w:top w:w="35" w:type="dxa"/>
              <w:left w:w="60" w:type="dxa"/>
              <w:bottom w:w="35" w:type="dxa"/>
              <w:right w:w="60" w:type="dxa"/>
            </w:tcMar>
          </w:tcPr>
          <w:p w14:paraId="2703B4F3"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54418C64" w14:textId="77777777" w:rsidR="0022120C" w:rsidRPr="00D42EFF" w:rsidRDefault="00D42EFF">
            <w:pPr>
              <w:spacing w:line="210" w:lineRule="auto"/>
              <w:rPr>
                <w:color w:val="000000" w:themeColor="text1"/>
              </w:rPr>
            </w:pPr>
            <w:r w:rsidRPr="00D42EFF">
              <w:rPr>
                <w:color w:val="000000" w:themeColor="text1"/>
                <w:sz w:val="15"/>
                <w:szCs w:val="15"/>
              </w:rPr>
              <w:t xml:space="preserve">Time to EDSS 4.0; time to </w:t>
            </w:r>
            <w:r w:rsidRPr="00D42EFF">
              <w:rPr>
                <w:color w:val="000000" w:themeColor="text1"/>
                <w:sz w:val="15"/>
                <w:szCs w:val="15"/>
              </w:rPr>
              <w:t>secondary progression</w:t>
            </w:r>
          </w:p>
        </w:tc>
        <w:tc>
          <w:tcPr>
            <w:tcW w:w="3450" w:type="dxa"/>
            <w:shd w:val="clear" w:color="auto" w:fill="F2F2F2"/>
            <w:tcMar>
              <w:top w:w="35" w:type="dxa"/>
              <w:left w:w="60" w:type="dxa"/>
              <w:bottom w:w="35" w:type="dxa"/>
              <w:right w:w="60" w:type="dxa"/>
            </w:tcMar>
          </w:tcPr>
          <w:p w14:paraId="71B3C86B" w14:textId="77777777" w:rsidR="0022120C" w:rsidRPr="00D42EFF" w:rsidRDefault="00D42EFF">
            <w:pPr>
              <w:spacing w:line="210" w:lineRule="auto"/>
              <w:rPr>
                <w:color w:val="000000" w:themeColor="text1"/>
              </w:rPr>
            </w:pPr>
            <w:r w:rsidRPr="00D42EFF">
              <w:rPr>
                <w:color w:val="000000" w:themeColor="text1"/>
                <w:sz w:val="15"/>
                <w:szCs w:val="15"/>
              </w:rPr>
              <w:t>Secondary progressive course: HR 11.07, p &lt; 0.001 [20]; progressive course: HR 2.93 (1.37–6.26), p = 0.01 [19]</w:t>
            </w:r>
          </w:p>
        </w:tc>
        <w:tc>
          <w:tcPr>
            <w:tcW w:w="1200" w:type="dxa"/>
            <w:shd w:val="clear" w:color="auto" w:fill="C6E0B4"/>
            <w:tcMar>
              <w:top w:w="35" w:type="dxa"/>
              <w:left w:w="60" w:type="dxa"/>
              <w:bottom w:w="35" w:type="dxa"/>
              <w:right w:w="60" w:type="dxa"/>
            </w:tcMar>
          </w:tcPr>
          <w:p w14:paraId="191CA6E3"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2119B847" w14:textId="77777777">
        <w:tc>
          <w:tcPr>
            <w:tcW w:w="2050" w:type="dxa"/>
            <w:tcMar>
              <w:top w:w="35" w:type="dxa"/>
              <w:left w:w="60" w:type="dxa"/>
              <w:bottom w:w="35" w:type="dxa"/>
              <w:right w:w="60" w:type="dxa"/>
            </w:tcMar>
          </w:tcPr>
          <w:p w14:paraId="22DE3A89" w14:textId="77777777" w:rsidR="0022120C" w:rsidRPr="00D42EFF" w:rsidRDefault="00D42EFF">
            <w:pPr>
              <w:spacing w:line="210" w:lineRule="auto"/>
              <w:rPr>
                <w:color w:val="000000" w:themeColor="text1"/>
              </w:rPr>
            </w:pPr>
            <w:sdt>
              <w:sdtPr>
                <w:rPr>
                  <w:color w:val="000000" w:themeColor="text1"/>
                </w:rPr>
                <w:tag w:val="goog_rdk_6"/>
                <w:id w:val="1421791709"/>
              </w:sdtPr>
              <w:sdtEndPr/>
              <w:sdtContent>
                <w:r w:rsidRPr="00D42EFF">
                  <w:rPr>
                    <w:rFonts w:ascii="Gungsuh" w:eastAsia="Gungsuh" w:hAnsi="Gungsuh" w:cs="Gungsuh"/>
                    <w:b/>
                    <w:bCs/>
                    <w:color w:val="000000" w:themeColor="text1"/>
                    <w:sz w:val="15"/>
                    <w:szCs w:val="15"/>
                  </w:rPr>
                  <w:t>Disease duration ≥ 2 years</w:t>
                </w:r>
              </w:sdtContent>
            </w:sdt>
          </w:p>
        </w:tc>
        <w:tc>
          <w:tcPr>
            <w:tcW w:w="1750" w:type="dxa"/>
            <w:tcMar>
              <w:top w:w="35" w:type="dxa"/>
              <w:left w:w="60" w:type="dxa"/>
              <w:bottom w:w="35" w:type="dxa"/>
              <w:right w:w="60" w:type="dxa"/>
            </w:tcMar>
          </w:tcPr>
          <w:p w14:paraId="42785770" w14:textId="77777777" w:rsidR="0022120C" w:rsidRPr="00D42EFF" w:rsidRDefault="00D42EFF">
            <w:pPr>
              <w:spacing w:line="210" w:lineRule="auto"/>
              <w:rPr>
                <w:color w:val="000000" w:themeColor="text1"/>
              </w:rPr>
            </w:pPr>
            <w:r w:rsidRPr="00D42EFF">
              <w:rPr>
                <w:color w:val="000000" w:themeColor="text1"/>
                <w:sz w:val="15"/>
                <w:szCs w:val="15"/>
              </w:rPr>
              <w:t>Kopp 2020 [17]</w:t>
            </w:r>
          </w:p>
        </w:tc>
        <w:tc>
          <w:tcPr>
            <w:tcW w:w="1700" w:type="dxa"/>
            <w:tcMar>
              <w:top w:w="35" w:type="dxa"/>
              <w:left w:w="60" w:type="dxa"/>
              <w:bottom w:w="35" w:type="dxa"/>
              <w:right w:w="60" w:type="dxa"/>
            </w:tcMar>
          </w:tcPr>
          <w:p w14:paraId="1DBF29F9" w14:textId="77777777" w:rsidR="0022120C" w:rsidRPr="00D42EFF" w:rsidRDefault="00D42EFF">
            <w:pPr>
              <w:spacing w:line="210" w:lineRule="auto"/>
              <w:rPr>
                <w:color w:val="000000" w:themeColor="text1"/>
              </w:rPr>
            </w:pPr>
            <w:r w:rsidRPr="00D42EFF">
              <w:rPr>
                <w:color w:val="000000" w:themeColor="text1"/>
                <w:sz w:val="15"/>
                <w:szCs w:val="15"/>
              </w:rPr>
              <w:t>Observational cohort; 291 POMS</w:t>
            </w:r>
          </w:p>
        </w:tc>
        <w:tc>
          <w:tcPr>
            <w:tcW w:w="1350" w:type="dxa"/>
            <w:tcMar>
              <w:top w:w="35" w:type="dxa"/>
              <w:left w:w="60" w:type="dxa"/>
              <w:bottom w:w="35" w:type="dxa"/>
              <w:right w:w="60" w:type="dxa"/>
            </w:tcMar>
          </w:tcPr>
          <w:p w14:paraId="49B9F778"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7E579167" w14:textId="77777777" w:rsidR="0022120C" w:rsidRPr="00D42EFF" w:rsidRDefault="00D42EFF">
            <w:pPr>
              <w:spacing w:line="210" w:lineRule="auto"/>
              <w:rPr>
                <w:color w:val="000000" w:themeColor="text1"/>
              </w:rPr>
            </w:pPr>
            <w:r w:rsidRPr="00D42EFF">
              <w:rPr>
                <w:color w:val="000000" w:themeColor="text1"/>
                <w:sz w:val="15"/>
                <w:szCs w:val="15"/>
              </w:rPr>
              <w:t>Confirmed EDSS improvement; relapse</w:t>
            </w:r>
            <w:r w:rsidRPr="00D42EFF">
              <w:rPr>
                <w:color w:val="000000" w:themeColor="text1"/>
                <w:sz w:val="15"/>
                <w:szCs w:val="15"/>
              </w:rPr>
              <w:t xml:space="preserve"> rate</w:t>
            </w:r>
          </w:p>
        </w:tc>
        <w:tc>
          <w:tcPr>
            <w:tcW w:w="3450" w:type="dxa"/>
            <w:tcMar>
              <w:top w:w="35" w:type="dxa"/>
              <w:left w:w="60" w:type="dxa"/>
              <w:bottom w:w="35" w:type="dxa"/>
              <w:right w:w="60" w:type="dxa"/>
            </w:tcMar>
          </w:tcPr>
          <w:p w14:paraId="00722252" w14:textId="77777777" w:rsidR="0022120C" w:rsidRPr="00D42EFF" w:rsidRDefault="00D42EFF">
            <w:pPr>
              <w:spacing w:line="210" w:lineRule="auto"/>
              <w:rPr>
                <w:color w:val="000000" w:themeColor="text1"/>
              </w:rPr>
            </w:pPr>
            <w:r w:rsidRPr="00D42EFF">
              <w:rPr>
                <w:color w:val="000000" w:themeColor="text1"/>
                <w:sz w:val="15"/>
                <w:szCs w:val="15"/>
              </w:rPr>
              <w:t>62–84% reduction in chance of EDSS improvement; relapse rate ratio 1.50 (1.05–2.15), p &lt; 0.05</w:t>
            </w:r>
          </w:p>
        </w:tc>
        <w:tc>
          <w:tcPr>
            <w:tcW w:w="1200" w:type="dxa"/>
            <w:shd w:val="clear" w:color="auto" w:fill="C6E0B4"/>
            <w:tcMar>
              <w:top w:w="35" w:type="dxa"/>
              <w:left w:w="60" w:type="dxa"/>
              <w:bottom w:w="35" w:type="dxa"/>
              <w:right w:w="60" w:type="dxa"/>
            </w:tcMar>
          </w:tcPr>
          <w:p w14:paraId="359B47AE"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6FE2CA22" w14:textId="77777777">
        <w:tc>
          <w:tcPr>
            <w:tcW w:w="2050" w:type="dxa"/>
            <w:shd w:val="clear" w:color="auto" w:fill="F2F2F2"/>
            <w:tcMar>
              <w:top w:w="35" w:type="dxa"/>
              <w:left w:w="60" w:type="dxa"/>
              <w:bottom w:w="35" w:type="dxa"/>
              <w:right w:w="60" w:type="dxa"/>
            </w:tcMar>
          </w:tcPr>
          <w:p w14:paraId="72BF4778" w14:textId="77777777" w:rsidR="0022120C" w:rsidRPr="00D42EFF" w:rsidRDefault="00D42EFF">
            <w:pPr>
              <w:spacing w:line="210" w:lineRule="auto"/>
              <w:rPr>
                <w:color w:val="000000" w:themeColor="text1"/>
              </w:rPr>
            </w:pPr>
            <w:r w:rsidRPr="00D42EFF">
              <w:rPr>
                <w:b/>
                <w:bCs/>
                <w:color w:val="000000" w:themeColor="text1"/>
                <w:sz w:val="15"/>
                <w:szCs w:val="15"/>
              </w:rPr>
              <w:t>Multifocal / polysymptomatic onset</w:t>
            </w:r>
          </w:p>
        </w:tc>
        <w:tc>
          <w:tcPr>
            <w:tcW w:w="1750" w:type="dxa"/>
            <w:shd w:val="clear" w:color="auto" w:fill="F2F2F2"/>
            <w:tcMar>
              <w:top w:w="35" w:type="dxa"/>
              <w:left w:w="60" w:type="dxa"/>
              <w:bottom w:w="35" w:type="dxa"/>
              <w:right w:w="60" w:type="dxa"/>
            </w:tcMar>
          </w:tcPr>
          <w:p w14:paraId="2F25B1F8" w14:textId="77777777" w:rsidR="0022120C" w:rsidRPr="00D42EFF" w:rsidRDefault="00D42EFF">
            <w:pPr>
              <w:spacing w:line="210" w:lineRule="auto"/>
              <w:rPr>
                <w:color w:val="000000" w:themeColor="text1"/>
              </w:rPr>
            </w:pPr>
            <w:r w:rsidRPr="00D42EFF">
              <w:rPr>
                <w:color w:val="000000" w:themeColor="text1"/>
                <w:sz w:val="15"/>
                <w:szCs w:val="15"/>
              </w:rPr>
              <w:t>Iaffaldano 2017 [14]; de Chalus 2025 [15]</w:t>
            </w:r>
          </w:p>
        </w:tc>
        <w:tc>
          <w:tcPr>
            <w:tcW w:w="1700" w:type="dxa"/>
            <w:shd w:val="clear" w:color="auto" w:fill="F2F2F2"/>
            <w:tcMar>
              <w:top w:w="35" w:type="dxa"/>
              <w:left w:w="60" w:type="dxa"/>
              <w:bottom w:w="35" w:type="dxa"/>
              <w:right w:w="60" w:type="dxa"/>
            </w:tcMar>
          </w:tcPr>
          <w:p w14:paraId="542935CF" w14:textId="77777777" w:rsidR="0022120C" w:rsidRPr="00D42EFF" w:rsidRDefault="00D42EFF">
            <w:pPr>
              <w:spacing w:line="210" w:lineRule="auto"/>
              <w:rPr>
                <w:color w:val="000000" w:themeColor="text1"/>
              </w:rPr>
            </w:pPr>
            <w:r w:rsidRPr="00D42EFF">
              <w:rPr>
                <w:color w:val="000000" w:themeColor="text1"/>
                <w:sz w:val="15"/>
                <w:szCs w:val="15"/>
              </w:rPr>
              <w:t>Observational (770 ped CIS); multicentre retrospective</w:t>
            </w:r>
          </w:p>
        </w:tc>
        <w:tc>
          <w:tcPr>
            <w:tcW w:w="1350" w:type="dxa"/>
            <w:shd w:val="clear" w:color="auto" w:fill="F2F2F2"/>
            <w:tcMar>
              <w:top w:w="35" w:type="dxa"/>
              <w:left w:w="60" w:type="dxa"/>
              <w:bottom w:w="35" w:type="dxa"/>
              <w:right w:w="60" w:type="dxa"/>
            </w:tcMar>
          </w:tcPr>
          <w:p w14:paraId="4C022150" w14:textId="77777777" w:rsidR="0022120C" w:rsidRPr="00D42EFF" w:rsidRDefault="00D42EFF">
            <w:pPr>
              <w:spacing w:line="210" w:lineRule="auto"/>
              <w:jc w:val="center"/>
              <w:rPr>
                <w:color w:val="000000" w:themeColor="text1"/>
              </w:rPr>
            </w:pPr>
            <w:r w:rsidRPr="00D42EFF">
              <w:rPr>
                <w:color w:val="000000" w:themeColor="text1"/>
                <w:sz w:val="15"/>
                <w:szCs w:val="15"/>
              </w:rPr>
              <w:t>Conversion</w:t>
            </w:r>
          </w:p>
        </w:tc>
        <w:tc>
          <w:tcPr>
            <w:tcW w:w="1900" w:type="dxa"/>
            <w:shd w:val="clear" w:color="auto" w:fill="F2F2F2"/>
            <w:tcMar>
              <w:top w:w="35" w:type="dxa"/>
              <w:left w:w="60" w:type="dxa"/>
              <w:bottom w:w="35" w:type="dxa"/>
              <w:right w:w="60" w:type="dxa"/>
            </w:tcMar>
          </w:tcPr>
          <w:p w14:paraId="08C4CF1C" w14:textId="77777777" w:rsidR="0022120C" w:rsidRPr="00D42EFF" w:rsidRDefault="00D42EFF">
            <w:pPr>
              <w:spacing w:line="210" w:lineRule="auto"/>
              <w:rPr>
                <w:color w:val="000000" w:themeColor="text1"/>
              </w:rPr>
            </w:pPr>
            <w:r w:rsidRPr="00D42EFF">
              <w:rPr>
                <w:color w:val="000000" w:themeColor="text1"/>
                <w:sz w:val="15"/>
                <w:szCs w:val="15"/>
              </w:rPr>
              <w:t>Second clinical attack; conversion to MS</w:t>
            </w:r>
          </w:p>
        </w:tc>
        <w:tc>
          <w:tcPr>
            <w:tcW w:w="3450" w:type="dxa"/>
            <w:shd w:val="clear" w:color="auto" w:fill="F2F2F2"/>
            <w:tcMar>
              <w:top w:w="35" w:type="dxa"/>
              <w:left w:w="60" w:type="dxa"/>
              <w:bottom w:w="35" w:type="dxa"/>
              <w:right w:w="60" w:type="dxa"/>
            </w:tcMar>
          </w:tcPr>
          <w:p w14:paraId="014A1EDF" w14:textId="77777777" w:rsidR="0022120C" w:rsidRPr="00D42EFF" w:rsidRDefault="00D42EFF">
            <w:pPr>
              <w:spacing w:line="210" w:lineRule="auto"/>
              <w:rPr>
                <w:color w:val="000000" w:themeColor="text1"/>
              </w:rPr>
            </w:pPr>
            <w:r w:rsidRPr="00D42EFF">
              <w:rPr>
                <w:color w:val="000000" w:themeColor="text1"/>
                <w:sz w:val="15"/>
                <w:szCs w:val="15"/>
              </w:rPr>
              <w:t>Independently associated with second attack and with progression to MS (multivariable models)</w:t>
            </w:r>
          </w:p>
        </w:tc>
        <w:tc>
          <w:tcPr>
            <w:tcW w:w="1200" w:type="dxa"/>
            <w:shd w:val="clear" w:color="auto" w:fill="FFFFFF"/>
            <w:tcMar>
              <w:top w:w="35" w:type="dxa"/>
              <w:left w:w="60" w:type="dxa"/>
              <w:bottom w:w="35" w:type="dxa"/>
              <w:right w:w="60" w:type="dxa"/>
            </w:tcMar>
          </w:tcPr>
          <w:p w14:paraId="138EFF3F" w14:textId="77777777" w:rsidR="0022120C" w:rsidRPr="00D42EFF" w:rsidRDefault="00D42EFF">
            <w:pPr>
              <w:spacing w:line="210" w:lineRule="auto"/>
              <w:jc w:val="center"/>
              <w:rPr>
                <w:color w:val="000000" w:themeColor="text1"/>
              </w:rPr>
            </w:pPr>
            <w:r w:rsidRPr="00D42EFF">
              <w:rPr>
                <w:color w:val="000000" w:themeColor="text1"/>
                <w:sz w:val="15"/>
                <w:szCs w:val="15"/>
              </w:rPr>
              <w:t>—</w:t>
            </w:r>
          </w:p>
        </w:tc>
      </w:tr>
      <w:tr w:rsidR="00D42EFF" w:rsidRPr="00D42EFF" w14:paraId="39747490" w14:textId="77777777">
        <w:tc>
          <w:tcPr>
            <w:tcW w:w="2050" w:type="dxa"/>
            <w:tcMar>
              <w:top w:w="35" w:type="dxa"/>
              <w:left w:w="60" w:type="dxa"/>
              <w:bottom w:w="35" w:type="dxa"/>
              <w:right w:w="60" w:type="dxa"/>
            </w:tcMar>
          </w:tcPr>
          <w:p w14:paraId="6A71732C" w14:textId="77777777" w:rsidR="0022120C" w:rsidRPr="00D42EFF" w:rsidRDefault="00D42EFF">
            <w:pPr>
              <w:spacing w:line="210" w:lineRule="auto"/>
              <w:rPr>
                <w:color w:val="000000" w:themeColor="text1"/>
              </w:rPr>
            </w:pPr>
            <w:r w:rsidRPr="00D42EFF">
              <w:rPr>
                <w:b/>
                <w:bCs/>
                <w:color w:val="000000" w:themeColor="text1"/>
                <w:sz w:val="15"/>
                <w:szCs w:val="15"/>
              </w:rPr>
              <w:t>Optic nerve involvement at onset</w:t>
            </w:r>
          </w:p>
        </w:tc>
        <w:tc>
          <w:tcPr>
            <w:tcW w:w="1750" w:type="dxa"/>
            <w:tcMar>
              <w:top w:w="35" w:type="dxa"/>
              <w:left w:w="60" w:type="dxa"/>
              <w:bottom w:w="35" w:type="dxa"/>
              <w:right w:w="60" w:type="dxa"/>
            </w:tcMar>
          </w:tcPr>
          <w:p w14:paraId="1D5C481C" w14:textId="77777777" w:rsidR="0022120C" w:rsidRPr="00D42EFF" w:rsidRDefault="00D42EFF">
            <w:pPr>
              <w:spacing w:line="210" w:lineRule="auto"/>
              <w:rPr>
                <w:color w:val="000000" w:themeColor="text1"/>
              </w:rPr>
            </w:pPr>
            <w:r w:rsidRPr="00D42EFF">
              <w:rPr>
                <w:color w:val="000000" w:themeColor="text1"/>
                <w:sz w:val="15"/>
                <w:szCs w:val="15"/>
              </w:rPr>
              <w:t>Iaffaldano 2017 [14]; de Chalus 2025 [15]</w:t>
            </w:r>
          </w:p>
        </w:tc>
        <w:tc>
          <w:tcPr>
            <w:tcW w:w="1700" w:type="dxa"/>
            <w:tcMar>
              <w:top w:w="35" w:type="dxa"/>
              <w:left w:w="60" w:type="dxa"/>
              <w:bottom w:w="35" w:type="dxa"/>
              <w:right w:w="60" w:type="dxa"/>
            </w:tcMar>
          </w:tcPr>
          <w:p w14:paraId="78472DF0" w14:textId="77777777" w:rsidR="0022120C" w:rsidRPr="00D42EFF" w:rsidRDefault="00D42EFF">
            <w:pPr>
              <w:spacing w:line="210" w:lineRule="auto"/>
              <w:rPr>
                <w:color w:val="000000" w:themeColor="text1"/>
              </w:rPr>
            </w:pPr>
            <w:r w:rsidRPr="00D42EFF">
              <w:rPr>
                <w:color w:val="000000" w:themeColor="text1"/>
                <w:sz w:val="15"/>
                <w:szCs w:val="15"/>
              </w:rPr>
              <w:t xml:space="preserve">Observational (770 ped CIS); multicentre </w:t>
            </w:r>
            <w:r w:rsidRPr="00D42EFF">
              <w:rPr>
                <w:color w:val="000000" w:themeColor="text1"/>
                <w:sz w:val="15"/>
                <w:szCs w:val="15"/>
              </w:rPr>
              <w:t>retrospective</w:t>
            </w:r>
          </w:p>
        </w:tc>
        <w:tc>
          <w:tcPr>
            <w:tcW w:w="1350" w:type="dxa"/>
            <w:tcMar>
              <w:top w:w="35" w:type="dxa"/>
              <w:left w:w="60" w:type="dxa"/>
              <w:bottom w:w="35" w:type="dxa"/>
              <w:right w:w="60" w:type="dxa"/>
            </w:tcMar>
          </w:tcPr>
          <w:p w14:paraId="5DBA533C" w14:textId="77777777" w:rsidR="0022120C" w:rsidRPr="00D42EFF" w:rsidRDefault="00D42EFF">
            <w:pPr>
              <w:spacing w:line="210" w:lineRule="auto"/>
              <w:jc w:val="center"/>
              <w:rPr>
                <w:color w:val="000000" w:themeColor="text1"/>
              </w:rPr>
            </w:pPr>
            <w:r w:rsidRPr="00D42EFF">
              <w:rPr>
                <w:color w:val="000000" w:themeColor="text1"/>
                <w:sz w:val="15"/>
                <w:szCs w:val="15"/>
              </w:rPr>
              <w:t>Conversion</w:t>
            </w:r>
          </w:p>
        </w:tc>
        <w:tc>
          <w:tcPr>
            <w:tcW w:w="1900" w:type="dxa"/>
            <w:tcMar>
              <w:top w:w="35" w:type="dxa"/>
              <w:left w:w="60" w:type="dxa"/>
              <w:bottom w:w="35" w:type="dxa"/>
              <w:right w:w="60" w:type="dxa"/>
            </w:tcMar>
          </w:tcPr>
          <w:p w14:paraId="50181929" w14:textId="77777777" w:rsidR="0022120C" w:rsidRPr="00D42EFF" w:rsidRDefault="00D42EFF">
            <w:pPr>
              <w:spacing w:line="210" w:lineRule="auto"/>
              <w:rPr>
                <w:color w:val="000000" w:themeColor="text1"/>
              </w:rPr>
            </w:pPr>
            <w:r w:rsidRPr="00D42EFF">
              <w:rPr>
                <w:color w:val="000000" w:themeColor="text1"/>
                <w:sz w:val="15"/>
                <w:szCs w:val="15"/>
              </w:rPr>
              <w:t>Second clinical attack; conversion to MS</w:t>
            </w:r>
          </w:p>
        </w:tc>
        <w:tc>
          <w:tcPr>
            <w:tcW w:w="3450" w:type="dxa"/>
            <w:tcMar>
              <w:top w:w="35" w:type="dxa"/>
              <w:left w:w="60" w:type="dxa"/>
              <w:bottom w:w="35" w:type="dxa"/>
              <w:right w:w="60" w:type="dxa"/>
            </w:tcMar>
          </w:tcPr>
          <w:p w14:paraId="478A171B" w14:textId="77777777" w:rsidR="0022120C" w:rsidRPr="00D42EFF" w:rsidRDefault="00D42EFF">
            <w:pPr>
              <w:spacing w:line="210" w:lineRule="auto"/>
              <w:rPr>
                <w:color w:val="000000" w:themeColor="text1"/>
              </w:rPr>
            </w:pPr>
            <w:r w:rsidRPr="00D42EFF">
              <w:rPr>
                <w:color w:val="000000" w:themeColor="text1"/>
                <w:sz w:val="15"/>
                <w:szCs w:val="15"/>
              </w:rPr>
              <w:t>Significantly associated with subsequent attack and conversion to definite MS</w:t>
            </w:r>
          </w:p>
        </w:tc>
        <w:tc>
          <w:tcPr>
            <w:tcW w:w="1200" w:type="dxa"/>
            <w:shd w:val="clear" w:color="auto" w:fill="FFFFFF"/>
            <w:tcMar>
              <w:top w:w="35" w:type="dxa"/>
              <w:left w:w="60" w:type="dxa"/>
              <w:bottom w:w="35" w:type="dxa"/>
              <w:right w:w="60" w:type="dxa"/>
            </w:tcMar>
          </w:tcPr>
          <w:p w14:paraId="17A53F27" w14:textId="77777777" w:rsidR="0022120C" w:rsidRPr="00D42EFF" w:rsidRDefault="00D42EFF">
            <w:pPr>
              <w:spacing w:line="210" w:lineRule="auto"/>
              <w:jc w:val="center"/>
              <w:rPr>
                <w:color w:val="000000" w:themeColor="text1"/>
              </w:rPr>
            </w:pPr>
            <w:r w:rsidRPr="00D42EFF">
              <w:rPr>
                <w:color w:val="000000" w:themeColor="text1"/>
                <w:sz w:val="15"/>
                <w:szCs w:val="15"/>
              </w:rPr>
              <w:t>—</w:t>
            </w:r>
          </w:p>
        </w:tc>
      </w:tr>
      <w:tr w:rsidR="00D42EFF" w:rsidRPr="00D42EFF" w14:paraId="44A78A9C" w14:textId="77777777">
        <w:tc>
          <w:tcPr>
            <w:tcW w:w="2050" w:type="dxa"/>
            <w:shd w:val="clear" w:color="auto" w:fill="F2F2F2"/>
            <w:tcMar>
              <w:top w:w="35" w:type="dxa"/>
              <w:left w:w="60" w:type="dxa"/>
              <w:bottom w:w="35" w:type="dxa"/>
              <w:right w:w="60" w:type="dxa"/>
            </w:tcMar>
          </w:tcPr>
          <w:p w14:paraId="43A89766" w14:textId="77777777" w:rsidR="0022120C" w:rsidRPr="00D42EFF" w:rsidRDefault="00D42EFF">
            <w:pPr>
              <w:spacing w:line="210" w:lineRule="auto"/>
              <w:rPr>
                <w:color w:val="000000" w:themeColor="text1"/>
              </w:rPr>
            </w:pPr>
            <w:r w:rsidRPr="00D42EFF">
              <w:rPr>
                <w:b/>
                <w:bCs/>
                <w:color w:val="000000" w:themeColor="text1"/>
                <w:sz w:val="15"/>
                <w:szCs w:val="15"/>
              </w:rPr>
              <w:t>Absence of mental-state involvement at onset</w:t>
            </w:r>
          </w:p>
        </w:tc>
        <w:tc>
          <w:tcPr>
            <w:tcW w:w="1750" w:type="dxa"/>
            <w:shd w:val="clear" w:color="auto" w:fill="F2F2F2"/>
            <w:tcMar>
              <w:top w:w="35" w:type="dxa"/>
              <w:left w:w="60" w:type="dxa"/>
              <w:bottom w:w="35" w:type="dxa"/>
              <w:right w:w="60" w:type="dxa"/>
            </w:tcMar>
          </w:tcPr>
          <w:p w14:paraId="35C4EACA" w14:textId="77777777" w:rsidR="0022120C" w:rsidRPr="00D42EFF" w:rsidRDefault="00D42EFF">
            <w:pPr>
              <w:spacing w:line="210" w:lineRule="auto"/>
              <w:rPr>
                <w:color w:val="000000" w:themeColor="text1"/>
              </w:rPr>
            </w:pPr>
            <w:r w:rsidRPr="00D42EFF">
              <w:rPr>
                <w:color w:val="000000" w:themeColor="text1"/>
                <w:sz w:val="15"/>
                <w:szCs w:val="15"/>
              </w:rPr>
              <w:t>Simone 2002 [19]</w:t>
            </w:r>
          </w:p>
        </w:tc>
        <w:tc>
          <w:tcPr>
            <w:tcW w:w="1700" w:type="dxa"/>
            <w:shd w:val="clear" w:color="auto" w:fill="F2F2F2"/>
            <w:tcMar>
              <w:top w:w="35" w:type="dxa"/>
              <w:left w:w="60" w:type="dxa"/>
              <w:bottom w:w="35" w:type="dxa"/>
              <w:right w:w="60" w:type="dxa"/>
            </w:tcMar>
          </w:tcPr>
          <w:p w14:paraId="5E700CD7" w14:textId="77777777" w:rsidR="0022120C" w:rsidRPr="00D42EFF" w:rsidRDefault="00D42EFF">
            <w:pPr>
              <w:spacing w:line="210" w:lineRule="auto"/>
              <w:rPr>
                <w:color w:val="000000" w:themeColor="text1"/>
              </w:rPr>
            </w:pPr>
            <w:r w:rsidRPr="00D42EFF">
              <w:rPr>
                <w:color w:val="000000" w:themeColor="text1"/>
                <w:sz w:val="15"/>
                <w:szCs w:val="15"/>
              </w:rPr>
              <w:t>Retrospective cohort; 83 POMS</w:t>
            </w:r>
          </w:p>
        </w:tc>
        <w:tc>
          <w:tcPr>
            <w:tcW w:w="1350" w:type="dxa"/>
            <w:shd w:val="clear" w:color="auto" w:fill="F2F2F2"/>
            <w:tcMar>
              <w:top w:w="35" w:type="dxa"/>
              <w:left w:w="60" w:type="dxa"/>
              <w:bottom w:w="35" w:type="dxa"/>
              <w:right w:w="60" w:type="dxa"/>
            </w:tcMar>
          </w:tcPr>
          <w:p w14:paraId="0BA97C8F"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001C355F" w14:textId="77777777" w:rsidR="0022120C" w:rsidRPr="00D42EFF" w:rsidRDefault="00D42EFF">
            <w:pPr>
              <w:spacing w:line="210" w:lineRule="auto"/>
              <w:rPr>
                <w:color w:val="000000" w:themeColor="text1"/>
              </w:rPr>
            </w:pPr>
            <w:r w:rsidRPr="00D42EFF">
              <w:rPr>
                <w:color w:val="000000" w:themeColor="text1"/>
                <w:sz w:val="15"/>
                <w:szCs w:val="15"/>
              </w:rPr>
              <w:t xml:space="preserve">Third </w:t>
            </w:r>
            <w:r w:rsidRPr="00D42EFF">
              <w:rPr>
                <w:color w:val="000000" w:themeColor="text1"/>
                <w:sz w:val="15"/>
                <w:szCs w:val="15"/>
              </w:rPr>
              <w:t>demyelinating attack; EDSS &gt; 4</w:t>
            </w:r>
          </w:p>
        </w:tc>
        <w:tc>
          <w:tcPr>
            <w:tcW w:w="3450" w:type="dxa"/>
            <w:shd w:val="clear" w:color="auto" w:fill="F2F2F2"/>
            <w:tcMar>
              <w:top w:w="35" w:type="dxa"/>
              <w:left w:w="60" w:type="dxa"/>
              <w:bottom w:w="35" w:type="dxa"/>
              <w:right w:w="60" w:type="dxa"/>
            </w:tcMar>
          </w:tcPr>
          <w:p w14:paraId="5538328F" w14:textId="77777777" w:rsidR="0022120C" w:rsidRPr="00D42EFF" w:rsidRDefault="00D42EFF">
            <w:pPr>
              <w:spacing w:line="210" w:lineRule="auto"/>
              <w:rPr>
                <w:color w:val="000000" w:themeColor="text1"/>
              </w:rPr>
            </w:pPr>
            <w:r w:rsidRPr="00D42EFF">
              <w:rPr>
                <w:color w:val="000000" w:themeColor="text1"/>
                <w:sz w:val="15"/>
                <w:szCs w:val="15"/>
              </w:rPr>
              <w:t>HR 1.91 (95% CI 1.05–3.49), p = 0.04. Interpretation confounded by possible ADEM misclassification in pre-criteria cohorts</w:t>
            </w:r>
          </w:p>
        </w:tc>
        <w:tc>
          <w:tcPr>
            <w:tcW w:w="1200" w:type="dxa"/>
            <w:shd w:val="clear" w:color="auto" w:fill="F8CBAD"/>
            <w:tcMar>
              <w:top w:w="35" w:type="dxa"/>
              <w:left w:w="60" w:type="dxa"/>
              <w:bottom w:w="35" w:type="dxa"/>
              <w:right w:w="60" w:type="dxa"/>
            </w:tcMar>
          </w:tcPr>
          <w:p w14:paraId="67F888DE" w14:textId="77777777" w:rsidR="0022120C" w:rsidRPr="00D42EFF" w:rsidRDefault="00D42EFF">
            <w:pPr>
              <w:spacing w:line="210" w:lineRule="auto"/>
              <w:jc w:val="center"/>
              <w:rPr>
                <w:color w:val="000000" w:themeColor="text1"/>
              </w:rPr>
            </w:pPr>
            <w:r w:rsidRPr="00D42EFF">
              <w:rPr>
                <w:color w:val="000000" w:themeColor="text1"/>
                <w:sz w:val="15"/>
                <w:szCs w:val="15"/>
              </w:rPr>
              <w:t>D</w:t>
            </w:r>
          </w:p>
        </w:tc>
      </w:tr>
      <w:tr w:rsidR="00D42EFF" w:rsidRPr="00D42EFF" w14:paraId="1BE2D054" w14:textId="77777777">
        <w:tc>
          <w:tcPr>
            <w:tcW w:w="2050" w:type="dxa"/>
            <w:tcMar>
              <w:top w:w="35" w:type="dxa"/>
              <w:left w:w="60" w:type="dxa"/>
              <w:bottom w:w="35" w:type="dxa"/>
              <w:right w:w="60" w:type="dxa"/>
            </w:tcMar>
          </w:tcPr>
          <w:p w14:paraId="6A7D53F8" w14:textId="77777777" w:rsidR="0022120C" w:rsidRPr="00D42EFF" w:rsidRDefault="00D42EFF">
            <w:pPr>
              <w:spacing w:line="210" w:lineRule="auto"/>
              <w:rPr>
                <w:color w:val="000000" w:themeColor="text1"/>
              </w:rPr>
            </w:pPr>
            <w:r w:rsidRPr="00D42EFF">
              <w:rPr>
                <w:b/>
                <w:bCs/>
                <w:color w:val="000000" w:themeColor="text1"/>
                <w:sz w:val="15"/>
                <w:szCs w:val="15"/>
              </w:rPr>
              <w:t>Supratentorial onset symptoms</w:t>
            </w:r>
          </w:p>
        </w:tc>
        <w:tc>
          <w:tcPr>
            <w:tcW w:w="1750" w:type="dxa"/>
            <w:tcMar>
              <w:top w:w="35" w:type="dxa"/>
              <w:left w:w="60" w:type="dxa"/>
              <w:bottom w:w="35" w:type="dxa"/>
              <w:right w:w="60" w:type="dxa"/>
            </w:tcMar>
          </w:tcPr>
          <w:p w14:paraId="650B2E01" w14:textId="77777777" w:rsidR="0022120C" w:rsidRPr="00D42EFF" w:rsidRDefault="00D42EFF">
            <w:pPr>
              <w:spacing w:line="210" w:lineRule="auto"/>
              <w:rPr>
                <w:color w:val="000000" w:themeColor="text1"/>
              </w:rPr>
            </w:pPr>
            <w:r w:rsidRPr="00D42EFF">
              <w:rPr>
                <w:color w:val="000000" w:themeColor="text1"/>
                <w:sz w:val="15"/>
                <w:szCs w:val="15"/>
              </w:rPr>
              <w:t>Mikaeloff 2006 [18]; Simone 2002 [19]</w:t>
            </w:r>
          </w:p>
        </w:tc>
        <w:tc>
          <w:tcPr>
            <w:tcW w:w="1700" w:type="dxa"/>
            <w:tcMar>
              <w:top w:w="35" w:type="dxa"/>
              <w:left w:w="60" w:type="dxa"/>
              <w:bottom w:w="35" w:type="dxa"/>
              <w:right w:w="60" w:type="dxa"/>
            </w:tcMar>
          </w:tcPr>
          <w:p w14:paraId="78F0BF31" w14:textId="77777777" w:rsidR="0022120C" w:rsidRPr="00D42EFF" w:rsidRDefault="00D42EFF">
            <w:pPr>
              <w:spacing w:line="210" w:lineRule="auto"/>
              <w:rPr>
                <w:color w:val="000000" w:themeColor="text1"/>
              </w:rPr>
            </w:pPr>
            <w:r w:rsidRPr="00D42EFF">
              <w:rPr>
                <w:color w:val="000000" w:themeColor="text1"/>
                <w:sz w:val="15"/>
                <w:szCs w:val="15"/>
              </w:rPr>
              <w:t xml:space="preserve">Prospective (197 POMS); </w:t>
            </w:r>
            <w:r w:rsidRPr="00D42EFF">
              <w:rPr>
                <w:color w:val="000000" w:themeColor="text1"/>
                <w:sz w:val="15"/>
                <w:szCs w:val="15"/>
              </w:rPr>
              <w:t>retrospective (83 POMS)</w:t>
            </w:r>
          </w:p>
        </w:tc>
        <w:tc>
          <w:tcPr>
            <w:tcW w:w="1350" w:type="dxa"/>
            <w:tcMar>
              <w:top w:w="35" w:type="dxa"/>
              <w:left w:w="60" w:type="dxa"/>
              <w:bottom w:w="35" w:type="dxa"/>
              <w:right w:w="60" w:type="dxa"/>
            </w:tcMar>
          </w:tcPr>
          <w:p w14:paraId="46E3AB0B"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2725A2BC" w14:textId="77777777" w:rsidR="0022120C" w:rsidRPr="00D42EFF" w:rsidRDefault="00D42EFF">
            <w:pPr>
              <w:spacing w:line="210" w:lineRule="auto"/>
              <w:rPr>
                <w:color w:val="000000" w:themeColor="text1"/>
              </w:rPr>
            </w:pPr>
            <w:r w:rsidRPr="00D42EFF">
              <w:rPr>
                <w:color w:val="000000" w:themeColor="text1"/>
                <w:sz w:val="15"/>
                <w:szCs w:val="15"/>
              </w:rPr>
              <w:t>Subsequent disability worsening</w:t>
            </w:r>
          </w:p>
        </w:tc>
        <w:tc>
          <w:tcPr>
            <w:tcW w:w="3450" w:type="dxa"/>
            <w:tcMar>
              <w:top w:w="35" w:type="dxa"/>
              <w:left w:w="60" w:type="dxa"/>
              <w:bottom w:w="35" w:type="dxa"/>
              <w:right w:w="60" w:type="dxa"/>
            </w:tcMar>
          </w:tcPr>
          <w:p w14:paraId="69E0C2B0" w14:textId="77777777" w:rsidR="0022120C" w:rsidRPr="00D42EFF" w:rsidRDefault="00D42EFF">
            <w:pPr>
              <w:spacing w:line="210" w:lineRule="auto"/>
              <w:rPr>
                <w:color w:val="000000" w:themeColor="text1"/>
              </w:rPr>
            </w:pPr>
            <w:r w:rsidRPr="00D42EFF">
              <w:rPr>
                <w:color w:val="000000" w:themeColor="text1"/>
                <w:sz w:val="15"/>
                <w:szCs w:val="15"/>
              </w:rPr>
              <w:t>Reported as protective against disability worsening; direction not replicated in later cohorts</w:t>
            </w:r>
          </w:p>
        </w:tc>
        <w:tc>
          <w:tcPr>
            <w:tcW w:w="1200" w:type="dxa"/>
            <w:shd w:val="clear" w:color="auto" w:fill="F8CBAD"/>
            <w:tcMar>
              <w:top w:w="35" w:type="dxa"/>
              <w:left w:w="60" w:type="dxa"/>
              <w:bottom w:w="35" w:type="dxa"/>
              <w:right w:w="60" w:type="dxa"/>
            </w:tcMar>
          </w:tcPr>
          <w:p w14:paraId="6E99C336" w14:textId="77777777" w:rsidR="0022120C" w:rsidRPr="00D42EFF" w:rsidRDefault="00D42EFF">
            <w:pPr>
              <w:spacing w:line="210" w:lineRule="auto"/>
              <w:jc w:val="center"/>
              <w:rPr>
                <w:color w:val="000000" w:themeColor="text1"/>
              </w:rPr>
            </w:pPr>
            <w:r w:rsidRPr="00D42EFF">
              <w:rPr>
                <w:color w:val="000000" w:themeColor="text1"/>
                <w:sz w:val="15"/>
                <w:szCs w:val="15"/>
              </w:rPr>
              <w:t>D</w:t>
            </w:r>
          </w:p>
        </w:tc>
      </w:tr>
      <w:tr w:rsidR="00D42EFF" w:rsidRPr="00D42EFF" w14:paraId="2A94CEC8" w14:textId="77777777">
        <w:tc>
          <w:tcPr>
            <w:tcW w:w="2050" w:type="dxa"/>
            <w:shd w:val="clear" w:color="auto" w:fill="F2F2F2"/>
            <w:tcMar>
              <w:top w:w="35" w:type="dxa"/>
              <w:left w:w="60" w:type="dxa"/>
              <w:bottom w:w="35" w:type="dxa"/>
              <w:right w:w="60" w:type="dxa"/>
            </w:tcMar>
          </w:tcPr>
          <w:p w14:paraId="675ED498" w14:textId="77777777" w:rsidR="0022120C" w:rsidRPr="00D42EFF" w:rsidRDefault="00D42EFF">
            <w:pPr>
              <w:spacing w:line="210" w:lineRule="auto"/>
              <w:rPr>
                <w:color w:val="000000" w:themeColor="text1"/>
              </w:rPr>
            </w:pPr>
            <w:r w:rsidRPr="00D42EFF">
              <w:rPr>
                <w:b/>
                <w:bCs/>
                <w:color w:val="000000" w:themeColor="text1"/>
                <w:sz w:val="15"/>
                <w:szCs w:val="15"/>
              </w:rPr>
              <w:t>Cognitive impairment at onset</w:t>
            </w:r>
          </w:p>
        </w:tc>
        <w:tc>
          <w:tcPr>
            <w:tcW w:w="1750" w:type="dxa"/>
            <w:shd w:val="clear" w:color="auto" w:fill="F2F2F2"/>
            <w:tcMar>
              <w:top w:w="35" w:type="dxa"/>
              <w:left w:w="60" w:type="dxa"/>
              <w:bottom w:w="35" w:type="dxa"/>
              <w:right w:w="60" w:type="dxa"/>
            </w:tcMar>
          </w:tcPr>
          <w:p w14:paraId="3C0EC042" w14:textId="77777777" w:rsidR="0022120C" w:rsidRPr="00D42EFF" w:rsidRDefault="00D42EFF">
            <w:pPr>
              <w:spacing w:line="210" w:lineRule="auto"/>
              <w:rPr>
                <w:color w:val="000000" w:themeColor="text1"/>
              </w:rPr>
            </w:pPr>
            <w:r w:rsidRPr="00D42EFF">
              <w:rPr>
                <w:color w:val="000000" w:themeColor="text1"/>
                <w:sz w:val="15"/>
                <w:szCs w:val="15"/>
              </w:rPr>
              <w:t>Portaccio 2022 [22]</w:t>
            </w:r>
          </w:p>
        </w:tc>
        <w:tc>
          <w:tcPr>
            <w:tcW w:w="1700" w:type="dxa"/>
            <w:shd w:val="clear" w:color="auto" w:fill="F2F2F2"/>
            <w:tcMar>
              <w:top w:w="35" w:type="dxa"/>
              <w:left w:w="60" w:type="dxa"/>
              <w:bottom w:w="35" w:type="dxa"/>
              <w:right w:w="60" w:type="dxa"/>
            </w:tcMar>
          </w:tcPr>
          <w:p w14:paraId="1CF2732E" w14:textId="77777777" w:rsidR="0022120C" w:rsidRPr="00D42EFF" w:rsidRDefault="00D42EFF">
            <w:pPr>
              <w:spacing w:line="210" w:lineRule="auto"/>
              <w:rPr>
                <w:color w:val="000000" w:themeColor="text1"/>
              </w:rPr>
            </w:pPr>
            <w:r w:rsidRPr="00D42EFF">
              <w:rPr>
                <w:color w:val="000000" w:themeColor="text1"/>
                <w:sz w:val="15"/>
                <w:szCs w:val="15"/>
              </w:rPr>
              <w:t>Multicentre longitudinal; 48 POMS (12-year</w:t>
            </w:r>
            <w:r w:rsidRPr="00D42EFF">
              <w:rPr>
                <w:color w:val="000000" w:themeColor="text1"/>
                <w:sz w:val="15"/>
                <w:szCs w:val="15"/>
              </w:rPr>
              <w:t xml:space="preserve"> follow-up)</w:t>
            </w:r>
          </w:p>
        </w:tc>
        <w:tc>
          <w:tcPr>
            <w:tcW w:w="1350" w:type="dxa"/>
            <w:shd w:val="clear" w:color="auto" w:fill="F2F2F2"/>
            <w:tcMar>
              <w:top w:w="35" w:type="dxa"/>
              <w:left w:w="60" w:type="dxa"/>
              <w:bottom w:w="35" w:type="dxa"/>
              <w:right w:w="60" w:type="dxa"/>
            </w:tcMar>
          </w:tcPr>
          <w:p w14:paraId="1C395EF7"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5FFCE67F" w14:textId="77777777" w:rsidR="0022120C" w:rsidRPr="00D42EFF" w:rsidRDefault="00D42EFF">
            <w:pPr>
              <w:spacing w:line="210" w:lineRule="auto"/>
              <w:rPr>
                <w:color w:val="000000" w:themeColor="text1"/>
              </w:rPr>
            </w:pPr>
            <w:r w:rsidRPr="00D42EFF">
              <w:rPr>
                <w:color w:val="000000" w:themeColor="text1"/>
                <w:sz w:val="15"/>
                <w:szCs w:val="15"/>
              </w:rPr>
              <w:t>Cognitive trajectory; socio-professional attainment (WSAS)</w:t>
            </w:r>
          </w:p>
        </w:tc>
        <w:tc>
          <w:tcPr>
            <w:tcW w:w="3450" w:type="dxa"/>
            <w:shd w:val="clear" w:color="auto" w:fill="F2F2F2"/>
            <w:tcMar>
              <w:top w:w="35" w:type="dxa"/>
              <w:left w:w="60" w:type="dxa"/>
              <w:bottom w:w="35" w:type="dxa"/>
              <w:right w:w="60" w:type="dxa"/>
            </w:tcMar>
          </w:tcPr>
          <w:p w14:paraId="04237BE5" w14:textId="77777777" w:rsidR="0022120C" w:rsidRPr="00D42EFF" w:rsidRDefault="00D42EFF">
            <w:pPr>
              <w:spacing w:line="210" w:lineRule="auto"/>
              <w:rPr>
                <w:color w:val="000000" w:themeColor="text1"/>
              </w:rPr>
            </w:pPr>
            <w:sdt>
              <w:sdtPr>
                <w:rPr>
                  <w:color w:val="000000" w:themeColor="text1"/>
                </w:rPr>
                <w:tag w:val="goog_rdk_7"/>
                <w:id w:val="1232572692"/>
              </w:sdtPr>
              <w:sdtEndPr/>
              <w:sdtContent>
                <w:r w:rsidRPr="00D42EFF">
                  <w:rPr>
                    <w:rFonts w:ascii="Cardo" w:eastAsia="Cardo" w:hAnsi="Cardo" w:cs="Cardo"/>
                    <w:color w:val="000000" w:themeColor="text1"/>
                    <w:sz w:val="15"/>
                    <w:szCs w:val="15"/>
                  </w:rPr>
                  <w:t>Cognitive impairment rose from 21.2% to 54.5% over 12 years. Higher baseline IQ protective (β = +0.3, 95% CI 0.1–0.5, p = 0.017); higher pre-baseline relapse number adverse (β</w:t>
                </w:r>
                <w:r w:rsidRPr="00D42EFF">
                  <w:rPr>
                    <w:rFonts w:ascii="Cardo" w:eastAsia="Cardo" w:hAnsi="Cardo" w:cs="Cardo"/>
                    <w:color w:val="000000" w:themeColor="text1"/>
                    <w:sz w:val="15"/>
                    <w:szCs w:val="15"/>
                  </w:rPr>
                  <w:t xml:space="preserve"> = −0.1, p = 0.025). Worse socio-professional outcome in impaired patients (β = 4.8, 95% CI 1.4–8.2, p = 0.008)</w:t>
                </w:r>
              </w:sdtContent>
            </w:sdt>
          </w:p>
        </w:tc>
        <w:tc>
          <w:tcPr>
            <w:tcW w:w="1200" w:type="dxa"/>
            <w:shd w:val="clear" w:color="auto" w:fill="FFE699"/>
            <w:tcMar>
              <w:top w:w="35" w:type="dxa"/>
              <w:left w:w="60" w:type="dxa"/>
              <w:bottom w:w="35" w:type="dxa"/>
              <w:right w:w="60" w:type="dxa"/>
            </w:tcMar>
          </w:tcPr>
          <w:p w14:paraId="6054A6ED"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r w:rsidR="00D42EFF" w:rsidRPr="00D42EFF" w14:paraId="3DCACE5A" w14:textId="77777777">
        <w:tc>
          <w:tcPr>
            <w:tcW w:w="2050" w:type="dxa"/>
            <w:tcMar>
              <w:top w:w="35" w:type="dxa"/>
              <w:left w:w="60" w:type="dxa"/>
              <w:bottom w:w="35" w:type="dxa"/>
              <w:right w:w="60" w:type="dxa"/>
            </w:tcMar>
          </w:tcPr>
          <w:p w14:paraId="29CD8BB9" w14:textId="77777777" w:rsidR="0022120C" w:rsidRPr="00D42EFF" w:rsidRDefault="00D42EFF">
            <w:pPr>
              <w:spacing w:line="210" w:lineRule="auto"/>
              <w:rPr>
                <w:color w:val="000000" w:themeColor="text1"/>
              </w:rPr>
            </w:pPr>
            <w:r w:rsidRPr="00D42EFF">
              <w:rPr>
                <w:b/>
                <w:bCs/>
                <w:color w:val="000000" w:themeColor="text1"/>
                <w:sz w:val="15"/>
                <w:szCs w:val="15"/>
              </w:rPr>
              <w:t>Poor sleep quality</w:t>
            </w:r>
          </w:p>
        </w:tc>
        <w:tc>
          <w:tcPr>
            <w:tcW w:w="1750" w:type="dxa"/>
            <w:tcMar>
              <w:top w:w="35" w:type="dxa"/>
              <w:left w:w="60" w:type="dxa"/>
              <w:bottom w:w="35" w:type="dxa"/>
              <w:right w:w="60" w:type="dxa"/>
            </w:tcMar>
          </w:tcPr>
          <w:p w14:paraId="4D761378" w14:textId="77777777" w:rsidR="0022120C" w:rsidRPr="00D42EFF" w:rsidRDefault="00D42EFF">
            <w:pPr>
              <w:spacing w:line="210" w:lineRule="auto"/>
              <w:rPr>
                <w:color w:val="000000" w:themeColor="text1"/>
              </w:rPr>
            </w:pPr>
            <w:r w:rsidRPr="00D42EFF">
              <w:rPr>
                <w:color w:val="000000" w:themeColor="text1"/>
                <w:sz w:val="15"/>
                <w:szCs w:val="15"/>
              </w:rPr>
              <w:t>MacAllister 2009 [24]</w:t>
            </w:r>
          </w:p>
        </w:tc>
        <w:tc>
          <w:tcPr>
            <w:tcW w:w="1700" w:type="dxa"/>
            <w:tcMar>
              <w:top w:w="35" w:type="dxa"/>
              <w:left w:w="60" w:type="dxa"/>
              <w:bottom w:w="35" w:type="dxa"/>
              <w:right w:w="60" w:type="dxa"/>
            </w:tcMar>
          </w:tcPr>
          <w:p w14:paraId="45D5C593" w14:textId="77777777" w:rsidR="0022120C" w:rsidRPr="00D42EFF" w:rsidRDefault="00D42EFF">
            <w:pPr>
              <w:spacing w:line="210" w:lineRule="auto"/>
              <w:rPr>
                <w:color w:val="000000" w:themeColor="text1"/>
              </w:rPr>
            </w:pPr>
            <w:r w:rsidRPr="00D42EFF">
              <w:rPr>
                <w:color w:val="000000" w:themeColor="text1"/>
                <w:sz w:val="15"/>
                <w:szCs w:val="15"/>
              </w:rPr>
              <w:t>Cross-sectional observational; 51 POMS</w:t>
            </w:r>
          </w:p>
        </w:tc>
        <w:tc>
          <w:tcPr>
            <w:tcW w:w="1350" w:type="dxa"/>
            <w:tcMar>
              <w:top w:w="35" w:type="dxa"/>
              <w:left w:w="60" w:type="dxa"/>
              <w:bottom w:w="35" w:type="dxa"/>
              <w:right w:w="60" w:type="dxa"/>
            </w:tcMar>
          </w:tcPr>
          <w:p w14:paraId="35097038"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4622E9B0" w14:textId="77777777" w:rsidR="0022120C" w:rsidRPr="00D42EFF" w:rsidRDefault="00D42EFF">
            <w:pPr>
              <w:spacing w:line="210" w:lineRule="auto"/>
              <w:rPr>
                <w:color w:val="000000" w:themeColor="text1"/>
              </w:rPr>
            </w:pPr>
            <w:r w:rsidRPr="00D42EFF">
              <w:rPr>
                <w:color w:val="000000" w:themeColor="text1"/>
                <w:sz w:val="15"/>
                <w:szCs w:val="15"/>
              </w:rPr>
              <w:t>Fatigue; quality of life; EDSS correlation</w:t>
            </w:r>
          </w:p>
        </w:tc>
        <w:tc>
          <w:tcPr>
            <w:tcW w:w="3450" w:type="dxa"/>
            <w:tcMar>
              <w:top w:w="35" w:type="dxa"/>
              <w:left w:w="60" w:type="dxa"/>
              <w:bottom w:w="35" w:type="dxa"/>
              <w:right w:w="60" w:type="dxa"/>
            </w:tcMar>
          </w:tcPr>
          <w:p w14:paraId="446BDA81" w14:textId="77777777" w:rsidR="0022120C" w:rsidRPr="00D42EFF" w:rsidRDefault="00D42EFF">
            <w:pPr>
              <w:spacing w:line="210" w:lineRule="auto"/>
              <w:rPr>
                <w:color w:val="000000" w:themeColor="text1"/>
              </w:rPr>
            </w:pPr>
            <w:r w:rsidRPr="00D42EFF">
              <w:rPr>
                <w:color w:val="000000" w:themeColor="text1"/>
                <w:sz w:val="15"/>
                <w:szCs w:val="15"/>
              </w:rPr>
              <w:t>Correlation with EDSS r = 0.36, p = 0.01; with fatigue r = 0.70 (self-reported) and r = 0.77 (parent-reported), p &lt; 0.01</w:t>
            </w:r>
          </w:p>
        </w:tc>
        <w:tc>
          <w:tcPr>
            <w:tcW w:w="1200" w:type="dxa"/>
            <w:shd w:val="clear" w:color="auto" w:fill="FFE699"/>
            <w:tcMar>
              <w:top w:w="35" w:type="dxa"/>
              <w:left w:w="60" w:type="dxa"/>
              <w:bottom w:w="35" w:type="dxa"/>
              <w:right w:w="60" w:type="dxa"/>
            </w:tcMar>
          </w:tcPr>
          <w:p w14:paraId="78AA7155"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r w:rsidR="00D42EFF" w:rsidRPr="00D42EFF" w14:paraId="1E11BE1C" w14:textId="77777777">
        <w:tc>
          <w:tcPr>
            <w:tcW w:w="2050" w:type="dxa"/>
            <w:shd w:val="clear" w:color="auto" w:fill="F2F2F2"/>
            <w:tcMar>
              <w:top w:w="35" w:type="dxa"/>
              <w:left w:w="60" w:type="dxa"/>
              <w:bottom w:w="35" w:type="dxa"/>
              <w:right w:w="60" w:type="dxa"/>
            </w:tcMar>
          </w:tcPr>
          <w:p w14:paraId="285B31EE" w14:textId="77777777" w:rsidR="0022120C" w:rsidRPr="00D42EFF" w:rsidRDefault="00D42EFF">
            <w:pPr>
              <w:spacing w:line="210" w:lineRule="auto"/>
              <w:rPr>
                <w:color w:val="000000" w:themeColor="text1"/>
              </w:rPr>
            </w:pPr>
            <w:r w:rsidRPr="00D42EFF">
              <w:rPr>
                <w:b/>
                <w:bCs/>
                <w:color w:val="000000" w:themeColor="text1"/>
                <w:sz w:val="15"/>
                <w:szCs w:val="15"/>
              </w:rPr>
              <w:t>Psychosocial stressors (family dynamics; mental-health issues)</w:t>
            </w:r>
          </w:p>
        </w:tc>
        <w:tc>
          <w:tcPr>
            <w:tcW w:w="1750" w:type="dxa"/>
            <w:shd w:val="clear" w:color="auto" w:fill="F2F2F2"/>
            <w:tcMar>
              <w:top w:w="35" w:type="dxa"/>
              <w:left w:w="60" w:type="dxa"/>
              <w:bottom w:w="35" w:type="dxa"/>
              <w:right w:w="60" w:type="dxa"/>
            </w:tcMar>
          </w:tcPr>
          <w:p w14:paraId="4D974C21" w14:textId="77777777" w:rsidR="0022120C" w:rsidRPr="00D42EFF" w:rsidRDefault="00D42EFF">
            <w:pPr>
              <w:spacing w:line="210" w:lineRule="auto"/>
              <w:rPr>
                <w:color w:val="000000" w:themeColor="text1"/>
              </w:rPr>
            </w:pPr>
            <w:r w:rsidRPr="00D42EFF">
              <w:rPr>
                <w:color w:val="000000" w:themeColor="text1"/>
                <w:sz w:val="15"/>
                <w:szCs w:val="15"/>
              </w:rPr>
              <w:t>MacAllister 2007 [25]</w:t>
            </w:r>
          </w:p>
        </w:tc>
        <w:tc>
          <w:tcPr>
            <w:tcW w:w="1700" w:type="dxa"/>
            <w:shd w:val="clear" w:color="auto" w:fill="F2F2F2"/>
            <w:tcMar>
              <w:top w:w="35" w:type="dxa"/>
              <w:left w:w="60" w:type="dxa"/>
              <w:bottom w:w="35" w:type="dxa"/>
              <w:right w:w="60" w:type="dxa"/>
            </w:tcMar>
          </w:tcPr>
          <w:p w14:paraId="40507191" w14:textId="77777777" w:rsidR="0022120C" w:rsidRPr="00D42EFF" w:rsidRDefault="00D42EFF">
            <w:pPr>
              <w:spacing w:line="210" w:lineRule="auto"/>
              <w:rPr>
                <w:color w:val="000000" w:themeColor="text1"/>
              </w:rPr>
            </w:pPr>
            <w:r w:rsidRPr="00D42EFF">
              <w:rPr>
                <w:color w:val="000000" w:themeColor="text1"/>
                <w:sz w:val="15"/>
                <w:szCs w:val="15"/>
              </w:rPr>
              <w:t>Narrative review; n.a.</w:t>
            </w:r>
          </w:p>
        </w:tc>
        <w:tc>
          <w:tcPr>
            <w:tcW w:w="1350" w:type="dxa"/>
            <w:shd w:val="clear" w:color="auto" w:fill="F2F2F2"/>
            <w:tcMar>
              <w:top w:w="35" w:type="dxa"/>
              <w:left w:w="60" w:type="dxa"/>
              <w:bottom w:w="35" w:type="dxa"/>
              <w:right w:w="60" w:type="dxa"/>
            </w:tcMar>
          </w:tcPr>
          <w:p w14:paraId="6921B0DF"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4C8B5C1D" w14:textId="77777777" w:rsidR="0022120C" w:rsidRPr="00D42EFF" w:rsidRDefault="00D42EFF">
            <w:pPr>
              <w:spacing w:line="210" w:lineRule="auto"/>
              <w:rPr>
                <w:color w:val="000000" w:themeColor="text1"/>
              </w:rPr>
            </w:pPr>
            <w:r w:rsidRPr="00D42EFF">
              <w:rPr>
                <w:color w:val="000000" w:themeColor="text1"/>
                <w:sz w:val="15"/>
                <w:szCs w:val="15"/>
              </w:rPr>
              <w:t>Symptom</w:t>
            </w:r>
            <w:r w:rsidRPr="00D42EFF">
              <w:rPr>
                <w:color w:val="000000" w:themeColor="text1"/>
                <w:sz w:val="15"/>
                <w:szCs w:val="15"/>
              </w:rPr>
              <w:t xml:space="preserve"> burden; overall prognosis</w:t>
            </w:r>
          </w:p>
        </w:tc>
        <w:tc>
          <w:tcPr>
            <w:tcW w:w="3450" w:type="dxa"/>
            <w:shd w:val="clear" w:color="auto" w:fill="F2F2F2"/>
            <w:tcMar>
              <w:top w:w="35" w:type="dxa"/>
              <w:left w:w="60" w:type="dxa"/>
              <w:bottom w:w="35" w:type="dxa"/>
              <w:right w:w="60" w:type="dxa"/>
            </w:tcMar>
          </w:tcPr>
          <w:p w14:paraId="19599D1A" w14:textId="77777777" w:rsidR="0022120C" w:rsidRPr="00D42EFF" w:rsidRDefault="00D42EFF">
            <w:pPr>
              <w:spacing w:line="210" w:lineRule="auto"/>
              <w:rPr>
                <w:color w:val="000000" w:themeColor="text1"/>
              </w:rPr>
            </w:pPr>
            <w:r w:rsidRPr="00D42EFF">
              <w:rPr>
                <w:color w:val="000000" w:themeColor="text1"/>
                <w:sz w:val="15"/>
                <w:szCs w:val="15"/>
              </w:rPr>
              <w:t>Narrative synthesis; no quantitative effect measure</w:t>
            </w:r>
          </w:p>
        </w:tc>
        <w:tc>
          <w:tcPr>
            <w:tcW w:w="1200" w:type="dxa"/>
            <w:shd w:val="clear" w:color="auto" w:fill="FFE699"/>
            <w:tcMar>
              <w:top w:w="35" w:type="dxa"/>
              <w:left w:w="60" w:type="dxa"/>
              <w:bottom w:w="35" w:type="dxa"/>
              <w:right w:w="60" w:type="dxa"/>
            </w:tcMar>
          </w:tcPr>
          <w:p w14:paraId="1DECBCBF"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r w:rsidR="00D42EFF" w:rsidRPr="00D42EFF" w14:paraId="68F24EA0" w14:textId="77777777">
        <w:tc>
          <w:tcPr>
            <w:tcW w:w="2050" w:type="dxa"/>
            <w:tcMar>
              <w:top w:w="35" w:type="dxa"/>
              <w:left w:w="60" w:type="dxa"/>
              <w:bottom w:w="35" w:type="dxa"/>
              <w:right w:w="60" w:type="dxa"/>
            </w:tcMar>
          </w:tcPr>
          <w:p w14:paraId="29B70008" w14:textId="77777777" w:rsidR="0022120C" w:rsidRPr="00D42EFF" w:rsidRDefault="00D42EFF">
            <w:pPr>
              <w:spacing w:line="210" w:lineRule="auto"/>
              <w:rPr>
                <w:color w:val="000000" w:themeColor="text1"/>
              </w:rPr>
            </w:pPr>
            <w:r w:rsidRPr="00D42EFF">
              <w:rPr>
                <w:b/>
                <w:bCs/>
                <w:color w:val="000000" w:themeColor="text1"/>
                <w:sz w:val="15"/>
                <w:szCs w:val="15"/>
              </w:rPr>
              <w:t>Social determinants of health; social hardship</w:t>
            </w:r>
          </w:p>
        </w:tc>
        <w:tc>
          <w:tcPr>
            <w:tcW w:w="1750" w:type="dxa"/>
            <w:tcMar>
              <w:top w:w="35" w:type="dxa"/>
              <w:left w:w="60" w:type="dxa"/>
              <w:bottom w:w="35" w:type="dxa"/>
              <w:right w:w="60" w:type="dxa"/>
            </w:tcMar>
          </w:tcPr>
          <w:p w14:paraId="6C88EDCC" w14:textId="77777777" w:rsidR="0022120C" w:rsidRPr="00D42EFF" w:rsidRDefault="00D42EFF">
            <w:pPr>
              <w:spacing w:line="210" w:lineRule="auto"/>
              <w:rPr>
                <w:color w:val="000000" w:themeColor="text1"/>
              </w:rPr>
            </w:pPr>
            <w:r w:rsidRPr="00D42EFF">
              <w:rPr>
                <w:color w:val="000000" w:themeColor="text1"/>
                <w:sz w:val="15"/>
                <w:szCs w:val="15"/>
              </w:rPr>
              <w:t>Ross 2024 [60]; Wilson 2024 [61]</w:t>
            </w:r>
          </w:p>
        </w:tc>
        <w:tc>
          <w:tcPr>
            <w:tcW w:w="1700" w:type="dxa"/>
            <w:tcMar>
              <w:top w:w="35" w:type="dxa"/>
              <w:left w:w="60" w:type="dxa"/>
              <w:bottom w:w="35" w:type="dxa"/>
              <w:right w:w="60" w:type="dxa"/>
            </w:tcMar>
          </w:tcPr>
          <w:p w14:paraId="5C17A278" w14:textId="77777777" w:rsidR="0022120C" w:rsidRPr="00D42EFF" w:rsidRDefault="00D42EFF">
            <w:pPr>
              <w:spacing w:line="210" w:lineRule="auto"/>
              <w:rPr>
                <w:color w:val="000000" w:themeColor="text1"/>
              </w:rPr>
            </w:pPr>
            <w:r w:rsidRPr="00D42EFF">
              <w:rPr>
                <w:color w:val="000000" w:themeColor="text1"/>
                <w:sz w:val="15"/>
                <w:szCs w:val="15"/>
              </w:rPr>
              <w:t>Observational cohorts (US Network of Pediatric MS Centers)</w:t>
            </w:r>
          </w:p>
        </w:tc>
        <w:tc>
          <w:tcPr>
            <w:tcW w:w="1350" w:type="dxa"/>
            <w:tcMar>
              <w:top w:w="35" w:type="dxa"/>
              <w:left w:w="60" w:type="dxa"/>
              <w:bottom w:w="35" w:type="dxa"/>
              <w:right w:w="60" w:type="dxa"/>
            </w:tcMar>
          </w:tcPr>
          <w:p w14:paraId="11C0BD13"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2A222F76" w14:textId="77777777" w:rsidR="0022120C" w:rsidRPr="00D42EFF" w:rsidRDefault="00D42EFF">
            <w:pPr>
              <w:spacing w:line="210" w:lineRule="auto"/>
              <w:rPr>
                <w:color w:val="000000" w:themeColor="text1"/>
              </w:rPr>
            </w:pPr>
            <w:r w:rsidRPr="00D42EFF">
              <w:rPr>
                <w:color w:val="000000" w:themeColor="text1"/>
                <w:sz w:val="15"/>
                <w:szCs w:val="15"/>
              </w:rPr>
              <w:t>Brain MRI outcomes; access to care; disease outcomes</w:t>
            </w:r>
          </w:p>
        </w:tc>
        <w:tc>
          <w:tcPr>
            <w:tcW w:w="3450" w:type="dxa"/>
            <w:tcMar>
              <w:top w:w="35" w:type="dxa"/>
              <w:left w:w="60" w:type="dxa"/>
              <w:bottom w:w="35" w:type="dxa"/>
              <w:right w:w="60" w:type="dxa"/>
            </w:tcMar>
          </w:tcPr>
          <w:p w14:paraId="7C838620" w14:textId="77777777" w:rsidR="0022120C" w:rsidRPr="00D42EFF" w:rsidRDefault="00D42EFF">
            <w:pPr>
              <w:spacing w:line="210" w:lineRule="auto"/>
              <w:rPr>
                <w:color w:val="000000" w:themeColor="text1"/>
              </w:rPr>
            </w:pPr>
            <w:r w:rsidRPr="00D42EFF">
              <w:rPr>
                <w:color w:val="000000" w:themeColor="text1"/>
                <w:sz w:val="15"/>
                <w:szCs w:val="15"/>
              </w:rPr>
              <w:t>Social determinants of health associated with brain MRI outcomes [60]; social hardship prevalent and associated with worse outcomes [61]</w:t>
            </w:r>
          </w:p>
        </w:tc>
        <w:tc>
          <w:tcPr>
            <w:tcW w:w="1200" w:type="dxa"/>
            <w:shd w:val="clear" w:color="auto" w:fill="FFE699"/>
            <w:tcMar>
              <w:top w:w="35" w:type="dxa"/>
              <w:left w:w="60" w:type="dxa"/>
              <w:bottom w:w="35" w:type="dxa"/>
              <w:right w:w="60" w:type="dxa"/>
            </w:tcMar>
          </w:tcPr>
          <w:p w14:paraId="5CBD65AC"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bl>
    <w:p w14:paraId="32BF337B" w14:textId="77777777" w:rsidR="0022120C" w:rsidRPr="00D42EFF" w:rsidRDefault="00D42EFF">
      <w:pPr>
        <w:spacing w:after="160" w:line="220" w:lineRule="auto"/>
        <w:jc w:val="both"/>
        <w:rPr>
          <w:color w:val="000000" w:themeColor="text1"/>
        </w:rPr>
      </w:pPr>
      <w:r w:rsidRPr="00D42EFF">
        <w:rPr>
          <w:i/>
          <w:iCs/>
          <w:color w:val="000000" w:themeColor="text1"/>
          <w:sz w:val="15"/>
          <w:szCs w:val="15"/>
        </w:rPr>
        <w:t>ADEM, acute disseminated encephalomyelitis; ARR, annualised</w:t>
      </w:r>
      <w:r w:rsidRPr="00D42EFF">
        <w:rPr>
          <w:i/>
          <w:iCs/>
          <w:color w:val="000000" w:themeColor="text1"/>
          <w:sz w:val="15"/>
          <w:szCs w:val="15"/>
        </w:rPr>
        <w:t xml:space="preserve"> relapse rate; CI, confidence interval; CIS, clinically isolated syndrome; EDSS, Expanded Disability Status Scale; HR, hazard ratio; OR, odds ratio; POMS, pediatric-onset multiple sclerosis; SPMS, secondary progressive multiple sclerosis; WSAS, Work and So</w:t>
      </w:r>
      <w:r w:rsidRPr="00D42EFF">
        <w:rPr>
          <w:i/>
          <w:iCs/>
          <w:color w:val="000000" w:themeColor="text1"/>
          <w:sz w:val="15"/>
          <w:szCs w:val="15"/>
        </w:rPr>
        <w:t>cial Adjustment Scale.</w:t>
      </w:r>
    </w:p>
    <w:p w14:paraId="6C26C9FA" w14:textId="77777777" w:rsidR="0022120C" w:rsidRPr="00D42EFF" w:rsidRDefault="00D42EFF">
      <w:pPr>
        <w:spacing w:before="280" w:after="120"/>
        <w:rPr>
          <w:color w:val="000000" w:themeColor="text1"/>
        </w:rPr>
      </w:pPr>
      <w:r w:rsidRPr="00D42EFF">
        <w:rPr>
          <w:b/>
          <w:bCs/>
          <w:color w:val="000000" w:themeColor="text1"/>
          <w:sz w:val="24"/>
          <w:szCs w:val="24"/>
        </w:rPr>
        <w:lastRenderedPageBreak/>
        <w:t>Table S2. Radiological (MRI) factors</w:t>
      </w:r>
    </w:p>
    <w:tbl>
      <w:tblPr>
        <w:tblStyle w:val="a0"/>
        <w:tblW w:w="13400" w:type="dxa"/>
        <w:tblInd w:w="0" w:type="dxa"/>
        <w:tblBorders>
          <w:top w:val="single" w:sz="4" w:space="0" w:color="1F3864"/>
          <w:left w:val="nil"/>
          <w:bottom w:val="single" w:sz="4" w:space="0" w:color="1F3864"/>
          <w:right w:val="nil"/>
          <w:insideH w:val="single" w:sz="4" w:space="0" w:color="BFBFBF"/>
          <w:insideV w:val="single" w:sz="4" w:space="0" w:color="E7E7E7"/>
        </w:tblBorders>
        <w:tblLayout w:type="fixed"/>
        <w:tblLook w:val="0000" w:firstRow="0" w:lastRow="0" w:firstColumn="0" w:lastColumn="0" w:noHBand="0" w:noVBand="0"/>
      </w:tblPr>
      <w:tblGrid>
        <w:gridCol w:w="2050"/>
        <w:gridCol w:w="1750"/>
        <w:gridCol w:w="1700"/>
        <w:gridCol w:w="1350"/>
        <w:gridCol w:w="1900"/>
        <w:gridCol w:w="3450"/>
        <w:gridCol w:w="1200"/>
      </w:tblGrid>
      <w:tr w:rsidR="00D42EFF" w:rsidRPr="00D42EFF" w14:paraId="13899966" w14:textId="77777777">
        <w:trPr>
          <w:tblHeader/>
        </w:trPr>
        <w:tc>
          <w:tcPr>
            <w:tcW w:w="2050" w:type="dxa"/>
            <w:shd w:val="clear" w:color="auto" w:fill="1F3864"/>
            <w:tcMar>
              <w:top w:w="50" w:type="dxa"/>
              <w:left w:w="60" w:type="dxa"/>
              <w:bottom w:w="50" w:type="dxa"/>
              <w:right w:w="60" w:type="dxa"/>
            </w:tcMar>
            <w:vAlign w:val="center"/>
          </w:tcPr>
          <w:p w14:paraId="271F62EC" w14:textId="77777777" w:rsidR="0022120C" w:rsidRPr="00D42EFF" w:rsidRDefault="00D42EFF">
            <w:pPr>
              <w:spacing w:line="210" w:lineRule="auto"/>
              <w:jc w:val="center"/>
              <w:rPr>
                <w:color w:val="000000" w:themeColor="text1"/>
              </w:rPr>
            </w:pPr>
            <w:r w:rsidRPr="00D42EFF">
              <w:rPr>
                <w:b/>
                <w:bCs/>
                <w:color w:val="000000" w:themeColor="text1"/>
                <w:sz w:val="16"/>
                <w:szCs w:val="16"/>
              </w:rPr>
              <w:t>Factor</w:t>
            </w:r>
          </w:p>
        </w:tc>
        <w:tc>
          <w:tcPr>
            <w:tcW w:w="1750" w:type="dxa"/>
            <w:shd w:val="clear" w:color="auto" w:fill="1F3864"/>
            <w:tcMar>
              <w:top w:w="50" w:type="dxa"/>
              <w:left w:w="60" w:type="dxa"/>
              <w:bottom w:w="50" w:type="dxa"/>
              <w:right w:w="60" w:type="dxa"/>
            </w:tcMar>
            <w:vAlign w:val="center"/>
          </w:tcPr>
          <w:p w14:paraId="7A22CF2C" w14:textId="77777777" w:rsidR="0022120C" w:rsidRPr="00D42EFF" w:rsidRDefault="00D42EFF">
            <w:pPr>
              <w:spacing w:line="210" w:lineRule="auto"/>
              <w:jc w:val="center"/>
              <w:rPr>
                <w:color w:val="000000" w:themeColor="text1"/>
              </w:rPr>
            </w:pPr>
            <w:r w:rsidRPr="00D42EFF">
              <w:rPr>
                <w:b/>
                <w:bCs/>
                <w:color w:val="000000" w:themeColor="text1"/>
                <w:sz w:val="16"/>
                <w:szCs w:val="16"/>
              </w:rPr>
              <w:t>Study [ref]</w:t>
            </w:r>
          </w:p>
        </w:tc>
        <w:tc>
          <w:tcPr>
            <w:tcW w:w="1700" w:type="dxa"/>
            <w:shd w:val="clear" w:color="auto" w:fill="1F3864"/>
            <w:tcMar>
              <w:top w:w="50" w:type="dxa"/>
              <w:left w:w="60" w:type="dxa"/>
              <w:bottom w:w="50" w:type="dxa"/>
              <w:right w:w="60" w:type="dxa"/>
            </w:tcMar>
            <w:vAlign w:val="center"/>
          </w:tcPr>
          <w:p w14:paraId="2472CA37" w14:textId="77777777" w:rsidR="0022120C" w:rsidRPr="00D42EFF" w:rsidRDefault="00D42EFF">
            <w:pPr>
              <w:spacing w:line="210" w:lineRule="auto"/>
              <w:jc w:val="center"/>
              <w:rPr>
                <w:color w:val="000000" w:themeColor="text1"/>
              </w:rPr>
            </w:pPr>
            <w:r w:rsidRPr="00D42EFF">
              <w:rPr>
                <w:b/>
                <w:bCs/>
                <w:color w:val="000000" w:themeColor="text1"/>
                <w:sz w:val="16"/>
                <w:szCs w:val="16"/>
              </w:rPr>
              <w:t>Design; N</w:t>
            </w:r>
          </w:p>
        </w:tc>
        <w:tc>
          <w:tcPr>
            <w:tcW w:w="1350" w:type="dxa"/>
            <w:shd w:val="clear" w:color="auto" w:fill="1F3864"/>
            <w:tcMar>
              <w:top w:w="50" w:type="dxa"/>
              <w:left w:w="60" w:type="dxa"/>
              <w:bottom w:w="50" w:type="dxa"/>
              <w:right w:w="60" w:type="dxa"/>
            </w:tcMar>
            <w:vAlign w:val="center"/>
          </w:tcPr>
          <w:p w14:paraId="62C463F0" w14:textId="77777777" w:rsidR="0022120C" w:rsidRPr="00D42EFF" w:rsidRDefault="00D42EFF">
            <w:pPr>
              <w:spacing w:line="210" w:lineRule="auto"/>
              <w:jc w:val="center"/>
              <w:rPr>
                <w:color w:val="000000" w:themeColor="text1"/>
              </w:rPr>
            </w:pPr>
            <w:r w:rsidRPr="00D42EFF">
              <w:rPr>
                <w:b/>
                <w:bCs/>
                <w:color w:val="000000" w:themeColor="text1"/>
                <w:sz w:val="16"/>
                <w:szCs w:val="16"/>
              </w:rPr>
              <w:t>Axis of inference</w:t>
            </w:r>
          </w:p>
        </w:tc>
        <w:tc>
          <w:tcPr>
            <w:tcW w:w="1900" w:type="dxa"/>
            <w:shd w:val="clear" w:color="auto" w:fill="1F3864"/>
            <w:tcMar>
              <w:top w:w="50" w:type="dxa"/>
              <w:left w:w="60" w:type="dxa"/>
              <w:bottom w:w="50" w:type="dxa"/>
              <w:right w:w="60" w:type="dxa"/>
            </w:tcMar>
            <w:vAlign w:val="center"/>
          </w:tcPr>
          <w:p w14:paraId="233AE4BA" w14:textId="77777777" w:rsidR="0022120C" w:rsidRPr="00D42EFF" w:rsidRDefault="00D42EFF">
            <w:pPr>
              <w:spacing w:line="210" w:lineRule="auto"/>
              <w:jc w:val="center"/>
              <w:rPr>
                <w:color w:val="000000" w:themeColor="text1"/>
              </w:rPr>
            </w:pPr>
            <w:r w:rsidRPr="00D42EFF">
              <w:rPr>
                <w:b/>
                <w:bCs/>
                <w:color w:val="000000" w:themeColor="text1"/>
                <w:sz w:val="16"/>
                <w:szCs w:val="16"/>
              </w:rPr>
              <w:t>Outcome predicted</w:t>
            </w:r>
          </w:p>
        </w:tc>
        <w:tc>
          <w:tcPr>
            <w:tcW w:w="3450" w:type="dxa"/>
            <w:shd w:val="clear" w:color="auto" w:fill="1F3864"/>
            <w:tcMar>
              <w:top w:w="50" w:type="dxa"/>
              <w:left w:w="60" w:type="dxa"/>
              <w:bottom w:w="50" w:type="dxa"/>
              <w:right w:w="60" w:type="dxa"/>
            </w:tcMar>
            <w:vAlign w:val="center"/>
          </w:tcPr>
          <w:p w14:paraId="256574AF" w14:textId="77777777" w:rsidR="0022120C" w:rsidRPr="00D42EFF" w:rsidRDefault="00D42EFF">
            <w:pPr>
              <w:spacing w:line="210" w:lineRule="auto"/>
              <w:jc w:val="center"/>
              <w:rPr>
                <w:color w:val="000000" w:themeColor="text1"/>
              </w:rPr>
            </w:pPr>
            <w:r w:rsidRPr="00D42EFF">
              <w:rPr>
                <w:b/>
                <w:bCs/>
                <w:color w:val="000000" w:themeColor="text1"/>
                <w:sz w:val="16"/>
                <w:szCs w:val="16"/>
              </w:rPr>
              <w:t>Effect estimate</w:t>
            </w:r>
          </w:p>
        </w:tc>
        <w:tc>
          <w:tcPr>
            <w:tcW w:w="1200" w:type="dxa"/>
            <w:shd w:val="clear" w:color="auto" w:fill="1F3864"/>
            <w:tcMar>
              <w:top w:w="50" w:type="dxa"/>
              <w:left w:w="60" w:type="dxa"/>
              <w:bottom w:w="50" w:type="dxa"/>
              <w:right w:w="60" w:type="dxa"/>
            </w:tcMar>
            <w:vAlign w:val="center"/>
          </w:tcPr>
          <w:p w14:paraId="403A317F" w14:textId="77777777" w:rsidR="0022120C" w:rsidRPr="00D42EFF" w:rsidRDefault="00D42EFF">
            <w:pPr>
              <w:spacing w:line="210" w:lineRule="auto"/>
              <w:jc w:val="center"/>
              <w:rPr>
                <w:color w:val="000000" w:themeColor="text1"/>
              </w:rPr>
            </w:pPr>
            <w:r w:rsidRPr="00D42EFF">
              <w:rPr>
                <w:b/>
                <w:bCs/>
                <w:color w:val="000000" w:themeColor="text1"/>
                <w:sz w:val="16"/>
                <w:szCs w:val="16"/>
              </w:rPr>
              <w:t>Evidence tier</w:t>
            </w:r>
          </w:p>
        </w:tc>
      </w:tr>
      <w:tr w:rsidR="00D42EFF" w:rsidRPr="00D42EFF" w14:paraId="541D364F" w14:textId="77777777">
        <w:tc>
          <w:tcPr>
            <w:tcW w:w="2050" w:type="dxa"/>
            <w:tcMar>
              <w:top w:w="35" w:type="dxa"/>
              <w:left w:w="60" w:type="dxa"/>
              <w:bottom w:w="35" w:type="dxa"/>
              <w:right w:w="60" w:type="dxa"/>
            </w:tcMar>
          </w:tcPr>
          <w:p w14:paraId="20CEA3BD" w14:textId="77777777" w:rsidR="0022120C" w:rsidRPr="00D42EFF" w:rsidRDefault="00D42EFF">
            <w:pPr>
              <w:spacing w:line="210" w:lineRule="auto"/>
              <w:rPr>
                <w:color w:val="000000" w:themeColor="text1"/>
              </w:rPr>
            </w:pPr>
            <w:sdt>
              <w:sdtPr>
                <w:rPr>
                  <w:color w:val="000000" w:themeColor="text1"/>
                </w:rPr>
                <w:tag w:val="goog_rdk_8"/>
                <w:id w:val="-688065968"/>
              </w:sdtPr>
              <w:sdtEndPr/>
              <w:sdtContent>
                <w:r w:rsidRPr="00D42EFF">
                  <w:rPr>
                    <w:rFonts w:ascii="Gungsuh" w:eastAsia="Gungsuh" w:hAnsi="Gungsuh" w:cs="Gungsuh"/>
                    <w:b/>
                    <w:bCs/>
                    <w:color w:val="000000" w:themeColor="text1"/>
                    <w:sz w:val="15"/>
                    <w:szCs w:val="15"/>
                  </w:rPr>
                  <w:t>MS-like baseline MRI (≥ 1 brain lesion)</w:t>
                </w:r>
              </w:sdtContent>
            </w:sdt>
          </w:p>
        </w:tc>
        <w:tc>
          <w:tcPr>
            <w:tcW w:w="1750" w:type="dxa"/>
            <w:tcMar>
              <w:top w:w="35" w:type="dxa"/>
              <w:left w:w="60" w:type="dxa"/>
              <w:bottom w:w="35" w:type="dxa"/>
              <w:right w:w="60" w:type="dxa"/>
            </w:tcMar>
          </w:tcPr>
          <w:p w14:paraId="326C60A7" w14:textId="77777777" w:rsidR="0022120C" w:rsidRPr="00D42EFF" w:rsidRDefault="00D42EFF">
            <w:pPr>
              <w:spacing w:line="210" w:lineRule="auto"/>
              <w:rPr>
                <w:color w:val="000000" w:themeColor="text1"/>
              </w:rPr>
            </w:pPr>
            <w:r w:rsidRPr="00D42EFF">
              <w:rPr>
                <w:color w:val="000000" w:themeColor="text1"/>
                <w:sz w:val="15"/>
                <w:szCs w:val="15"/>
              </w:rPr>
              <w:t>Banwell 2011 [50]</w:t>
            </w:r>
          </w:p>
        </w:tc>
        <w:tc>
          <w:tcPr>
            <w:tcW w:w="1700" w:type="dxa"/>
            <w:tcMar>
              <w:top w:w="35" w:type="dxa"/>
              <w:left w:w="60" w:type="dxa"/>
              <w:bottom w:w="35" w:type="dxa"/>
              <w:right w:w="60" w:type="dxa"/>
            </w:tcMar>
          </w:tcPr>
          <w:p w14:paraId="02C4BC17" w14:textId="77777777" w:rsidR="0022120C" w:rsidRPr="00D42EFF" w:rsidRDefault="00D42EFF">
            <w:pPr>
              <w:spacing w:line="210" w:lineRule="auto"/>
              <w:rPr>
                <w:color w:val="000000" w:themeColor="text1"/>
              </w:rPr>
            </w:pPr>
            <w:r w:rsidRPr="00D42EFF">
              <w:rPr>
                <w:color w:val="000000" w:themeColor="text1"/>
                <w:sz w:val="15"/>
                <w:szCs w:val="15"/>
              </w:rPr>
              <w:t xml:space="preserve">Prospective national cohort; 332 </w:t>
            </w:r>
            <w:r w:rsidRPr="00D42EFF">
              <w:rPr>
                <w:color w:val="000000" w:themeColor="text1"/>
                <w:sz w:val="15"/>
                <w:szCs w:val="15"/>
              </w:rPr>
              <w:t>children with acute demyelination</w:t>
            </w:r>
          </w:p>
        </w:tc>
        <w:tc>
          <w:tcPr>
            <w:tcW w:w="1350" w:type="dxa"/>
            <w:tcMar>
              <w:top w:w="35" w:type="dxa"/>
              <w:left w:w="60" w:type="dxa"/>
              <w:bottom w:w="35" w:type="dxa"/>
              <w:right w:w="60" w:type="dxa"/>
            </w:tcMar>
          </w:tcPr>
          <w:p w14:paraId="50707487" w14:textId="77777777" w:rsidR="0022120C" w:rsidRPr="00D42EFF" w:rsidRDefault="00D42EFF">
            <w:pPr>
              <w:spacing w:line="210" w:lineRule="auto"/>
              <w:jc w:val="center"/>
              <w:rPr>
                <w:color w:val="000000" w:themeColor="text1"/>
              </w:rPr>
            </w:pPr>
            <w:r w:rsidRPr="00D42EFF">
              <w:rPr>
                <w:color w:val="000000" w:themeColor="text1"/>
                <w:sz w:val="15"/>
                <w:szCs w:val="15"/>
              </w:rPr>
              <w:t>Conversion</w:t>
            </w:r>
          </w:p>
        </w:tc>
        <w:tc>
          <w:tcPr>
            <w:tcW w:w="1900" w:type="dxa"/>
            <w:tcMar>
              <w:top w:w="35" w:type="dxa"/>
              <w:left w:w="60" w:type="dxa"/>
              <w:bottom w:w="35" w:type="dxa"/>
              <w:right w:w="60" w:type="dxa"/>
            </w:tcMar>
          </w:tcPr>
          <w:p w14:paraId="05334567" w14:textId="77777777" w:rsidR="0022120C" w:rsidRPr="00D42EFF" w:rsidRDefault="00D42EFF">
            <w:pPr>
              <w:spacing w:line="210" w:lineRule="auto"/>
              <w:rPr>
                <w:color w:val="000000" w:themeColor="text1"/>
              </w:rPr>
            </w:pPr>
            <w:r w:rsidRPr="00D42EFF">
              <w:rPr>
                <w:color w:val="000000" w:themeColor="text1"/>
                <w:sz w:val="15"/>
                <w:szCs w:val="15"/>
              </w:rPr>
              <w:t>Diagnosis of MS</w:t>
            </w:r>
          </w:p>
        </w:tc>
        <w:tc>
          <w:tcPr>
            <w:tcW w:w="3450" w:type="dxa"/>
            <w:tcMar>
              <w:top w:w="35" w:type="dxa"/>
              <w:left w:w="60" w:type="dxa"/>
              <w:bottom w:w="35" w:type="dxa"/>
              <w:right w:w="60" w:type="dxa"/>
            </w:tcMar>
          </w:tcPr>
          <w:p w14:paraId="1AFA292E" w14:textId="77777777" w:rsidR="0022120C" w:rsidRPr="00D42EFF" w:rsidRDefault="00D42EFF">
            <w:pPr>
              <w:spacing w:line="210" w:lineRule="auto"/>
              <w:rPr>
                <w:color w:val="000000" w:themeColor="text1"/>
              </w:rPr>
            </w:pPr>
            <w:r w:rsidRPr="00D42EFF">
              <w:rPr>
                <w:color w:val="000000" w:themeColor="text1"/>
                <w:sz w:val="15"/>
                <w:szCs w:val="15"/>
              </w:rPr>
              <w:t>HR 37.9 (95% CI 5.26–273.85)</w:t>
            </w:r>
          </w:p>
        </w:tc>
        <w:tc>
          <w:tcPr>
            <w:tcW w:w="1200" w:type="dxa"/>
            <w:shd w:val="clear" w:color="auto" w:fill="FFFFFF"/>
            <w:tcMar>
              <w:top w:w="35" w:type="dxa"/>
              <w:left w:w="60" w:type="dxa"/>
              <w:bottom w:w="35" w:type="dxa"/>
              <w:right w:w="60" w:type="dxa"/>
            </w:tcMar>
          </w:tcPr>
          <w:p w14:paraId="0A0A9C5C" w14:textId="77777777" w:rsidR="0022120C" w:rsidRPr="00D42EFF" w:rsidRDefault="00D42EFF">
            <w:pPr>
              <w:spacing w:line="210" w:lineRule="auto"/>
              <w:jc w:val="center"/>
              <w:rPr>
                <w:color w:val="000000" w:themeColor="text1"/>
              </w:rPr>
            </w:pPr>
            <w:r w:rsidRPr="00D42EFF">
              <w:rPr>
                <w:color w:val="000000" w:themeColor="text1"/>
                <w:sz w:val="15"/>
                <w:szCs w:val="15"/>
              </w:rPr>
              <w:t>—</w:t>
            </w:r>
          </w:p>
        </w:tc>
      </w:tr>
      <w:tr w:rsidR="00D42EFF" w:rsidRPr="00D42EFF" w14:paraId="09CE3AE3" w14:textId="77777777">
        <w:tc>
          <w:tcPr>
            <w:tcW w:w="2050" w:type="dxa"/>
            <w:shd w:val="clear" w:color="auto" w:fill="F2F2F2"/>
            <w:tcMar>
              <w:top w:w="35" w:type="dxa"/>
              <w:left w:w="60" w:type="dxa"/>
              <w:bottom w:w="35" w:type="dxa"/>
              <w:right w:w="60" w:type="dxa"/>
            </w:tcMar>
          </w:tcPr>
          <w:p w14:paraId="7FB95A13" w14:textId="77777777" w:rsidR="0022120C" w:rsidRPr="00D42EFF" w:rsidRDefault="00D42EFF">
            <w:pPr>
              <w:spacing w:line="210" w:lineRule="auto"/>
              <w:rPr>
                <w:color w:val="000000" w:themeColor="text1"/>
              </w:rPr>
            </w:pPr>
            <w:r w:rsidRPr="00D42EFF">
              <w:rPr>
                <w:b/>
                <w:bCs/>
                <w:color w:val="000000" w:themeColor="text1"/>
                <w:sz w:val="15"/>
                <w:szCs w:val="15"/>
              </w:rPr>
              <w:t>Meeting MS diagnostic criteria at first MRI</w:t>
            </w:r>
          </w:p>
        </w:tc>
        <w:tc>
          <w:tcPr>
            <w:tcW w:w="1750" w:type="dxa"/>
            <w:shd w:val="clear" w:color="auto" w:fill="F2F2F2"/>
            <w:tcMar>
              <w:top w:w="35" w:type="dxa"/>
              <w:left w:w="60" w:type="dxa"/>
              <w:bottom w:w="35" w:type="dxa"/>
              <w:right w:w="60" w:type="dxa"/>
            </w:tcMar>
          </w:tcPr>
          <w:p w14:paraId="04C181E4" w14:textId="77777777" w:rsidR="0022120C" w:rsidRPr="00D42EFF" w:rsidRDefault="00D42EFF">
            <w:pPr>
              <w:spacing w:line="210" w:lineRule="auto"/>
              <w:rPr>
                <w:color w:val="000000" w:themeColor="text1"/>
              </w:rPr>
            </w:pPr>
            <w:r w:rsidRPr="00D42EFF">
              <w:rPr>
                <w:color w:val="000000" w:themeColor="text1"/>
                <w:sz w:val="15"/>
                <w:szCs w:val="15"/>
              </w:rPr>
              <w:t>Mikaeloff 2006 [18]</w:t>
            </w:r>
          </w:p>
        </w:tc>
        <w:tc>
          <w:tcPr>
            <w:tcW w:w="1700" w:type="dxa"/>
            <w:shd w:val="clear" w:color="auto" w:fill="F2F2F2"/>
            <w:tcMar>
              <w:top w:w="35" w:type="dxa"/>
              <w:left w:w="60" w:type="dxa"/>
              <w:bottom w:w="35" w:type="dxa"/>
              <w:right w:w="60" w:type="dxa"/>
            </w:tcMar>
          </w:tcPr>
          <w:p w14:paraId="0EA0CC64" w14:textId="77777777" w:rsidR="0022120C" w:rsidRPr="00D42EFF" w:rsidRDefault="00D42EFF">
            <w:pPr>
              <w:spacing w:line="210" w:lineRule="auto"/>
              <w:rPr>
                <w:color w:val="000000" w:themeColor="text1"/>
              </w:rPr>
            </w:pPr>
            <w:r w:rsidRPr="00D42EFF">
              <w:rPr>
                <w:color w:val="000000" w:themeColor="text1"/>
                <w:sz w:val="15"/>
                <w:szCs w:val="15"/>
              </w:rPr>
              <w:t>Prospective; 197 POMS</w:t>
            </w:r>
          </w:p>
        </w:tc>
        <w:tc>
          <w:tcPr>
            <w:tcW w:w="1350" w:type="dxa"/>
            <w:shd w:val="clear" w:color="auto" w:fill="F2F2F2"/>
            <w:tcMar>
              <w:top w:w="35" w:type="dxa"/>
              <w:left w:w="60" w:type="dxa"/>
              <w:bottom w:w="35" w:type="dxa"/>
              <w:right w:w="60" w:type="dxa"/>
            </w:tcMar>
          </w:tcPr>
          <w:p w14:paraId="49CDD385"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7838822F" w14:textId="77777777" w:rsidR="0022120C" w:rsidRPr="00D42EFF" w:rsidRDefault="00D42EFF">
            <w:pPr>
              <w:spacing w:line="210" w:lineRule="auto"/>
              <w:rPr>
                <w:color w:val="000000" w:themeColor="text1"/>
              </w:rPr>
            </w:pPr>
            <w:r w:rsidRPr="00D42EFF">
              <w:rPr>
                <w:color w:val="000000" w:themeColor="text1"/>
                <w:sz w:val="15"/>
                <w:szCs w:val="15"/>
              </w:rPr>
              <w:t>Third attack; EDSS &gt; 4</w:t>
            </w:r>
          </w:p>
        </w:tc>
        <w:tc>
          <w:tcPr>
            <w:tcW w:w="3450" w:type="dxa"/>
            <w:shd w:val="clear" w:color="auto" w:fill="F2F2F2"/>
            <w:tcMar>
              <w:top w:w="35" w:type="dxa"/>
              <w:left w:w="60" w:type="dxa"/>
              <w:bottom w:w="35" w:type="dxa"/>
              <w:right w:w="60" w:type="dxa"/>
            </w:tcMar>
          </w:tcPr>
          <w:p w14:paraId="2AE7425B" w14:textId="77777777" w:rsidR="0022120C" w:rsidRPr="00D42EFF" w:rsidRDefault="00D42EFF">
            <w:pPr>
              <w:spacing w:line="210" w:lineRule="auto"/>
              <w:rPr>
                <w:color w:val="000000" w:themeColor="text1"/>
              </w:rPr>
            </w:pPr>
            <w:r w:rsidRPr="00D42EFF">
              <w:rPr>
                <w:color w:val="000000" w:themeColor="text1"/>
                <w:sz w:val="15"/>
                <w:szCs w:val="15"/>
              </w:rPr>
              <w:t xml:space="preserve">HR 1.89 (95% CI 1.26–2.85), p = 0.01 (Cox </w:t>
            </w:r>
            <w:r w:rsidRPr="00D42EFF">
              <w:rPr>
                <w:color w:val="000000" w:themeColor="text1"/>
                <w:sz w:val="15"/>
                <w:szCs w:val="15"/>
              </w:rPr>
              <w:t>model)</w:t>
            </w:r>
          </w:p>
        </w:tc>
        <w:tc>
          <w:tcPr>
            <w:tcW w:w="1200" w:type="dxa"/>
            <w:shd w:val="clear" w:color="auto" w:fill="C6E0B4"/>
            <w:tcMar>
              <w:top w:w="35" w:type="dxa"/>
              <w:left w:w="60" w:type="dxa"/>
              <w:bottom w:w="35" w:type="dxa"/>
              <w:right w:w="60" w:type="dxa"/>
            </w:tcMar>
          </w:tcPr>
          <w:p w14:paraId="04E96B83"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25078727" w14:textId="77777777">
        <w:tc>
          <w:tcPr>
            <w:tcW w:w="2050" w:type="dxa"/>
            <w:tcMar>
              <w:top w:w="35" w:type="dxa"/>
              <w:left w:w="60" w:type="dxa"/>
              <w:bottom w:w="35" w:type="dxa"/>
              <w:right w:w="60" w:type="dxa"/>
            </w:tcMar>
          </w:tcPr>
          <w:p w14:paraId="47B5D614" w14:textId="77777777" w:rsidR="0022120C" w:rsidRPr="00D42EFF" w:rsidRDefault="00D42EFF">
            <w:pPr>
              <w:spacing w:line="210" w:lineRule="auto"/>
              <w:rPr>
                <w:color w:val="000000" w:themeColor="text1"/>
              </w:rPr>
            </w:pPr>
            <w:r w:rsidRPr="00D42EFF">
              <w:rPr>
                <w:b/>
                <w:bCs/>
                <w:color w:val="000000" w:themeColor="text1"/>
                <w:sz w:val="15"/>
                <w:szCs w:val="15"/>
              </w:rPr>
              <w:t>Brainstem lesions</w:t>
            </w:r>
          </w:p>
        </w:tc>
        <w:tc>
          <w:tcPr>
            <w:tcW w:w="1750" w:type="dxa"/>
            <w:tcMar>
              <w:top w:w="35" w:type="dxa"/>
              <w:left w:w="60" w:type="dxa"/>
              <w:bottom w:w="35" w:type="dxa"/>
              <w:right w:w="60" w:type="dxa"/>
            </w:tcMar>
          </w:tcPr>
          <w:p w14:paraId="25E29F46" w14:textId="77777777" w:rsidR="0022120C" w:rsidRPr="00D42EFF" w:rsidRDefault="00D42EFF">
            <w:pPr>
              <w:spacing w:line="210" w:lineRule="auto"/>
              <w:rPr>
                <w:color w:val="000000" w:themeColor="text1"/>
              </w:rPr>
            </w:pPr>
            <w:r w:rsidRPr="00D42EFF">
              <w:rPr>
                <w:color w:val="000000" w:themeColor="text1"/>
                <w:sz w:val="15"/>
                <w:szCs w:val="15"/>
              </w:rPr>
              <w:t>De Meo 2021 [16]</w:t>
            </w:r>
          </w:p>
        </w:tc>
        <w:tc>
          <w:tcPr>
            <w:tcW w:w="1700" w:type="dxa"/>
            <w:tcMar>
              <w:top w:w="35" w:type="dxa"/>
              <w:left w:w="60" w:type="dxa"/>
              <w:bottom w:w="35" w:type="dxa"/>
              <w:right w:w="60" w:type="dxa"/>
            </w:tcMar>
          </w:tcPr>
          <w:p w14:paraId="02050A63" w14:textId="77777777" w:rsidR="0022120C" w:rsidRPr="00D42EFF" w:rsidRDefault="00D42EFF">
            <w:pPr>
              <w:spacing w:line="210" w:lineRule="auto"/>
              <w:rPr>
                <w:color w:val="000000" w:themeColor="text1"/>
              </w:rPr>
            </w:pPr>
            <w:r w:rsidRPr="00D42EFF">
              <w:rPr>
                <w:color w:val="000000" w:themeColor="text1"/>
                <w:sz w:val="15"/>
                <w:szCs w:val="15"/>
              </w:rPr>
              <w:t>Longitudinal cohort; 123 POMS</w:t>
            </w:r>
          </w:p>
        </w:tc>
        <w:tc>
          <w:tcPr>
            <w:tcW w:w="1350" w:type="dxa"/>
            <w:tcMar>
              <w:top w:w="35" w:type="dxa"/>
              <w:left w:w="60" w:type="dxa"/>
              <w:bottom w:w="35" w:type="dxa"/>
              <w:right w:w="60" w:type="dxa"/>
            </w:tcMar>
          </w:tcPr>
          <w:p w14:paraId="166C3628"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50666D3B" w14:textId="77777777" w:rsidR="0022120C" w:rsidRPr="00D42EFF" w:rsidRDefault="00D42EFF">
            <w:pPr>
              <w:spacing w:line="210" w:lineRule="auto"/>
              <w:rPr>
                <w:color w:val="000000" w:themeColor="text1"/>
              </w:rPr>
            </w:pPr>
            <w:r w:rsidRPr="00D42EFF">
              <w:rPr>
                <w:color w:val="000000" w:themeColor="text1"/>
                <w:sz w:val="15"/>
                <w:szCs w:val="15"/>
              </w:rPr>
              <w:t>9-year EDSS score</w:t>
            </w:r>
          </w:p>
        </w:tc>
        <w:tc>
          <w:tcPr>
            <w:tcW w:w="3450" w:type="dxa"/>
            <w:tcMar>
              <w:top w:w="35" w:type="dxa"/>
              <w:left w:w="60" w:type="dxa"/>
              <w:bottom w:w="35" w:type="dxa"/>
              <w:right w:w="60" w:type="dxa"/>
            </w:tcMar>
          </w:tcPr>
          <w:p w14:paraId="047952F8" w14:textId="77777777" w:rsidR="0022120C" w:rsidRPr="00D42EFF" w:rsidRDefault="00D42EFF">
            <w:pPr>
              <w:spacing w:line="210" w:lineRule="auto"/>
              <w:rPr>
                <w:color w:val="000000" w:themeColor="text1"/>
              </w:rPr>
            </w:pPr>
            <w:r w:rsidRPr="00D42EFF">
              <w:rPr>
                <w:color w:val="000000" w:themeColor="text1"/>
                <w:sz w:val="15"/>
                <w:szCs w:val="15"/>
              </w:rPr>
              <w:t>β = 0.31, p = 0.04</w:t>
            </w:r>
          </w:p>
        </w:tc>
        <w:tc>
          <w:tcPr>
            <w:tcW w:w="1200" w:type="dxa"/>
            <w:shd w:val="clear" w:color="auto" w:fill="C6E0B4"/>
            <w:tcMar>
              <w:top w:w="35" w:type="dxa"/>
              <w:left w:w="60" w:type="dxa"/>
              <w:bottom w:w="35" w:type="dxa"/>
              <w:right w:w="60" w:type="dxa"/>
            </w:tcMar>
          </w:tcPr>
          <w:p w14:paraId="3D70A21A"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3AB79F57" w14:textId="77777777">
        <w:tc>
          <w:tcPr>
            <w:tcW w:w="2050" w:type="dxa"/>
            <w:shd w:val="clear" w:color="auto" w:fill="F2F2F2"/>
            <w:tcMar>
              <w:top w:w="35" w:type="dxa"/>
              <w:left w:w="60" w:type="dxa"/>
              <w:bottom w:w="35" w:type="dxa"/>
              <w:right w:w="60" w:type="dxa"/>
            </w:tcMar>
          </w:tcPr>
          <w:p w14:paraId="2CD8B67D" w14:textId="77777777" w:rsidR="0022120C" w:rsidRPr="00D42EFF" w:rsidRDefault="00D42EFF">
            <w:pPr>
              <w:spacing w:line="210" w:lineRule="auto"/>
              <w:rPr>
                <w:color w:val="000000" w:themeColor="text1"/>
              </w:rPr>
            </w:pPr>
            <w:r w:rsidRPr="00D42EFF">
              <w:rPr>
                <w:b/>
                <w:bCs/>
                <w:color w:val="000000" w:themeColor="text1"/>
                <w:sz w:val="15"/>
                <w:szCs w:val="15"/>
              </w:rPr>
              <w:t>Cervical cord lesions</w:t>
            </w:r>
          </w:p>
        </w:tc>
        <w:tc>
          <w:tcPr>
            <w:tcW w:w="1750" w:type="dxa"/>
            <w:shd w:val="clear" w:color="auto" w:fill="F2F2F2"/>
            <w:tcMar>
              <w:top w:w="35" w:type="dxa"/>
              <w:left w:w="60" w:type="dxa"/>
              <w:bottom w:w="35" w:type="dxa"/>
              <w:right w:w="60" w:type="dxa"/>
            </w:tcMar>
          </w:tcPr>
          <w:p w14:paraId="10DDB2A7" w14:textId="77777777" w:rsidR="0022120C" w:rsidRPr="00D42EFF" w:rsidRDefault="00D42EFF">
            <w:pPr>
              <w:spacing w:line="210" w:lineRule="auto"/>
              <w:rPr>
                <w:color w:val="000000" w:themeColor="text1"/>
              </w:rPr>
            </w:pPr>
            <w:r w:rsidRPr="00D42EFF">
              <w:rPr>
                <w:color w:val="000000" w:themeColor="text1"/>
                <w:sz w:val="15"/>
                <w:szCs w:val="15"/>
              </w:rPr>
              <w:t>De Meo 2021 [16]</w:t>
            </w:r>
          </w:p>
        </w:tc>
        <w:tc>
          <w:tcPr>
            <w:tcW w:w="1700" w:type="dxa"/>
            <w:shd w:val="clear" w:color="auto" w:fill="F2F2F2"/>
            <w:tcMar>
              <w:top w:w="35" w:type="dxa"/>
              <w:left w:w="60" w:type="dxa"/>
              <w:bottom w:w="35" w:type="dxa"/>
              <w:right w:w="60" w:type="dxa"/>
            </w:tcMar>
          </w:tcPr>
          <w:p w14:paraId="241B70F5" w14:textId="77777777" w:rsidR="0022120C" w:rsidRPr="00D42EFF" w:rsidRDefault="00D42EFF">
            <w:pPr>
              <w:spacing w:line="210" w:lineRule="auto"/>
              <w:rPr>
                <w:color w:val="000000" w:themeColor="text1"/>
              </w:rPr>
            </w:pPr>
            <w:r w:rsidRPr="00D42EFF">
              <w:rPr>
                <w:color w:val="000000" w:themeColor="text1"/>
                <w:sz w:val="15"/>
                <w:szCs w:val="15"/>
              </w:rPr>
              <w:t>Longitudinal cohort; 123 POMS</w:t>
            </w:r>
          </w:p>
        </w:tc>
        <w:tc>
          <w:tcPr>
            <w:tcW w:w="1350" w:type="dxa"/>
            <w:shd w:val="clear" w:color="auto" w:fill="F2F2F2"/>
            <w:tcMar>
              <w:top w:w="35" w:type="dxa"/>
              <w:left w:w="60" w:type="dxa"/>
              <w:bottom w:w="35" w:type="dxa"/>
              <w:right w:w="60" w:type="dxa"/>
            </w:tcMar>
          </w:tcPr>
          <w:p w14:paraId="4BC93B00"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01E93A3B" w14:textId="77777777" w:rsidR="0022120C" w:rsidRPr="00D42EFF" w:rsidRDefault="00D42EFF">
            <w:pPr>
              <w:spacing w:line="210" w:lineRule="auto"/>
              <w:rPr>
                <w:color w:val="000000" w:themeColor="text1"/>
              </w:rPr>
            </w:pPr>
            <w:r w:rsidRPr="00D42EFF">
              <w:rPr>
                <w:color w:val="000000" w:themeColor="text1"/>
                <w:sz w:val="15"/>
                <w:szCs w:val="15"/>
              </w:rPr>
              <w:t>9-year EDSS; ARR</w:t>
            </w:r>
          </w:p>
        </w:tc>
        <w:tc>
          <w:tcPr>
            <w:tcW w:w="3450" w:type="dxa"/>
            <w:shd w:val="clear" w:color="auto" w:fill="F2F2F2"/>
            <w:tcMar>
              <w:top w:w="35" w:type="dxa"/>
              <w:left w:w="60" w:type="dxa"/>
              <w:bottom w:w="35" w:type="dxa"/>
              <w:right w:w="60" w:type="dxa"/>
            </w:tcMar>
          </w:tcPr>
          <w:p w14:paraId="6B6BAAFE" w14:textId="77777777" w:rsidR="0022120C" w:rsidRPr="00D42EFF" w:rsidRDefault="00D42EFF">
            <w:pPr>
              <w:spacing w:line="210" w:lineRule="auto"/>
              <w:rPr>
                <w:color w:val="000000" w:themeColor="text1"/>
              </w:rPr>
            </w:pPr>
            <w:r w:rsidRPr="00D42EFF">
              <w:rPr>
                <w:color w:val="000000" w:themeColor="text1"/>
                <w:sz w:val="15"/>
                <w:szCs w:val="15"/>
              </w:rPr>
              <w:t xml:space="preserve">9-year EDSS: β = 0.22, p = 0.05. </w:t>
            </w:r>
            <w:r w:rsidRPr="00D42EFF">
              <w:rPr>
                <w:color w:val="000000" w:themeColor="text1"/>
                <w:sz w:val="15"/>
                <w:szCs w:val="15"/>
              </w:rPr>
              <w:t>ARR: β = 0.16, p = 0.003</w:t>
            </w:r>
          </w:p>
        </w:tc>
        <w:tc>
          <w:tcPr>
            <w:tcW w:w="1200" w:type="dxa"/>
            <w:shd w:val="clear" w:color="auto" w:fill="C6E0B4"/>
            <w:tcMar>
              <w:top w:w="35" w:type="dxa"/>
              <w:left w:w="60" w:type="dxa"/>
              <w:bottom w:w="35" w:type="dxa"/>
              <w:right w:w="60" w:type="dxa"/>
            </w:tcMar>
          </w:tcPr>
          <w:p w14:paraId="1C8BD002"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6489A849" w14:textId="77777777">
        <w:tc>
          <w:tcPr>
            <w:tcW w:w="2050" w:type="dxa"/>
            <w:tcMar>
              <w:top w:w="35" w:type="dxa"/>
              <w:left w:w="60" w:type="dxa"/>
              <w:bottom w:w="35" w:type="dxa"/>
              <w:right w:w="60" w:type="dxa"/>
            </w:tcMar>
          </w:tcPr>
          <w:p w14:paraId="31689271" w14:textId="77777777" w:rsidR="0022120C" w:rsidRPr="00D42EFF" w:rsidRDefault="00D42EFF">
            <w:pPr>
              <w:spacing w:line="210" w:lineRule="auto"/>
              <w:rPr>
                <w:color w:val="000000" w:themeColor="text1"/>
              </w:rPr>
            </w:pPr>
            <w:r w:rsidRPr="00D42EFF">
              <w:rPr>
                <w:b/>
                <w:bCs/>
                <w:color w:val="000000" w:themeColor="text1"/>
                <w:sz w:val="15"/>
                <w:szCs w:val="15"/>
              </w:rPr>
              <w:t>Optic nerve lesions</w:t>
            </w:r>
          </w:p>
        </w:tc>
        <w:tc>
          <w:tcPr>
            <w:tcW w:w="1750" w:type="dxa"/>
            <w:tcMar>
              <w:top w:w="35" w:type="dxa"/>
              <w:left w:w="60" w:type="dxa"/>
              <w:bottom w:w="35" w:type="dxa"/>
              <w:right w:w="60" w:type="dxa"/>
            </w:tcMar>
          </w:tcPr>
          <w:p w14:paraId="13C6B79E" w14:textId="77777777" w:rsidR="0022120C" w:rsidRPr="00D42EFF" w:rsidRDefault="00D42EFF">
            <w:pPr>
              <w:spacing w:line="210" w:lineRule="auto"/>
              <w:rPr>
                <w:color w:val="000000" w:themeColor="text1"/>
              </w:rPr>
            </w:pPr>
            <w:r w:rsidRPr="00D42EFF">
              <w:rPr>
                <w:color w:val="000000" w:themeColor="text1"/>
                <w:sz w:val="15"/>
                <w:szCs w:val="15"/>
              </w:rPr>
              <w:t>De Meo 2021 [16]; Mikaeloff 2004 [26]</w:t>
            </w:r>
          </w:p>
        </w:tc>
        <w:tc>
          <w:tcPr>
            <w:tcW w:w="1700" w:type="dxa"/>
            <w:tcMar>
              <w:top w:w="35" w:type="dxa"/>
              <w:left w:w="60" w:type="dxa"/>
              <w:bottom w:w="35" w:type="dxa"/>
              <w:right w:w="60" w:type="dxa"/>
            </w:tcMar>
          </w:tcPr>
          <w:p w14:paraId="497EF593" w14:textId="77777777" w:rsidR="0022120C" w:rsidRPr="00D42EFF" w:rsidRDefault="00D42EFF">
            <w:pPr>
              <w:spacing w:line="210" w:lineRule="auto"/>
              <w:rPr>
                <w:color w:val="000000" w:themeColor="text1"/>
              </w:rPr>
            </w:pPr>
            <w:r w:rsidRPr="00D42EFF">
              <w:rPr>
                <w:color w:val="000000" w:themeColor="text1"/>
                <w:sz w:val="15"/>
                <w:szCs w:val="15"/>
              </w:rPr>
              <w:t>Longitudinal cohort (123 POMS); prospective cohort (296 first CNS demyelinating event)</w:t>
            </w:r>
          </w:p>
        </w:tc>
        <w:tc>
          <w:tcPr>
            <w:tcW w:w="1350" w:type="dxa"/>
            <w:tcMar>
              <w:top w:w="35" w:type="dxa"/>
              <w:left w:w="60" w:type="dxa"/>
              <w:bottom w:w="35" w:type="dxa"/>
              <w:right w:w="60" w:type="dxa"/>
            </w:tcMar>
          </w:tcPr>
          <w:p w14:paraId="269FE5B1" w14:textId="77777777" w:rsidR="0022120C" w:rsidRPr="00D42EFF" w:rsidRDefault="00D42EFF">
            <w:pPr>
              <w:spacing w:line="210" w:lineRule="auto"/>
              <w:jc w:val="center"/>
              <w:rPr>
                <w:color w:val="000000" w:themeColor="text1"/>
              </w:rPr>
            </w:pPr>
            <w:r w:rsidRPr="00D42EFF">
              <w:rPr>
                <w:color w:val="000000" w:themeColor="text1"/>
                <w:sz w:val="15"/>
                <w:szCs w:val="15"/>
              </w:rPr>
              <w:t>Prognosis (relapse) / Conversion</w:t>
            </w:r>
          </w:p>
        </w:tc>
        <w:tc>
          <w:tcPr>
            <w:tcW w:w="1900" w:type="dxa"/>
            <w:tcMar>
              <w:top w:w="35" w:type="dxa"/>
              <w:left w:w="60" w:type="dxa"/>
              <w:bottom w:w="35" w:type="dxa"/>
              <w:right w:w="60" w:type="dxa"/>
            </w:tcMar>
          </w:tcPr>
          <w:p w14:paraId="5F3B703F" w14:textId="77777777" w:rsidR="0022120C" w:rsidRPr="00D42EFF" w:rsidRDefault="00D42EFF">
            <w:pPr>
              <w:spacing w:line="210" w:lineRule="auto"/>
              <w:rPr>
                <w:color w:val="000000" w:themeColor="text1"/>
              </w:rPr>
            </w:pPr>
            <w:r w:rsidRPr="00D42EFF">
              <w:rPr>
                <w:color w:val="000000" w:themeColor="text1"/>
                <w:sz w:val="15"/>
                <w:szCs w:val="15"/>
              </w:rPr>
              <w:t>Time to first relapse; second demyelinating attack</w:t>
            </w:r>
          </w:p>
        </w:tc>
        <w:tc>
          <w:tcPr>
            <w:tcW w:w="3450" w:type="dxa"/>
            <w:tcMar>
              <w:top w:w="35" w:type="dxa"/>
              <w:left w:w="60" w:type="dxa"/>
              <w:bottom w:w="35" w:type="dxa"/>
              <w:right w:w="60" w:type="dxa"/>
            </w:tcMar>
          </w:tcPr>
          <w:p w14:paraId="064DFC87" w14:textId="77777777" w:rsidR="0022120C" w:rsidRPr="00D42EFF" w:rsidRDefault="00D42EFF">
            <w:pPr>
              <w:spacing w:line="210" w:lineRule="auto"/>
              <w:rPr>
                <w:color w:val="000000" w:themeColor="text1"/>
              </w:rPr>
            </w:pPr>
            <w:r w:rsidRPr="00D42EFF">
              <w:rPr>
                <w:color w:val="000000" w:themeColor="text1"/>
                <w:sz w:val="15"/>
                <w:szCs w:val="15"/>
              </w:rPr>
              <w:t>Time to first relapse: HR 2.10, p = 0.02 [16]. Second attack: HR 2.59, p = 0.009 [26]</w:t>
            </w:r>
          </w:p>
        </w:tc>
        <w:tc>
          <w:tcPr>
            <w:tcW w:w="1200" w:type="dxa"/>
            <w:shd w:val="clear" w:color="auto" w:fill="C6E0B4"/>
            <w:tcMar>
              <w:top w:w="35" w:type="dxa"/>
              <w:left w:w="60" w:type="dxa"/>
              <w:bottom w:w="35" w:type="dxa"/>
              <w:right w:w="60" w:type="dxa"/>
            </w:tcMar>
          </w:tcPr>
          <w:p w14:paraId="78DD8023"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43EDB445" w14:textId="77777777">
        <w:tc>
          <w:tcPr>
            <w:tcW w:w="2050" w:type="dxa"/>
            <w:shd w:val="clear" w:color="auto" w:fill="F2F2F2"/>
            <w:tcMar>
              <w:top w:w="35" w:type="dxa"/>
              <w:left w:w="60" w:type="dxa"/>
              <w:bottom w:w="35" w:type="dxa"/>
              <w:right w:w="60" w:type="dxa"/>
            </w:tcMar>
          </w:tcPr>
          <w:p w14:paraId="1009F62D" w14:textId="77777777" w:rsidR="0022120C" w:rsidRPr="00D42EFF" w:rsidRDefault="00D42EFF">
            <w:pPr>
              <w:spacing w:line="210" w:lineRule="auto"/>
              <w:rPr>
                <w:color w:val="000000" w:themeColor="text1"/>
              </w:rPr>
            </w:pPr>
            <w:r w:rsidRPr="00D42EFF">
              <w:rPr>
                <w:b/>
                <w:bCs/>
                <w:color w:val="000000" w:themeColor="text1"/>
                <w:sz w:val="15"/>
                <w:szCs w:val="15"/>
              </w:rPr>
              <w:t>Cerebellar lesions</w:t>
            </w:r>
          </w:p>
        </w:tc>
        <w:tc>
          <w:tcPr>
            <w:tcW w:w="1750" w:type="dxa"/>
            <w:shd w:val="clear" w:color="auto" w:fill="F2F2F2"/>
            <w:tcMar>
              <w:top w:w="35" w:type="dxa"/>
              <w:left w:w="60" w:type="dxa"/>
              <w:bottom w:w="35" w:type="dxa"/>
              <w:right w:w="60" w:type="dxa"/>
            </w:tcMar>
          </w:tcPr>
          <w:p w14:paraId="6935E746" w14:textId="77777777" w:rsidR="0022120C" w:rsidRPr="00D42EFF" w:rsidRDefault="00D42EFF">
            <w:pPr>
              <w:spacing w:line="210" w:lineRule="auto"/>
              <w:rPr>
                <w:color w:val="000000" w:themeColor="text1"/>
              </w:rPr>
            </w:pPr>
            <w:r w:rsidRPr="00D42EFF">
              <w:rPr>
                <w:color w:val="000000" w:themeColor="text1"/>
                <w:sz w:val="15"/>
                <w:szCs w:val="15"/>
              </w:rPr>
              <w:t>De Meo 2021 [16]</w:t>
            </w:r>
          </w:p>
        </w:tc>
        <w:tc>
          <w:tcPr>
            <w:tcW w:w="1700" w:type="dxa"/>
            <w:shd w:val="clear" w:color="auto" w:fill="F2F2F2"/>
            <w:tcMar>
              <w:top w:w="35" w:type="dxa"/>
              <w:left w:w="60" w:type="dxa"/>
              <w:bottom w:w="35" w:type="dxa"/>
              <w:right w:w="60" w:type="dxa"/>
            </w:tcMar>
          </w:tcPr>
          <w:p w14:paraId="53F65AD8" w14:textId="77777777" w:rsidR="0022120C" w:rsidRPr="00D42EFF" w:rsidRDefault="00D42EFF">
            <w:pPr>
              <w:spacing w:line="210" w:lineRule="auto"/>
              <w:rPr>
                <w:color w:val="000000" w:themeColor="text1"/>
              </w:rPr>
            </w:pPr>
            <w:r w:rsidRPr="00D42EFF">
              <w:rPr>
                <w:color w:val="000000" w:themeColor="text1"/>
                <w:sz w:val="15"/>
                <w:szCs w:val="15"/>
              </w:rPr>
              <w:t>Longitudinal cohort; 123 POMS</w:t>
            </w:r>
          </w:p>
        </w:tc>
        <w:tc>
          <w:tcPr>
            <w:tcW w:w="1350" w:type="dxa"/>
            <w:shd w:val="clear" w:color="auto" w:fill="F2F2F2"/>
            <w:tcMar>
              <w:top w:w="35" w:type="dxa"/>
              <w:left w:w="60" w:type="dxa"/>
              <w:bottom w:w="35" w:type="dxa"/>
              <w:right w:w="60" w:type="dxa"/>
            </w:tcMar>
          </w:tcPr>
          <w:p w14:paraId="2D07F852"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25CE3230" w14:textId="77777777" w:rsidR="0022120C" w:rsidRPr="00D42EFF" w:rsidRDefault="00D42EFF">
            <w:pPr>
              <w:spacing w:line="210" w:lineRule="auto"/>
              <w:rPr>
                <w:color w:val="000000" w:themeColor="text1"/>
              </w:rPr>
            </w:pPr>
            <w:r w:rsidRPr="00D42EFF">
              <w:rPr>
                <w:color w:val="000000" w:themeColor="text1"/>
                <w:sz w:val="15"/>
                <w:szCs w:val="15"/>
              </w:rPr>
              <w:t>ARR</w:t>
            </w:r>
          </w:p>
        </w:tc>
        <w:tc>
          <w:tcPr>
            <w:tcW w:w="3450" w:type="dxa"/>
            <w:shd w:val="clear" w:color="auto" w:fill="F2F2F2"/>
            <w:tcMar>
              <w:top w:w="35" w:type="dxa"/>
              <w:left w:w="60" w:type="dxa"/>
              <w:bottom w:w="35" w:type="dxa"/>
              <w:right w:w="60" w:type="dxa"/>
            </w:tcMar>
          </w:tcPr>
          <w:p w14:paraId="72683174" w14:textId="77777777" w:rsidR="0022120C" w:rsidRPr="00D42EFF" w:rsidRDefault="00D42EFF">
            <w:pPr>
              <w:spacing w:line="210" w:lineRule="auto"/>
              <w:rPr>
                <w:color w:val="000000" w:themeColor="text1"/>
              </w:rPr>
            </w:pPr>
            <w:sdt>
              <w:sdtPr>
                <w:rPr>
                  <w:color w:val="000000" w:themeColor="text1"/>
                </w:rPr>
                <w:tag w:val="goog_rdk_9"/>
                <w:id w:val="-1772109609"/>
              </w:sdtPr>
              <w:sdtEndPr/>
              <w:sdtContent>
                <w:r w:rsidRPr="00D42EFF">
                  <w:rPr>
                    <w:rFonts w:ascii="Cardo" w:eastAsia="Cardo" w:hAnsi="Cardo" w:cs="Cardo"/>
                    <w:color w:val="000000" w:themeColor="text1"/>
                    <w:sz w:val="15"/>
                    <w:szCs w:val="15"/>
                  </w:rPr>
                  <w:t>β = −0.15, p &lt; 0.001 (lower relapse frequency)</w:t>
                </w:r>
              </w:sdtContent>
            </w:sdt>
          </w:p>
        </w:tc>
        <w:tc>
          <w:tcPr>
            <w:tcW w:w="1200" w:type="dxa"/>
            <w:shd w:val="clear" w:color="auto" w:fill="FFE699"/>
            <w:tcMar>
              <w:top w:w="35" w:type="dxa"/>
              <w:left w:w="60" w:type="dxa"/>
              <w:bottom w:w="35" w:type="dxa"/>
              <w:right w:w="60" w:type="dxa"/>
            </w:tcMar>
          </w:tcPr>
          <w:p w14:paraId="223E1D10"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r w:rsidR="00D42EFF" w:rsidRPr="00D42EFF" w14:paraId="603DB471" w14:textId="77777777">
        <w:tc>
          <w:tcPr>
            <w:tcW w:w="2050" w:type="dxa"/>
            <w:tcMar>
              <w:top w:w="35" w:type="dxa"/>
              <w:left w:w="60" w:type="dxa"/>
              <w:bottom w:w="35" w:type="dxa"/>
              <w:right w:w="60" w:type="dxa"/>
            </w:tcMar>
          </w:tcPr>
          <w:p w14:paraId="1129A385" w14:textId="77777777" w:rsidR="0022120C" w:rsidRPr="00D42EFF" w:rsidRDefault="00D42EFF">
            <w:pPr>
              <w:spacing w:line="210" w:lineRule="auto"/>
              <w:rPr>
                <w:color w:val="000000" w:themeColor="text1"/>
              </w:rPr>
            </w:pPr>
            <w:r w:rsidRPr="00D42EFF">
              <w:rPr>
                <w:b/>
                <w:bCs/>
                <w:color w:val="000000" w:themeColor="text1"/>
                <w:sz w:val="15"/>
                <w:szCs w:val="15"/>
              </w:rPr>
              <w:t xml:space="preserve">Corpus callosum perpendicular </w:t>
            </w:r>
            <w:r w:rsidRPr="00D42EFF">
              <w:rPr>
                <w:b/>
                <w:bCs/>
                <w:color w:val="000000" w:themeColor="text1"/>
                <w:sz w:val="15"/>
                <w:szCs w:val="15"/>
              </w:rPr>
              <w:t>lesions</w:t>
            </w:r>
          </w:p>
        </w:tc>
        <w:tc>
          <w:tcPr>
            <w:tcW w:w="1750" w:type="dxa"/>
            <w:tcMar>
              <w:top w:w="35" w:type="dxa"/>
              <w:left w:w="60" w:type="dxa"/>
              <w:bottom w:w="35" w:type="dxa"/>
              <w:right w:w="60" w:type="dxa"/>
            </w:tcMar>
          </w:tcPr>
          <w:p w14:paraId="0572E0BD" w14:textId="77777777" w:rsidR="0022120C" w:rsidRPr="00D42EFF" w:rsidRDefault="00D42EFF">
            <w:pPr>
              <w:spacing w:line="210" w:lineRule="auto"/>
              <w:rPr>
                <w:color w:val="000000" w:themeColor="text1"/>
              </w:rPr>
            </w:pPr>
            <w:r w:rsidRPr="00D42EFF">
              <w:rPr>
                <w:color w:val="000000" w:themeColor="text1"/>
                <w:sz w:val="15"/>
                <w:szCs w:val="15"/>
              </w:rPr>
              <w:t>Mikaeloff 2004 [26]</w:t>
            </w:r>
          </w:p>
        </w:tc>
        <w:tc>
          <w:tcPr>
            <w:tcW w:w="1700" w:type="dxa"/>
            <w:tcMar>
              <w:top w:w="35" w:type="dxa"/>
              <w:left w:w="60" w:type="dxa"/>
              <w:bottom w:w="35" w:type="dxa"/>
              <w:right w:w="60" w:type="dxa"/>
            </w:tcMar>
          </w:tcPr>
          <w:p w14:paraId="232467B6" w14:textId="77777777" w:rsidR="0022120C" w:rsidRPr="00D42EFF" w:rsidRDefault="00D42EFF">
            <w:pPr>
              <w:spacing w:line="210" w:lineRule="auto"/>
              <w:rPr>
                <w:color w:val="000000" w:themeColor="text1"/>
              </w:rPr>
            </w:pPr>
            <w:r w:rsidRPr="00D42EFF">
              <w:rPr>
                <w:color w:val="000000" w:themeColor="text1"/>
                <w:sz w:val="15"/>
                <w:szCs w:val="15"/>
              </w:rPr>
              <w:t>Prospective cohort; 296 children with first CNS demyelinating event</w:t>
            </w:r>
          </w:p>
        </w:tc>
        <w:tc>
          <w:tcPr>
            <w:tcW w:w="1350" w:type="dxa"/>
            <w:tcMar>
              <w:top w:w="35" w:type="dxa"/>
              <w:left w:w="60" w:type="dxa"/>
              <w:bottom w:w="35" w:type="dxa"/>
              <w:right w:w="60" w:type="dxa"/>
            </w:tcMar>
          </w:tcPr>
          <w:p w14:paraId="46AB7BAC" w14:textId="77777777" w:rsidR="0022120C" w:rsidRPr="00D42EFF" w:rsidRDefault="00D42EFF">
            <w:pPr>
              <w:spacing w:line="210" w:lineRule="auto"/>
              <w:jc w:val="center"/>
              <w:rPr>
                <w:color w:val="000000" w:themeColor="text1"/>
              </w:rPr>
            </w:pPr>
            <w:r w:rsidRPr="00D42EFF">
              <w:rPr>
                <w:color w:val="000000" w:themeColor="text1"/>
                <w:sz w:val="15"/>
                <w:szCs w:val="15"/>
              </w:rPr>
              <w:t>Conversion</w:t>
            </w:r>
          </w:p>
        </w:tc>
        <w:tc>
          <w:tcPr>
            <w:tcW w:w="1900" w:type="dxa"/>
            <w:tcMar>
              <w:top w:w="35" w:type="dxa"/>
              <w:left w:w="60" w:type="dxa"/>
              <w:bottom w:w="35" w:type="dxa"/>
              <w:right w:w="60" w:type="dxa"/>
            </w:tcMar>
          </w:tcPr>
          <w:p w14:paraId="3BB4450F" w14:textId="77777777" w:rsidR="0022120C" w:rsidRPr="00D42EFF" w:rsidRDefault="00D42EFF">
            <w:pPr>
              <w:spacing w:line="210" w:lineRule="auto"/>
              <w:rPr>
                <w:color w:val="000000" w:themeColor="text1"/>
              </w:rPr>
            </w:pPr>
            <w:r w:rsidRPr="00D42EFF">
              <w:rPr>
                <w:color w:val="000000" w:themeColor="text1"/>
                <w:sz w:val="15"/>
                <w:szCs w:val="15"/>
              </w:rPr>
              <w:t>Second demyelinating attack</w:t>
            </w:r>
          </w:p>
        </w:tc>
        <w:tc>
          <w:tcPr>
            <w:tcW w:w="3450" w:type="dxa"/>
            <w:tcMar>
              <w:top w:w="35" w:type="dxa"/>
              <w:left w:w="60" w:type="dxa"/>
              <w:bottom w:w="35" w:type="dxa"/>
              <w:right w:w="60" w:type="dxa"/>
            </w:tcMar>
          </w:tcPr>
          <w:p w14:paraId="0DCA268C" w14:textId="77777777" w:rsidR="0022120C" w:rsidRPr="00D42EFF" w:rsidRDefault="00D42EFF">
            <w:pPr>
              <w:spacing w:line="210" w:lineRule="auto"/>
              <w:rPr>
                <w:color w:val="000000" w:themeColor="text1"/>
              </w:rPr>
            </w:pPr>
            <w:r w:rsidRPr="00D42EFF">
              <w:rPr>
                <w:color w:val="000000" w:themeColor="text1"/>
                <w:sz w:val="15"/>
                <w:szCs w:val="15"/>
              </w:rPr>
              <w:t>Associated with increased risk of a second demyelinating attack</w:t>
            </w:r>
          </w:p>
        </w:tc>
        <w:tc>
          <w:tcPr>
            <w:tcW w:w="1200" w:type="dxa"/>
            <w:shd w:val="clear" w:color="auto" w:fill="FFFFFF"/>
            <w:tcMar>
              <w:top w:w="35" w:type="dxa"/>
              <w:left w:w="60" w:type="dxa"/>
              <w:bottom w:w="35" w:type="dxa"/>
              <w:right w:w="60" w:type="dxa"/>
            </w:tcMar>
          </w:tcPr>
          <w:p w14:paraId="1F357106" w14:textId="77777777" w:rsidR="0022120C" w:rsidRPr="00D42EFF" w:rsidRDefault="00D42EFF">
            <w:pPr>
              <w:spacing w:line="210" w:lineRule="auto"/>
              <w:jc w:val="center"/>
              <w:rPr>
                <w:color w:val="000000" w:themeColor="text1"/>
              </w:rPr>
            </w:pPr>
            <w:r w:rsidRPr="00D42EFF">
              <w:rPr>
                <w:color w:val="000000" w:themeColor="text1"/>
                <w:sz w:val="15"/>
                <w:szCs w:val="15"/>
              </w:rPr>
              <w:t>—</w:t>
            </w:r>
          </w:p>
        </w:tc>
      </w:tr>
      <w:tr w:rsidR="00D42EFF" w:rsidRPr="00D42EFF" w14:paraId="47E7CF15" w14:textId="77777777">
        <w:tc>
          <w:tcPr>
            <w:tcW w:w="2050" w:type="dxa"/>
            <w:shd w:val="clear" w:color="auto" w:fill="F2F2F2"/>
            <w:tcMar>
              <w:top w:w="35" w:type="dxa"/>
              <w:left w:w="60" w:type="dxa"/>
              <w:bottom w:w="35" w:type="dxa"/>
              <w:right w:w="60" w:type="dxa"/>
            </w:tcMar>
          </w:tcPr>
          <w:p w14:paraId="3A4034E8" w14:textId="77777777" w:rsidR="0022120C" w:rsidRPr="00D42EFF" w:rsidRDefault="00D42EFF">
            <w:pPr>
              <w:spacing w:line="210" w:lineRule="auto"/>
              <w:rPr>
                <w:color w:val="000000" w:themeColor="text1"/>
              </w:rPr>
            </w:pPr>
            <w:sdt>
              <w:sdtPr>
                <w:rPr>
                  <w:color w:val="000000" w:themeColor="text1"/>
                </w:rPr>
                <w:tag w:val="goog_rdk_10"/>
                <w:id w:val="1194573818"/>
              </w:sdtPr>
              <w:sdtEndPr/>
              <w:sdtContent>
                <w:r w:rsidRPr="00D42EFF">
                  <w:rPr>
                    <w:rFonts w:ascii="Gungsuh" w:eastAsia="Gungsuh" w:hAnsi="Gungsuh" w:cs="Gungsuh"/>
                    <w:b/>
                    <w:bCs/>
                    <w:color w:val="000000" w:themeColor="text1"/>
                    <w:sz w:val="15"/>
                    <w:szCs w:val="15"/>
                  </w:rPr>
                  <w:t>≥ 2 new T2 lesions at 1–2 years</w:t>
                </w:r>
              </w:sdtContent>
            </w:sdt>
          </w:p>
        </w:tc>
        <w:tc>
          <w:tcPr>
            <w:tcW w:w="1750" w:type="dxa"/>
            <w:shd w:val="clear" w:color="auto" w:fill="F2F2F2"/>
            <w:tcMar>
              <w:top w:w="35" w:type="dxa"/>
              <w:left w:w="60" w:type="dxa"/>
              <w:bottom w:w="35" w:type="dxa"/>
              <w:right w:w="60" w:type="dxa"/>
            </w:tcMar>
          </w:tcPr>
          <w:p w14:paraId="4C3A8AA9" w14:textId="77777777" w:rsidR="0022120C" w:rsidRPr="00D42EFF" w:rsidRDefault="00D42EFF">
            <w:pPr>
              <w:spacing w:line="210" w:lineRule="auto"/>
              <w:rPr>
                <w:color w:val="000000" w:themeColor="text1"/>
              </w:rPr>
            </w:pPr>
            <w:r w:rsidRPr="00D42EFF">
              <w:rPr>
                <w:color w:val="000000" w:themeColor="text1"/>
                <w:sz w:val="15"/>
                <w:szCs w:val="15"/>
              </w:rPr>
              <w:t>De Meo 2021 [16]</w:t>
            </w:r>
          </w:p>
        </w:tc>
        <w:tc>
          <w:tcPr>
            <w:tcW w:w="1700" w:type="dxa"/>
            <w:shd w:val="clear" w:color="auto" w:fill="F2F2F2"/>
            <w:tcMar>
              <w:top w:w="35" w:type="dxa"/>
              <w:left w:w="60" w:type="dxa"/>
              <w:bottom w:w="35" w:type="dxa"/>
              <w:right w:w="60" w:type="dxa"/>
            </w:tcMar>
          </w:tcPr>
          <w:p w14:paraId="7CE66230" w14:textId="77777777" w:rsidR="0022120C" w:rsidRPr="00D42EFF" w:rsidRDefault="00D42EFF">
            <w:pPr>
              <w:spacing w:line="210" w:lineRule="auto"/>
              <w:rPr>
                <w:color w:val="000000" w:themeColor="text1"/>
              </w:rPr>
            </w:pPr>
            <w:r w:rsidRPr="00D42EFF">
              <w:rPr>
                <w:color w:val="000000" w:themeColor="text1"/>
                <w:sz w:val="15"/>
                <w:szCs w:val="15"/>
              </w:rPr>
              <w:t>Longitudinal cohort; 123 POMS</w:t>
            </w:r>
          </w:p>
        </w:tc>
        <w:tc>
          <w:tcPr>
            <w:tcW w:w="1350" w:type="dxa"/>
            <w:shd w:val="clear" w:color="auto" w:fill="F2F2F2"/>
            <w:tcMar>
              <w:top w:w="35" w:type="dxa"/>
              <w:left w:w="60" w:type="dxa"/>
              <w:bottom w:w="35" w:type="dxa"/>
              <w:right w:w="60" w:type="dxa"/>
            </w:tcMar>
          </w:tcPr>
          <w:p w14:paraId="2D51C1C0"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3482B566" w14:textId="77777777" w:rsidR="0022120C" w:rsidRPr="00D42EFF" w:rsidRDefault="00D42EFF">
            <w:pPr>
              <w:spacing w:line="210" w:lineRule="auto"/>
              <w:rPr>
                <w:color w:val="000000" w:themeColor="text1"/>
              </w:rPr>
            </w:pPr>
            <w:r w:rsidRPr="00D42EFF">
              <w:rPr>
                <w:color w:val="000000" w:themeColor="text1"/>
                <w:sz w:val="15"/>
                <w:szCs w:val="15"/>
              </w:rPr>
              <w:t>9-year disability worsening; 9-year EDSS</w:t>
            </w:r>
          </w:p>
        </w:tc>
        <w:tc>
          <w:tcPr>
            <w:tcW w:w="3450" w:type="dxa"/>
            <w:shd w:val="clear" w:color="auto" w:fill="F2F2F2"/>
            <w:tcMar>
              <w:top w:w="35" w:type="dxa"/>
              <w:left w:w="60" w:type="dxa"/>
              <w:bottom w:w="35" w:type="dxa"/>
              <w:right w:w="60" w:type="dxa"/>
            </w:tcMar>
          </w:tcPr>
          <w:p w14:paraId="1575CAF2" w14:textId="77777777" w:rsidR="0022120C" w:rsidRPr="00D42EFF" w:rsidRDefault="00D42EFF">
            <w:pPr>
              <w:spacing w:line="210" w:lineRule="auto"/>
              <w:rPr>
                <w:color w:val="000000" w:themeColor="text1"/>
              </w:rPr>
            </w:pPr>
            <w:r w:rsidRPr="00D42EFF">
              <w:rPr>
                <w:color w:val="000000" w:themeColor="text1"/>
                <w:sz w:val="15"/>
                <w:szCs w:val="15"/>
              </w:rPr>
              <w:t>9-year worsening: OR 4.91, p = 0.02 (at 2 years). 9-year EDSS: β = 0.28 (1 year), p = 0.03; β = 0.35 (2 years), p = 0.01</w:t>
            </w:r>
          </w:p>
        </w:tc>
        <w:tc>
          <w:tcPr>
            <w:tcW w:w="1200" w:type="dxa"/>
            <w:shd w:val="clear" w:color="auto" w:fill="C6E0B4"/>
            <w:tcMar>
              <w:top w:w="35" w:type="dxa"/>
              <w:left w:w="60" w:type="dxa"/>
              <w:bottom w:w="35" w:type="dxa"/>
              <w:right w:w="60" w:type="dxa"/>
            </w:tcMar>
          </w:tcPr>
          <w:p w14:paraId="62F764ED"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16831B76" w14:textId="77777777">
        <w:tc>
          <w:tcPr>
            <w:tcW w:w="2050" w:type="dxa"/>
            <w:tcMar>
              <w:top w:w="35" w:type="dxa"/>
              <w:left w:w="60" w:type="dxa"/>
              <w:bottom w:w="35" w:type="dxa"/>
              <w:right w:w="60" w:type="dxa"/>
            </w:tcMar>
          </w:tcPr>
          <w:p w14:paraId="2300438E" w14:textId="77777777" w:rsidR="0022120C" w:rsidRPr="00D42EFF" w:rsidRDefault="00D42EFF">
            <w:pPr>
              <w:spacing w:line="210" w:lineRule="auto"/>
              <w:rPr>
                <w:color w:val="000000" w:themeColor="text1"/>
              </w:rPr>
            </w:pPr>
            <w:r w:rsidRPr="00D42EFF">
              <w:rPr>
                <w:b/>
                <w:bCs/>
                <w:color w:val="000000" w:themeColor="text1"/>
                <w:sz w:val="15"/>
                <w:szCs w:val="15"/>
              </w:rPr>
              <w:t>Gd-enhancing brain / cervical cord lesions at year</w:t>
            </w:r>
            <w:r w:rsidRPr="00D42EFF">
              <w:rPr>
                <w:b/>
                <w:bCs/>
                <w:color w:val="000000" w:themeColor="text1"/>
                <w:sz w:val="15"/>
                <w:szCs w:val="15"/>
              </w:rPr>
              <w:t xml:space="preserve"> 1</w:t>
            </w:r>
          </w:p>
        </w:tc>
        <w:tc>
          <w:tcPr>
            <w:tcW w:w="1750" w:type="dxa"/>
            <w:tcMar>
              <w:top w:w="35" w:type="dxa"/>
              <w:left w:w="60" w:type="dxa"/>
              <w:bottom w:w="35" w:type="dxa"/>
              <w:right w:w="60" w:type="dxa"/>
            </w:tcMar>
          </w:tcPr>
          <w:p w14:paraId="5C2C59C7" w14:textId="77777777" w:rsidR="0022120C" w:rsidRPr="00D42EFF" w:rsidRDefault="00D42EFF">
            <w:pPr>
              <w:spacing w:line="210" w:lineRule="auto"/>
              <w:rPr>
                <w:color w:val="000000" w:themeColor="text1"/>
              </w:rPr>
            </w:pPr>
            <w:r w:rsidRPr="00D42EFF">
              <w:rPr>
                <w:color w:val="000000" w:themeColor="text1"/>
                <w:sz w:val="15"/>
                <w:szCs w:val="15"/>
              </w:rPr>
              <w:t>De Meo 2021 [16]</w:t>
            </w:r>
          </w:p>
        </w:tc>
        <w:tc>
          <w:tcPr>
            <w:tcW w:w="1700" w:type="dxa"/>
            <w:tcMar>
              <w:top w:w="35" w:type="dxa"/>
              <w:left w:w="60" w:type="dxa"/>
              <w:bottom w:w="35" w:type="dxa"/>
              <w:right w:w="60" w:type="dxa"/>
            </w:tcMar>
          </w:tcPr>
          <w:p w14:paraId="2C7D142A" w14:textId="77777777" w:rsidR="0022120C" w:rsidRPr="00D42EFF" w:rsidRDefault="00D42EFF">
            <w:pPr>
              <w:spacing w:line="210" w:lineRule="auto"/>
              <w:rPr>
                <w:color w:val="000000" w:themeColor="text1"/>
              </w:rPr>
            </w:pPr>
            <w:r w:rsidRPr="00D42EFF">
              <w:rPr>
                <w:color w:val="000000" w:themeColor="text1"/>
                <w:sz w:val="15"/>
                <w:szCs w:val="15"/>
              </w:rPr>
              <w:t>Longitudinal cohort; 123 POMS</w:t>
            </w:r>
          </w:p>
        </w:tc>
        <w:tc>
          <w:tcPr>
            <w:tcW w:w="1350" w:type="dxa"/>
            <w:tcMar>
              <w:top w:w="35" w:type="dxa"/>
              <w:left w:w="60" w:type="dxa"/>
              <w:bottom w:w="35" w:type="dxa"/>
              <w:right w:w="60" w:type="dxa"/>
            </w:tcMar>
          </w:tcPr>
          <w:p w14:paraId="557B662C"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7A0B9ACB" w14:textId="77777777" w:rsidR="0022120C" w:rsidRPr="00D42EFF" w:rsidRDefault="00D42EFF">
            <w:pPr>
              <w:spacing w:line="210" w:lineRule="auto"/>
              <w:rPr>
                <w:color w:val="000000" w:themeColor="text1"/>
              </w:rPr>
            </w:pPr>
            <w:r w:rsidRPr="00D42EFF">
              <w:rPr>
                <w:color w:val="000000" w:themeColor="text1"/>
                <w:sz w:val="15"/>
                <w:szCs w:val="15"/>
              </w:rPr>
              <w:t>9-year EDSS</w:t>
            </w:r>
          </w:p>
        </w:tc>
        <w:tc>
          <w:tcPr>
            <w:tcW w:w="3450" w:type="dxa"/>
            <w:tcMar>
              <w:top w:w="35" w:type="dxa"/>
              <w:left w:w="60" w:type="dxa"/>
              <w:bottom w:w="35" w:type="dxa"/>
              <w:right w:w="60" w:type="dxa"/>
            </w:tcMar>
          </w:tcPr>
          <w:p w14:paraId="2A3E64C5" w14:textId="77777777" w:rsidR="0022120C" w:rsidRPr="00D42EFF" w:rsidRDefault="00D42EFF">
            <w:pPr>
              <w:spacing w:line="210" w:lineRule="auto"/>
              <w:rPr>
                <w:color w:val="000000" w:themeColor="text1"/>
              </w:rPr>
            </w:pPr>
            <w:sdt>
              <w:sdtPr>
                <w:rPr>
                  <w:color w:val="000000" w:themeColor="text1"/>
                </w:rPr>
                <w:tag w:val="goog_rdk_11"/>
                <w:id w:val="2009553578"/>
              </w:sdtPr>
              <w:sdtEndPr/>
              <w:sdtContent>
                <w:r w:rsidRPr="00D42EFF">
                  <w:rPr>
                    <w:rFonts w:ascii="Cardo" w:eastAsia="Cardo" w:hAnsi="Cardo" w:cs="Cardo"/>
                    <w:color w:val="000000" w:themeColor="text1"/>
                    <w:sz w:val="15"/>
                    <w:szCs w:val="15"/>
                  </w:rPr>
                  <w:t>Cervical cord Gd+: β = −0.41, p = 0.02. Brain Gd+: β = −0.29, p = 0.05. Negative (i.e. apparently favourable) coefficient unexplained; plausibly reflects imaging timing relative to rel</w:t>
                </w:r>
                <w:r w:rsidRPr="00D42EFF">
                  <w:rPr>
                    <w:rFonts w:ascii="Cardo" w:eastAsia="Cardo" w:hAnsi="Cardo" w:cs="Cardo"/>
                    <w:color w:val="000000" w:themeColor="text1"/>
                    <w:sz w:val="15"/>
                    <w:szCs w:val="15"/>
                  </w:rPr>
                  <w:t>apse and subsequent treatment escalation rather than protective inflammation</w:t>
                </w:r>
              </w:sdtContent>
            </w:sdt>
          </w:p>
        </w:tc>
        <w:tc>
          <w:tcPr>
            <w:tcW w:w="1200" w:type="dxa"/>
            <w:shd w:val="clear" w:color="auto" w:fill="F8CBAD"/>
            <w:tcMar>
              <w:top w:w="35" w:type="dxa"/>
              <w:left w:w="60" w:type="dxa"/>
              <w:bottom w:w="35" w:type="dxa"/>
              <w:right w:w="60" w:type="dxa"/>
            </w:tcMar>
          </w:tcPr>
          <w:p w14:paraId="36AC9955" w14:textId="77777777" w:rsidR="0022120C" w:rsidRPr="00D42EFF" w:rsidRDefault="00D42EFF">
            <w:pPr>
              <w:spacing w:line="210" w:lineRule="auto"/>
              <w:jc w:val="center"/>
              <w:rPr>
                <w:color w:val="000000" w:themeColor="text1"/>
              </w:rPr>
            </w:pPr>
            <w:r w:rsidRPr="00D42EFF">
              <w:rPr>
                <w:color w:val="000000" w:themeColor="text1"/>
                <w:sz w:val="15"/>
                <w:szCs w:val="15"/>
              </w:rPr>
              <w:t>D</w:t>
            </w:r>
          </w:p>
        </w:tc>
      </w:tr>
      <w:tr w:rsidR="00D42EFF" w:rsidRPr="00D42EFF" w14:paraId="17A5B918" w14:textId="77777777">
        <w:tc>
          <w:tcPr>
            <w:tcW w:w="2050" w:type="dxa"/>
            <w:shd w:val="clear" w:color="auto" w:fill="F2F2F2"/>
            <w:tcMar>
              <w:top w:w="35" w:type="dxa"/>
              <w:left w:w="60" w:type="dxa"/>
              <w:bottom w:w="35" w:type="dxa"/>
              <w:right w:w="60" w:type="dxa"/>
            </w:tcMar>
          </w:tcPr>
          <w:p w14:paraId="3EC13F94" w14:textId="77777777" w:rsidR="0022120C" w:rsidRPr="00D42EFF" w:rsidRDefault="00D42EFF">
            <w:pPr>
              <w:spacing w:line="210" w:lineRule="auto"/>
              <w:rPr>
                <w:color w:val="000000" w:themeColor="text1"/>
              </w:rPr>
            </w:pPr>
            <w:r w:rsidRPr="00D42EFF">
              <w:rPr>
                <w:b/>
                <w:bCs/>
                <w:color w:val="000000" w:themeColor="text1"/>
                <w:sz w:val="15"/>
                <w:szCs w:val="15"/>
              </w:rPr>
              <w:t>Infratentorial lesion number</w:t>
            </w:r>
          </w:p>
        </w:tc>
        <w:tc>
          <w:tcPr>
            <w:tcW w:w="1750" w:type="dxa"/>
            <w:shd w:val="clear" w:color="auto" w:fill="F2F2F2"/>
            <w:tcMar>
              <w:top w:w="35" w:type="dxa"/>
              <w:left w:w="60" w:type="dxa"/>
              <w:bottom w:w="35" w:type="dxa"/>
              <w:right w:w="60" w:type="dxa"/>
            </w:tcMar>
          </w:tcPr>
          <w:p w14:paraId="16B0F612" w14:textId="77777777" w:rsidR="0022120C" w:rsidRPr="00D42EFF" w:rsidRDefault="00D42EFF">
            <w:pPr>
              <w:spacing w:line="210" w:lineRule="auto"/>
              <w:rPr>
                <w:color w:val="000000" w:themeColor="text1"/>
              </w:rPr>
            </w:pPr>
            <w:r w:rsidRPr="00D42EFF">
              <w:rPr>
                <w:color w:val="000000" w:themeColor="text1"/>
                <w:sz w:val="15"/>
                <w:szCs w:val="15"/>
              </w:rPr>
              <w:t>Margoni 2026 [27]</w:t>
            </w:r>
          </w:p>
        </w:tc>
        <w:tc>
          <w:tcPr>
            <w:tcW w:w="1700" w:type="dxa"/>
            <w:shd w:val="clear" w:color="auto" w:fill="F2F2F2"/>
            <w:tcMar>
              <w:top w:w="35" w:type="dxa"/>
              <w:left w:w="60" w:type="dxa"/>
              <w:bottom w:w="35" w:type="dxa"/>
              <w:right w:w="60" w:type="dxa"/>
            </w:tcMar>
          </w:tcPr>
          <w:p w14:paraId="1DDCDA32" w14:textId="77777777" w:rsidR="0022120C" w:rsidRPr="00D42EFF" w:rsidRDefault="00D42EFF">
            <w:pPr>
              <w:spacing w:line="210" w:lineRule="auto"/>
              <w:rPr>
                <w:color w:val="000000" w:themeColor="text1"/>
              </w:rPr>
            </w:pPr>
            <w:r w:rsidRPr="00D42EFF">
              <w:rPr>
                <w:color w:val="000000" w:themeColor="text1"/>
                <w:sz w:val="15"/>
                <w:szCs w:val="15"/>
              </w:rPr>
              <w:t>Prospective multicentre; 52 POMS (12.3-year follow-up)</w:t>
            </w:r>
          </w:p>
        </w:tc>
        <w:tc>
          <w:tcPr>
            <w:tcW w:w="1350" w:type="dxa"/>
            <w:shd w:val="clear" w:color="auto" w:fill="F2F2F2"/>
            <w:tcMar>
              <w:top w:w="35" w:type="dxa"/>
              <w:left w:w="60" w:type="dxa"/>
              <w:bottom w:w="35" w:type="dxa"/>
              <w:right w:w="60" w:type="dxa"/>
            </w:tcMar>
          </w:tcPr>
          <w:p w14:paraId="3CAB78D8"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1947D7A7" w14:textId="77777777" w:rsidR="0022120C" w:rsidRPr="00D42EFF" w:rsidRDefault="00D42EFF">
            <w:pPr>
              <w:spacing w:line="210" w:lineRule="auto"/>
              <w:rPr>
                <w:color w:val="000000" w:themeColor="text1"/>
              </w:rPr>
            </w:pPr>
            <w:r w:rsidRPr="00D42EFF">
              <w:rPr>
                <w:color w:val="000000" w:themeColor="text1"/>
                <w:sz w:val="15"/>
                <w:szCs w:val="15"/>
              </w:rPr>
              <w:t>Time to first relapse</w:t>
            </w:r>
          </w:p>
        </w:tc>
        <w:tc>
          <w:tcPr>
            <w:tcW w:w="3450" w:type="dxa"/>
            <w:shd w:val="clear" w:color="auto" w:fill="F2F2F2"/>
            <w:tcMar>
              <w:top w:w="35" w:type="dxa"/>
              <w:left w:w="60" w:type="dxa"/>
              <w:bottom w:w="35" w:type="dxa"/>
              <w:right w:w="60" w:type="dxa"/>
            </w:tcMar>
          </w:tcPr>
          <w:p w14:paraId="7428EBB2" w14:textId="77777777" w:rsidR="0022120C" w:rsidRPr="00D42EFF" w:rsidRDefault="00D42EFF">
            <w:pPr>
              <w:spacing w:line="210" w:lineRule="auto"/>
              <w:rPr>
                <w:color w:val="000000" w:themeColor="text1"/>
              </w:rPr>
            </w:pPr>
            <w:r w:rsidRPr="00D42EFF">
              <w:rPr>
                <w:color w:val="000000" w:themeColor="text1"/>
                <w:sz w:val="15"/>
                <w:szCs w:val="15"/>
              </w:rPr>
              <w:t>HR 1.09, p = 0.016</w:t>
            </w:r>
          </w:p>
        </w:tc>
        <w:tc>
          <w:tcPr>
            <w:tcW w:w="1200" w:type="dxa"/>
            <w:shd w:val="clear" w:color="auto" w:fill="FFE699"/>
            <w:tcMar>
              <w:top w:w="35" w:type="dxa"/>
              <w:left w:w="60" w:type="dxa"/>
              <w:bottom w:w="35" w:type="dxa"/>
              <w:right w:w="60" w:type="dxa"/>
            </w:tcMar>
          </w:tcPr>
          <w:p w14:paraId="60E6F72F"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r w:rsidR="00D42EFF" w:rsidRPr="00D42EFF" w14:paraId="746962A8" w14:textId="77777777">
        <w:tc>
          <w:tcPr>
            <w:tcW w:w="2050" w:type="dxa"/>
            <w:tcMar>
              <w:top w:w="35" w:type="dxa"/>
              <w:left w:w="60" w:type="dxa"/>
              <w:bottom w:w="35" w:type="dxa"/>
              <w:right w:w="60" w:type="dxa"/>
            </w:tcMar>
          </w:tcPr>
          <w:p w14:paraId="4BBA7A3A" w14:textId="77777777" w:rsidR="0022120C" w:rsidRPr="00D42EFF" w:rsidRDefault="00D42EFF">
            <w:pPr>
              <w:spacing w:line="210" w:lineRule="auto"/>
              <w:rPr>
                <w:color w:val="000000" w:themeColor="text1"/>
              </w:rPr>
            </w:pPr>
            <w:r w:rsidRPr="00D42EFF">
              <w:rPr>
                <w:b/>
                <w:bCs/>
                <w:color w:val="000000" w:themeColor="text1"/>
                <w:sz w:val="15"/>
                <w:szCs w:val="15"/>
              </w:rPr>
              <w:t>Spinal cord lesion</w:t>
            </w:r>
            <w:r w:rsidRPr="00D42EFF">
              <w:rPr>
                <w:b/>
                <w:bCs/>
                <w:color w:val="000000" w:themeColor="text1"/>
                <w:sz w:val="15"/>
                <w:szCs w:val="15"/>
              </w:rPr>
              <w:t xml:space="preserve"> presence</w:t>
            </w:r>
          </w:p>
        </w:tc>
        <w:tc>
          <w:tcPr>
            <w:tcW w:w="1750" w:type="dxa"/>
            <w:tcMar>
              <w:top w:w="35" w:type="dxa"/>
              <w:left w:w="60" w:type="dxa"/>
              <w:bottom w:w="35" w:type="dxa"/>
              <w:right w:w="60" w:type="dxa"/>
            </w:tcMar>
          </w:tcPr>
          <w:p w14:paraId="4BEFD8DD" w14:textId="77777777" w:rsidR="0022120C" w:rsidRPr="00D42EFF" w:rsidRDefault="00D42EFF">
            <w:pPr>
              <w:spacing w:line="210" w:lineRule="auto"/>
              <w:rPr>
                <w:color w:val="000000" w:themeColor="text1"/>
              </w:rPr>
            </w:pPr>
            <w:r w:rsidRPr="00D42EFF">
              <w:rPr>
                <w:color w:val="000000" w:themeColor="text1"/>
                <w:sz w:val="15"/>
                <w:szCs w:val="15"/>
              </w:rPr>
              <w:t>Margoni 2026 [27]</w:t>
            </w:r>
          </w:p>
        </w:tc>
        <w:tc>
          <w:tcPr>
            <w:tcW w:w="1700" w:type="dxa"/>
            <w:tcMar>
              <w:top w:w="35" w:type="dxa"/>
              <w:left w:w="60" w:type="dxa"/>
              <w:bottom w:w="35" w:type="dxa"/>
              <w:right w:w="60" w:type="dxa"/>
            </w:tcMar>
          </w:tcPr>
          <w:p w14:paraId="4B5F6F4D" w14:textId="77777777" w:rsidR="0022120C" w:rsidRPr="00D42EFF" w:rsidRDefault="00D42EFF">
            <w:pPr>
              <w:spacing w:line="210" w:lineRule="auto"/>
              <w:rPr>
                <w:color w:val="000000" w:themeColor="text1"/>
              </w:rPr>
            </w:pPr>
            <w:r w:rsidRPr="00D42EFF">
              <w:rPr>
                <w:color w:val="000000" w:themeColor="text1"/>
                <w:sz w:val="15"/>
                <w:szCs w:val="15"/>
              </w:rPr>
              <w:t>Prospective multicentre; 52 POMS</w:t>
            </w:r>
          </w:p>
        </w:tc>
        <w:tc>
          <w:tcPr>
            <w:tcW w:w="1350" w:type="dxa"/>
            <w:tcMar>
              <w:top w:w="35" w:type="dxa"/>
              <w:left w:w="60" w:type="dxa"/>
              <w:bottom w:w="35" w:type="dxa"/>
              <w:right w:w="60" w:type="dxa"/>
            </w:tcMar>
          </w:tcPr>
          <w:p w14:paraId="273DAEB9"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0464A935" w14:textId="77777777" w:rsidR="0022120C" w:rsidRPr="00D42EFF" w:rsidRDefault="00D42EFF">
            <w:pPr>
              <w:spacing w:line="210" w:lineRule="auto"/>
              <w:rPr>
                <w:color w:val="000000" w:themeColor="text1"/>
              </w:rPr>
            </w:pPr>
            <w:r w:rsidRPr="00D42EFF">
              <w:rPr>
                <w:color w:val="000000" w:themeColor="text1"/>
                <w:sz w:val="15"/>
                <w:szCs w:val="15"/>
              </w:rPr>
              <w:t>Time to first relapse</w:t>
            </w:r>
          </w:p>
        </w:tc>
        <w:tc>
          <w:tcPr>
            <w:tcW w:w="3450" w:type="dxa"/>
            <w:tcMar>
              <w:top w:w="35" w:type="dxa"/>
              <w:left w:w="60" w:type="dxa"/>
              <w:bottom w:w="35" w:type="dxa"/>
              <w:right w:w="60" w:type="dxa"/>
            </w:tcMar>
          </w:tcPr>
          <w:p w14:paraId="24BBF9FF" w14:textId="77777777" w:rsidR="0022120C" w:rsidRPr="00D42EFF" w:rsidRDefault="00D42EFF">
            <w:pPr>
              <w:spacing w:line="210" w:lineRule="auto"/>
              <w:rPr>
                <w:color w:val="000000" w:themeColor="text1"/>
              </w:rPr>
            </w:pPr>
            <w:r w:rsidRPr="00D42EFF">
              <w:rPr>
                <w:color w:val="000000" w:themeColor="text1"/>
                <w:sz w:val="15"/>
                <w:szCs w:val="15"/>
              </w:rPr>
              <w:t>HR 2.45, p = 0.017</w:t>
            </w:r>
          </w:p>
        </w:tc>
        <w:tc>
          <w:tcPr>
            <w:tcW w:w="1200" w:type="dxa"/>
            <w:shd w:val="clear" w:color="auto" w:fill="FFE699"/>
            <w:tcMar>
              <w:top w:w="35" w:type="dxa"/>
              <w:left w:w="60" w:type="dxa"/>
              <w:bottom w:w="35" w:type="dxa"/>
              <w:right w:w="60" w:type="dxa"/>
            </w:tcMar>
          </w:tcPr>
          <w:p w14:paraId="5A7277C3"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r w:rsidR="00D42EFF" w:rsidRPr="00D42EFF" w14:paraId="3DC66D97" w14:textId="77777777">
        <w:tc>
          <w:tcPr>
            <w:tcW w:w="2050" w:type="dxa"/>
            <w:shd w:val="clear" w:color="auto" w:fill="F2F2F2"/>
            <w:tcMar>
              <w:top w:w="35" w:type="dxa"/>
              <w:left w:w="60" w:type="dxa"/>
              <w:bottom w:w="35" w:type="dxa"/>
              <w:right w:w="60" w:type="dxa"/>
            </w:tcMar>
          </w:tcPr>
          <w:p w14:paraId="09FAB9AD" w14:textId="77777777" w:rsidR="0022120C" w:rsidRPr="00D42EFF" w:rsidRDefault="00D42EFF">
            <w:pPr>
              <w:spacing w:line="210" w:lineRule="auto"/>
              <w:rPr>
                <w:color w:val="000000" w:themeColor="text1"/>
              </w:rPr>
            </w:pPr>
            <w:r w:rsidRPr="00D42EFF">
              <w:rPr>
                <w:b/>
                <w:bCs/>
                <w:color w:val="000000" w:themeColor="text1"/>
                <w:sz w:val="15"/>
                <w:szCs w:val="15"/>
              </w:rPr>
              <w:t>Thalamic volume (lower)</w:t>
            </w:r>
          </w:p>
        </w:tc>
        <w:tc>
          <w:tcPr>
            <w:tcW w:w="1750" w:type="dxa"/>
            <w:shd w:val="clear" w:color="auto" w:fill="F2F2F2"/>
            <w:tcMar>
              <w:top w:w="35" w:type="dxa"/>
              <w:left w:w="60" w:type="dxa"/>
              <w:bottom w:w="35" w:type="dxa"/>
              <w:right w:w="60" w:type="dxa"/>
            </w:tcMar>
          </w:tcPr>
          <w:p w14:paraId="72B1D206" w14:textId="77777777" w:rsidR="0022120C" w:rsidRPr="00D42EFF" w:rsidRDefault="00D42EFF">
            <w:pPr>
              <w:spacing w:line="210" w:lineRule="auto"/>
              <w:rPr>
                <w:color w:val="000000" w:themeColor="text1"/>
              </w:rPr>
            </w:pPr>
            <w:r w:rsidRPr="00D42EFF">
              <w:rPr>
                <w:color w:val="000000" w:themeColor="text1"/>
                <w:sz w:val="15"/>
                <w:szCs w:val="15"/>
              </w:rPr>
              <w:t>Margoni 2026 [27]</w:t>
            </w:r>
          </w:p>
        </w:tc>
        <w:tc>
          <w:tcPr>
            <w:tcW w:w="1700" w:type="dxa"/>
            <w:shd w:val="clear" w:color="auto" w:fill="F2F2F2"/>
            <w:tcMar>
              <w:top w:w="35" w:type="dxa"/>
              <w:left w:w="60" w:type="dxa"/>
              <w:bottom w:w="35" w:type="dxa"/>
              <w:right w:w="60" w:type="dxa"/>
            </w:tcMar>
          </w:tcPr>
          <w:p w14:paraId="2AD32884" w14:textId="77777777" w:rsidR="0022120C" w:rsidRPr="00D42EFF" w:rsidRDefault="00D42EFF">
            <w:pPr>
              <w:spacing w:line="210" w:lineRule="auto"/>
              <w:rPr>
                <w:color w:val="000000" w:themeColor="text1"/>
              </w:rPr>
            </w:pPr>
            <w:r w:rsidRPr="00D42EFF">
              <w:rPr>
                <w:color w:val="000000" w:themeColor="text1"/>
                <w:sz w:val="15"/>
                <w:szCs w:val="15"/>
              </w:rPr>
              <w:t>Prospective multicentre; 52 POMS</w:t>
            </w:r>
          </w:p>
        </w:tc>
        <w:tc>
          <w:tcPr>
            <w:tcW w:w="1350" w:type="dxa"/>
            <w:shd w:val="clear" w:color="auto" w:fill="F2F2F2"/>
            <w:tcMar>
              <w:top w:w="35" w:type="dxa"/>
              <w:left w:w="60" w:type="dxa"/>
              <w:bottom w:w="35" w:type="dxa"/>
              <w:right w:w="60" w:type="dxa"/>
            </w:tcMar>
          </w:tcPr>
          <w:p w14:paraId="01C61F02"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28A0350B" w14:textId="77777777" w:rsidR="0022120C" w:rsidRPr="00D42EFF" w:rsidRDefault="00D42EFF">
            <w:pPr>
              <w:spacing w:line="210" w:lineRule="auto"/>
              <w:rPr>
                <w:color w:val="000000" w:themeColor="text1"/>
              </w:rPr>
            </w:pPr>
            <w:r w:rsidRPr="00D42EFF">
              <w:rPr>
                <w:color w:val="000000" w:themeColor="text1"/>
                <w:sz w:val="15"/>
                <w:szCs w:val="15"/>
              </w:rPr>
              <w:t>Time to first relapse</w:t>
            </w:r>
          </w:p>
        </w:tc>
        <w:tc>
          <w:tcPr>
            <w:tcW w:w="3450" w:type="dxa"/>
            <w:shd w:val="clear" w:color="auto" w:fill="F2F2F2"/>
            <w:tcMar>
              <w:top w:w="35" w:type="dxa"/>
              <w:left w:w="60" w:type="dxa"/>
              <w:bottom w:w="35" w:type="dxa"/>
              <w:right w:w="60" w:type="dxa"/>
            </w:tcMar>
          </w:tcPr>
          <w:p w14:paraId="251FAC02" w14:textId="77777777" w:rsidR="0022120C" w:rsidRPr="00D42EFF" w:rsidRDefault="00D42EFF">
            <w:pPr>
              <w:spacing w:line="210" w:lineRule="auto"/>
              <w:rPr>
                <w:color w:val="000000" w:themeColor="text1"/>
              </w:rPr>
            </w:pPr>
            <w:r w:rsidRPr="00D42EFF">
              <w:rPr>
                <w:color w:val="000000" w:themeColor="text1"/>
                <w:sz w:val="15"/>
                <w:szCs w:val="15"/>
              </w:rPr>
              <w:t>HR 0.77, p = 0.046</w:t>
            </w:r>
          </w:p>
        </w:tc>
        <w:tc>
          <w:tcPr>
            <w:tcW w:w="1200" w:type="dxa"/>
            <w:shd w:val="clear" w:color="auto" w:fill="FFE699"/>
            <w:tcMar>
              <w:top w:w="35" w:type="dxa"/>
              <w:left w:w="60" w:type="dxa"/>
              <w:bottom w:w="35" w:type="dxa"/>
              <w:right w:w="60" w:type="dxa"/>
            </w:tcMar>
          </w:tcPr>
          <w:p w14:paraId="4B169E5F"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r w:rsidR="00D42EFF" w:rsidRPr="00D42EFF" w14:paraId="56F42B8F" w14:textId="77777777">
        <w:tc>
          <w:tcPr>
            <w:tcW w:w="2050" w:type="dxa"/>
            <w:tcMar>
              <w:top w:w="35" w:type="dxa"/>
              <w:left w:w="60" w:type="dxa"/>
              <w:bottom w:w="35" w:type="dxa"/>
              <w:right w:w="60" w:type="dxa"/>
            </w:tcMar>
          </w:tcPr>
          <w:p w14:paraId="006713D9" w14:textId="77777777" w:rsidR="0022120C" w:rsidRPr="00D42EFF" w:rsidRDefault="00D42EFF">
            <w:pPr>
              <w:spacing w:line="210" w:lineRule="auto"/>
              <w:rPr>
                <w:color w:val="000000" w:themeColor="text1"/>
              </w:rPr>
            </w:pPr>
            <w:r w:rsidRPr="00D42EFF">
              <w:rPr>
                <w:b/>
                <w:bCs/>
                <w:color w:val="000000" w:themeColor="text1"/>
                <w:sz w:val="15"/>
                <w:szCs w:val="15"/>
              </w:rPr>
              <w:t>White matter</w:t>
            </w:r>
            <w:r w:rsidRPr="00D42EFF">
              <w:rPr>
                <w:b/>
                <w:bCs/>
                <w:color w:val="000000" w:themeColor="text1"/>
                <w:sz w:val="15"/>
                <w:szCs w:val="15"/>
              </w:rPr>
              <w:t xml:space="preserve"> lesion volume</w:t>
            </w:r>
          </w:p>
        </w:tc>
        <w:tc>
          <w:tcPr>
            <w:tcW w:w="1750" w:type="dxa"/>
            <w:tcMar>
              <w:top w:w="35" w:type="dxa"/>
              <w:left w:w="60" w:type="dxa"/>
              <w:bottom w:w="35" w:type="dxa"/>
              <w:right w:w="60" w:type="dxa"/>
            </w:tcMar>
          </w:tcPr>
          <w:p w14:paraId="0D712515" w14:textId="77777777" w:rsidR="0022120C" w:rsidRPr="00D42EFF" w:rsidRDefault="00D42EFF">
            <w:pPr>
              <w:spacing w:line="210" w:lineRule="auto"/>
              <w:rPr>
                <w:color w:val="000000" w:themeColor="text1"/>
              </w:rPr>
            </w:pPr>
            <w:r w:rsidRPr="00D42EFF">
              <w:rPr>
                <w:color w:val="000000" w:themeColor="text1"/>
                <w:sz w:val="15"/>
                <w:szCs w:val="15"/>
              </w:rPr>
              <w:t>Margoni 2026 [27]</w:t>
            </w:r>
          </w:p>
        </w:tc>
        <w:tc>
          <w:tcPr>
            <w:tcW w:w="1700" w:type="dxa"/>
            <w:tcMar>
              <w:top w:w="35" w:type="dxa"/>
              <w:left w:w="60" w:type="dxa"/>
              <w:bottom w:w="35" w:type="dxa"/>
              <w:right w:w="60" w:type="dxa"/>
            </w:tcMar>
          </w:tcPr>
          <w:p w14:paraId="48A8416A" w14:textId="77777777" w:rsidR="0022120C" w:rsidRPr="00D42EFF" w:rsidRDefault="00D42EFF">
            <w:pPr>
              <w:spacing w:line="210" w:lineRule="auto"/>
              <w:rPr>
                <w:color w:val="000000" w:themeColor="text1"/>
              </w:rPr>
            </w:pPr>
            <w:r w:rsidRPr="00D42EFF">
              <w:rPr>
                <w:color w:val="000000" w:themeColor="text1"/>
                <w:sz w:val="15"/>
                <w:szCs w:val="15"/>
              </w:rPr>
              <w:t>Prospective multicentre; 52 POMS</w:t>
            </w:r>
          </w:p>
        </w:tc>
        <w:tc>
          <w:tcPr>
            <w:tcW w:w="1350" w:type="dxa"/>
            <w:tcMar>
              <w:top w:w="35" w:type="dxa"/>
              <w:left w:w="60" w:type="dxa"/>
              <w:bottom w:w="35" w:type="dxa"/>
              <w:right w:w="60" w:type="dxa"/>
            </w:tcMar>
          </w:tcPr>
          <w:p w14:paraId="79E25CD9"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7C10DEF9" w14:textId="77777777" w:rsidR="0022120C" w:rsidRPr="00D42EFF" w:rsidRDefault="00D42EFF">
            <w:pPr>
              <w:spacing w:line="210" w:lineRule="auto"/>
              <w:rPr>
                <w:color w:val="000000" w:themeColor="text1"/>
              </w:rPr>
            </w:pPr>
            <w:r w:rsidRPr="00D42EFF">
              <w:rPr>
                <w:color w:val="000000" w:themeColor="text1"/>
                <w:sz w:val="15"/>
                <w:szCs w:val="15"/>
              </w:rPr>
              <w:t>Recurrent relapse risk</w:t>
            </w:r>
          </w:p>
        </w:tc>
        <w:tc>
          <w:tcPr>
            <w:tcW w:w="3450" w:type="dxa"/>
            <w:tcMar>
              <w:top w:w="35" w:type="dxa"/>
              <w:left w:w="60" w:type="dxa"/>
              <w:bottom w:w="35" w:type="dxa"/>
              <w:right w:w="60" w:type="dxa"/>
            </w:tcMar>
          </w:tcPr>
          <w:p w14:paraId="2E46F743" w14:textId="77777777" w:rsidR="0022120C" w:rsidRPr="00D42EFF" w:rsidRDefault="00D42EFF">
            <w:pPr>
              <w:spacing w:line="210" w:lineRule="auto"/>
              <w:rPr>
                <w:color w:val="000000" w:themeColor="text1"/>
              </w:rPr>
            </w:pPr>
            <w:r w:rsidRPr="00D42EFF">
              <w:rPr>
                <w:color w:val="000000" w:themeColor="text1"/>
                <w:sz w:val="15"/>
                <w:szCs w:val="15"/>
              </w:rPr>
              <w:t>HR 1.04, p = 0.013</w:t>
            </w:r>
          </w:p>
        </w:tc>
        <w:tc>
          <w:tcPr>
            <w:tcW w:w="1200" w:type="dxa"/>
            <w:shd w:val="clear" w:color="auto" w:fill="FFE699"/>
            <w:tcMar>
              <w:top w:w="35" w:type="dxa"/>
              <w:left w:w="60" w:type="dxa"/>
              <w:bottom w:w="35" w:type="dxa"/>
              <w:right w:w="60" w:type="dxa"/>
            </w:tcMar>
          </w:tcPr>
          <w:p w14:paraId="7388821B"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r w:rsidR="00D42EFF" w:rsidRPr="00D42EFF" w14:paraId="7B9B5555" w14:textId="77777777">
        <w:tc>
          <w:tcPr>
            <w:tcW w:w="2050" w:type="dxa"/>
            <w:shd w:val="clear" w:color="auto" w:fill="F2F2F2"/>
            <w:tcMar>
              <w:top w:w="35" w:type="dxa"/>
              <w:left w:w="60" w:type="dxa"/>
              <w:bottom w:w="35" w:type="dxa"/>
              <w:right w:w="60" w:type="dxa"/>
            </w:tcMar>
          </w:tcPr>
          <w:p w14:paraId="70380090" w14:textId="77777777" w:rsidR="0022120C" w:rsidRPr="00D42EFF" w:rsidRDefault="00D42EFF">
            <w:pPr>
              <w:spacing w:line="210" w:lineRule="auto"/>
              <w:rPr>
                <w:color w:val="000000" w:themeColor="text1"/>
              </w:rPr>
            </w:pPr>
            <w:r w:rsidRPr="00D42EFF">
              <w:rPr>
                <w:b/>
                <w:bCs/>
                <w:color w:val="000000" w:themeColor="text1"/>
                <w:sz w:val="15"/>
                <w:szCs w:val="15"/>
              </w:rPr>
              <w:t>NAWM fractional anisotropy (lower)</w:t>
            </w:r>
          </w:p>
        </w:tc>
        <w:tc>
          <w:tcPr>
            <w:tcW w:w="1750" w:type="dxa"/>
            <w:shd w:val="clear" w:color="auto" w:fill="F2F2F2"/>
            <w:tcMar>
              <w:top w:w="35" w:type="dxa"/>
              <w:left w:w="60" w:type="dxa"/>
              <w:bottom w:w="35" w:type="dxa"/>
              <w:right w:w="60" w:type="dxa"/>
            </w:tcMar>
          </w:tcPr>
          <w:p w14:paraId="2F7A7891" w14:textId="77777777" w:rsidR="0022120C" w:rsidRPr="00D42EFF" w:rsidRDefault="00D42EFF">
            <w:pPr>
              <w:spacing w:line="210" w:lineRule="auto"/>
              <w:rPr>
                <w:color w:val="000000" w:themeColor="text1"/>
              </w:rPr>
            </w:pPr>
            <w:r w:rsidRPr="00D42EFF">
              <w:rPr>
                <w:color w:val="000000" w:themeColor="text1"/>
                <w:sz w:val="15"/>
                <w:szCs w:val="15"/>
              </w:rPr>
              <w:t>Margoni 2026 [27]</w:t>
            </w:r>
          </w:p>
        </w:tc>
        <w:tc>
          <w:tcPr>
            <w:tcW w:w="1700" w:type="dxa"/>
            <w:shd w:val="clear" w:color="auto" w:fill="F2F2F2"/>
            <w:tcMar>
              <w:top w:w="35" w:type="dxa"/>
              <w:left w:w="60" w:type="dxa"/>
              <w:bottom w:w="35" w:type="dxa"/>
              <w:right w:w="60" w:type="dxa"/>
            </w:tcMar>
          </w:tcPr>
          <w:p w14:paraId="08702E04" w14:textId="77777777" w:rsidR="0022120C" w:rsidRPr="00D42EFF" w:rsidRDefault="00D42EFF">
            <w:pPr>
              <w:spacing w:line="210" w:lineRule="auto"/>
              <w:rPr>
                <w:color w:val="000000" w:themeColor="text1"/>
              </w:rPr>
            </w:pPr>
            <w:r w:rsidRPr="00D42EFF">
              <w:rPr>
                <w:color w:val="000000" w:themeColor="text1"/>
                <w:sz w:val="15"/>
                <w:szCs w:val="15"/>
              </w:rPr>
              <w:t>Prospective multicentre; 52 POMS</w:t>
            </w:r>
          </w:p>
        </w:tc>
        <w:tc>
          <w:tcPr>
            <w:tcW w:w="1350" w:type="dxa"/>
            <w:shd w:val="clear" w:color="auto" w:fill="F2F2F2"/>
            <w:tcMar>
              <w:top w:w="35" w:type="dxa"/>
              <w:left w:w="60" w:type="dxa"/>
              <w:bottom w:w="35" w:type="dxa"/>
              <w:right w:w="60" w:type="dxa"/>
            </w:tcMar>
          </w:tcPr>
          <w:p w14:paraId="52A2130A"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2EC13A54" w14:textId="77777777" w:rsidR="0022120C" w:rsidRPr="00D42EFF" w:rsidRDefault="00D42EFF">
            <w:pPr>
              <w:spacing w:line="210" w:lineRule="auto"/>
              <w:rPr>
                <w:color w:val="000000" w:themeColor="text1"/>
              </w:rPr>
            </w:pPr>
            <w:r w:rsidRPr="00D42EFF">
              <w:rPr>
                <w:color w:val="000000" w:themeColor="text1"/>
                <w:sz w:val="15"/>
                <w:szCs w:val="15"/>
              </w:rPr>
              <w:t>6-month confirmed disability worsening</w:t>
            </w:r>
            <w:r w:rsidRPr="00D42EFF">
              <w:rPr>
                <w:color w:val="000000" w:themeColor="text1"/>
                <w:sz w:val="15"/>
                <w:szCs w:val="15"/>
              </w:rPr>
              <w:t>; EDSS worsening</w:t>
            </w:r>
          </w:p>
        </w:tc>
        <w:tc>
          <w:tcPr>
            <w:tcW w:w="3450" w:type="dxa"/>
            <w:shd w:val="clear" w:color="auto" w:fill="F2F2F2"/>
            <w:tcMar>
              <w:top w:w="35" w:type="dxa"/>
              <w:left w:w="60" w:type="dxa"/>
              <w:bottom w:w="35" w:type="dxa"/>
              <w:right w:w="60" w:type="dxa"/>
            </w:tcMar>
          </w:tcPr>
          <w:p w14:paraId="45E77E3C" w14:textId="77777777" w:rsidR="0022120C" w:rsidRPr="00D42EFF" w:rsidRDefault="00D42EFF">
            <w:pPr>
              <w:spacing w:line="210" w:lineRule="auto"/>
              <w:rPr>
                <w:color w:val="000000" w:themeColor="text1"/>
              </w:rPr>
            </w:pPr>
            <w:sdt>
              <w:sdtPr>
                <w:rPr>
                  <w:color w:val="000000" w:themeColor="text1"/>
                </w:rPr>
                <w:tag w:val="goog_rdk_12"/>
                <w:id w:val="1548568107"/>
              </w:sdtPr>
              <w:sdtEndPr/>
              <w:sdtContent>
                <w:r w:rsidRPr="00D42EFF">
                  <w:rPr>
                    <w:rFonts w:ascii="Cardo" w:eastAsia="Cardo" w:hAnsi="Cardo" w:cs="Cardo"/>
                    <w:color w:val="000000" w:themeColor="text1"/>
                    <w:sz w:val="15"/>
                    <w:szCs w:val="15"/>
                  </w:rPr>
                  <w:t>Time to 6-month CDW: HR 0.67, p = 0.004. EDSS worsening: β = −0.26, p = 0.029</w:t>
                </w:r>
              </w:sdtContent>
            </w:sdt>
          </w:p>
        </w:tc>
        <w:tc>
          <w:tcPr>
            <w:tcW w:w="1200" w:type="dxa"/>
            <w:shd w:val="clear" w:color="auto" w:fill="FFE699"/>
            <w:tcMar>
              <w:top w:w="35" w:type="dxa"/>
              <w:left w:w="60" w:type="dxa"/>
              <w:bottom w:w="35" w:type="dxa"/>
              <w:right w:w="60" w:type="dxa"/>
            </w:tcMar>
          </w:tcPr>
          <w:p w14:paraId="5CE295D8"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r w:rsidR="00D42EFF" w:rsidRPr="00D42EFF" w14:paraId="4B68C3FA" w14:textId="77777777">
        <w:tc>
          <w:tcPr>
            <w:tcW w:w="2050" w:type="dxa"/>
            <w:tcMar>
              <w:top w:w="35" w:type="dxa"/>
              <w:left w:w="60" w:type="dxa"/>
              <w:bottom w:w="35" w:type="dxa"/>
              <w:right w:w="60" w:type="dxa"/>
            </w:tcMar>
          </w:tcPr>
          <w:p w14:paraId="1125A43B" w14:textId="77777777" w:rsidR="0022120C" w:rsidRPr="00D42EFF" w:rsidRDefault="00D42EFF">
            <w:pPr>
              <w:spacing w:line="210" w:lineRule="auto"/>
              <w:rPr>
                <w:color w:val="000000" w:themeColor="text1"/>
              </w:rPr>
            </w:pPr>
            <w:r w:rsidRPr="00D42EFF">
              <w:rPr>
                <w:b/>
                <w:bCs/>
                <w:color w:val="000000" w:themeColor="text1"/>
                <w:sz w:val="15"/>
                <w:szCs w:val="15"/>
              </w:rPr>
              <w:t>Reduced brain volume at presentation; brain growth failure</w:t>
            </w:r>
          </w:p>
        </w:tc>
        <w:tc>
          <w:tcPr>
            <w:tcW w:w="1750" w:type="dxa"/>
            <w:tcMar>
              <w:top w:w="35" w:type="dxa"/>
              <w:left w:w="60" w:type="dxa"/>
              <w:bottom w:w="35" w:type="dxa"/>
              <w:right w:w="60" w:type="dxa"/>
            </w:tcMar>
          </w:tcPr>
          <w:p w14:paraId="6C1A12C5" w14:textId="77777777" w:rsidR="0022120C" w:rsidRPr="00D42EFF" w:rsidRDefault="00D42EFF">
            <w:pPr>
              <w:spacing w:line="210" w:lineRule="auto"/>
              <w:rPr>
                <w:color w:val="000000" w:themeColor="text1"/>
              </w:rPr>
            </w:pPr>
            <w:r w:rsidRPr="00D42EFF">
              <w:rPr>
                <w:color w:val="000000" w:themeColor="text1"/>
                <w:sz w:val="15"/>
                <w:szCs w:val="15"/>
              </w:rPr>
              <w:t>Bartels 2019 [65]</w:t>
            </w:r>
          </w:p>
        </w:tc>
        <w:tc>
          <w:tcPr>
            <w:tcW w:w="1700" w:type="dxa"/>
            <w:tcMar>
              <w:top w:w="35" w:type="dxa"/>
              <w:left w:w="60" w:type="dxa"/>
              <w:bottom w:w="35" w:type="dxa"/>
              <w:right w:w="60" w:type="dxa"/>
            </w:tcMar>
          </w:tcPr>
          <w:p w14:paraId="3F4EF744" w14:textId="77777777" w:rsidR="0022120C" w:rsidRPr="00D42EFF" w:rsidRDefault="00D42EFF">
            <w:pPr>
              <w:spacing w:line="210" w:lineRule="auto"/>
              <w:rPr>
                <w:color w:val="000000" w:themeColor="text1"/>
              </w:rPr>
            </w:pPr>
            <w:r w:rsidRPr="00D42EFF">
              <w:rPr>
                <w:color w:val="000000" w:themeColor="text1"/>
                <w:sz w:val="15"/>
                <w:szCs w:val="15"/>
              </w:rPr>
              <w:t>Observational; pediatric MS vs controls</w:t>
            </w:r>
          </w:p>
        </w:tc>
        <w:tc>
          <w:tcPr>
            <w:tcW w:w="1350" w:type="dxa"/>
            <w:tcMar>
              <w:top w:w="35" w:type="dxa"/>
              <w:left w:w="60" w:type="dxa"/>
              <w:bottom w:w="35" w:type="dxa"/>
              <w:right w:w="60" w:type="dxa"/>
            </w:tcMar>
          </w:tcPr>
          <w:p w14:paraId="5370D487" w14:textId="77777777" w:rsidR="0022120C" w:rsidRPr="00D42EFF" w:rsidRDefault="00D42EFF">
            <w:pPr>
              <w:spacing w:line="210" w:lineRule="auto"/>
              <w:jc w:val="center"/>
              <w:rPr>
                <w:color w:val="000000" w:themeColor="text1"/>
              </w:rPr>
            </w:pPr>
            <w:r w:rsidRPr="00D42EFF">
              <w:rPr>
                <w:color w:val="000000" w:themeColor="text1"/>
                <w:sz w:val="15"/>
                <w:szCs w:val="15"/>
              </w:rPr>
              <w:t>Prognosis (candidate)</w:t>
            </w:r>
          </w:p>
        </w:tc>
        <w:tc>
          <w:tcPr>
            <w:tcW w:w="1900" w:type="dxa"/>
            <w:tcMar>
              <w:top w:w="35" w:type="dxa"/>
              <w:left w:w="60" w:type="dxa"/>
              <w:bottom w:w="35" w:type="dxa"/>
              <w:right w:w="60" w:type="dxa"/>
            </w:tcMar>
          </w:tcPr>
          <w:p w14:paraId="2A961D4E" w14:textId="77777777" w:rsidR="0022120C" w:rsidRPr="00D42EFF" w:rsidRDefault="00D42EFF">
            <w:pPr>
              <w:spacing w:line="210" w:lineRule="auto"/>
              <w:rPr>
                <w:color w:val="000000" w:themeColor="text1"/>
              </w:rPr>
            </w:pPr>
            <w:r w:rsidRPr="00D42EFF">
              <w:rPr>
                <w:color w:val="000000" w:themeColor="text1"/>
                <w:sz w:val="15"/>
                <w:szCs w:val="15"/>
              </w:rPr>
              <w:t xml:space="preserve">Brain volume </w:t>
            </w:r>
            <w:r w:rsidRPr="00D42EFF">
              <w:rPr>
                <w:color w:val="000000" w:themeColor="text1"/>
                <w:sz w:val="15"/>
                <w:szCs w:val="15"/>
              </w:rPr>
              <w:t>trajectory</w:t>
            </w:r>
          </w:p>
        </w:tc>
        <w:tc>
          <w:tcPr>
            <w:tcW w:w="3450" w:type="dxa"/>
            <w:tcMar>
              <w:top w:w="35" w:type="dxa"/>
              <w:left w:w="60" w:type="dxa"/>
              <w:bottom w:w="35" w:type="dxa"/>
              <w:right w:w="60" w:type="dxa"/>
            </w:tcMar>
          </w:tcPr>
          <w:p w14:paraId="5BEF0024" w14:textId="77777777" w:rsidR="0022120C" w:rsidRPr="00D42EFF" w:rsidRDefault="00D42EFF">
            <w:pPr>
              <w:spacing w:line="210" w:lineRule="auto"/>
              <w:rPr>
                <w:color w:val="000000" w:themeColor="text1"/>
              </w:rPr>
            </w:pPr>
            <w:r w:rsidRPr="00D42EFF">
              <w:rPr>
                <w:color w:val="000000" w:themeColor="text1"/>
                <w:sz w:val="15"/>
                <w:szCs w:val="15"/>
              </w:rPr>
              <w:t>POMS associated with reduced brain volumes at first clinical presentation and subsequent failure of age-expected brain growth</w:t>
            </w:r>
          </w:p>
        </w:tc>
        <w:tc>
          <w:tcPr>
            <w:tcW w:w="1200" w:type="dxa"/>
            <w:shd w:val="clear" w:color="auto" w:fill="FFE699"/>
            <w:tcMar>
              <w:top w:w="35" w:type="dxa"/>
              <w:left w:w="60" w:type="dxa"/>
              <w:bottom w:w="35" w:type="dxa"/>
              <w:right w:w="60" w:type="dxa"/>
            </w:tcMar>
          </w:tcPr>
          <w:p w14:paraId="7AE557DD"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r w:rsidR="00D42EFF" w:rsidRPr="00D42EFF" w14:paraId="7B5C1406" w14:textId="77777777">
        <w:tc>
          <w:tcPr>
            <w:tcW w:w="2050" w:type="dxa"/>
            <w:shd w:val="clear" w:color="auto" w:fill="F2F2F2"/>
            <w:tcMar>
              <w:top w:w="35" w:type="dxa"/>
              <w:left w:w="60" w:type="dxa"/>
              <w:bottom w:w="35" w:type="dxa"/>
              <w:right w:w="60" w:type="dxa"/>
            </w:tcMar>
          </w:tcPr>
          <w:p w14:paraId="0D33300E" w14:textId="77777777" w:rsidR="0022120C" w:rsidRPr="00D42EFF" w:rsidRDefault="00D42EFF">
            <w:pPr>
              <w:spacing w:line="210" w:lineRule="auto"/>
              <w:rPr>
                <w:color w:val="000000" w:themeColor="text1"/>
              </w:rPr>
            </w:pPr>
            <w:r w:rsidRPr="00D42EFF">
              <w:rPr>
                <w:b/>
                <w:bCs/>
                <w:color w:val="000000" w:themeColor="text1"/>
                <w:sz w:val="15"/>
                <w:szCs w:val="15"/>
              </w:rPr>
              <w:t>Grey matter / posterior brain damage; network integrity</w:t>
            </w:r>
          </w:p>
        </w:tc>
        <w:tc>
          <w:tcPr>
            <w:tcW w:w="1750" w:type="dxa"/>
            <w:shd w:val="clear" w:color="auto" w:fill="F2F2F2"/>
            <w:tcMar>
              <w:top w:w="35" w:type="dxa"/>
              <w:left w:w="60" w:type="dxa"/>
              <w:bottom w:w="35" w:type="dxa"/>
              <w:right w:w="60" w:type="dxa"/>
            </w:tcMar>
          </w:tcPr>
          <w:p w14:paraId="7FC74194" w14:textId="77777777" w:rsidR="0022120C" w:rsidRPr="00D42EFF" w:rsidRDefault="00D42EFF">
            <w:pPr>
              <w:spacing w:line="210" w:lineRule="auto"/>
              <w:rPr>
                <w:color w:val="000000" w:themeColor="text1"/>
              </w:rPr>
            </w:pPr>
            <w:r w:rsidRPr="00D42EFF">
              <w:rPr>
                <w:color w:val="000000" w:themeColor="text1"/>
                <w:sz w:val="15"/>
                <w:szCs w:val="15"/>
              </w:rPr>
              <w:t>Rocca 2014 [66]; Fuchs 2019 [67]</w:t>
            </w:r>
          </w:p>
        </w:tc>
        <w:tc>
          <w:tcPr>
            <w:tcW w:w="1700" w:type="dxa"/>
            <w:shd w:val="clear" w:color="auto" w:fill="F2F2F2"/>
            <w:tcMar>
              <w:top w:w="35" w:type="dxa"/>
              <w:left w:w="60" w:type="dxa"/>
              <w:bottom w:w="35" w:type="dxa"/>
              <w:right w:w="60" w:type="dxa"/>
            </w:tcMar>
          </w:tcPr>
          <w:p w14:paraId="1A2BC952" w14:textId="77777777" w:rsidR="0022120C" w:rsidRPr="00D42EFF" w:rsidRDefault="00D42EFF">
            <w:pPr>
              <w:spacing w:line="210" w:lineRule="auto"/>
              <w:rPr>
                <w:color w:val="000000" w:themeColor="text1"/>
              </w:rPr>
            </w:pPr>
            <w:r w:rsidRPr="00D42EFF">
              <w:rPr>
                <w:color w:val="000000" w:themeColor="text1"/>
                <w:sz w:val="15"/>
                <w:szCs w:val="15"/>
              </w:rPr>
              <w:t>Observational</w:t>
            </w:r>
            <w:r w:rsidRPr="00D42EFF">
              <w:rPr>
                <w:color w:val="000000" w:themeColor="text1"/>
                <w:sz w:val="15"/>
                <w:szCs w:val="15"/>
              </w:rPr>
              <w:t>; pediatric and adult MS</w:t>
            </w:r>
          </w:p>
        </w:tc>
        <w:tc>
          <w:tcPr>
            <w:tcW w:w="1350" w:type="dxa"/>
            <w:shd w:val="clear" w:color="auto" w:fill="F2F2F2"/>
            <w:tcMar>
              <w:top w:w="35" w:type="dxa"/>
              <w:left w:w="60" w:type="dxa"/>
              <w:bottom w:w="35" w:type="dxa"/>
              <w:right w:w="60" w:type="dxa"/>
            </w:tcMar>
          </w:tcPr>
          <w:p w14:paraId="1CD720B0" w14:textId="77777777" w:rsidR="0022120C" w:rsidRPr="00D42EFF" w:rsidRDefault="00D42EFF">
            <w:pPr>
              <w:spacing w:line="210" w:lineRule="auto"/>
              <w:jc w:val="center"/>
              <w:rPr>
                <w:color w:val="000000" w:themeColor="text1"/>
              </w:rPr>
            </w:pPr>
            <w:r w:rsidRPr="00D42EFF">
              <w:rPr>
                <w:color w:val="000000" w:themeColor="text1"/>
                <w:sz w:val="15"/>
                <w:szCs w:val="15"/>
              </w:rPr>
              <w:t>Prognosis (candidate)</w:t>
            </w:r>
          </w:p>
        </w:tc>
        <w:tc>
          <w:tcPr>
            <w:tcW w:w="1900" w:type="dxa"/>
            <w:shd w:val="clear" w:color="auto" w:fill="F2F2F2"/>
            <w:tcMar>
              <w:top w:w="35" w:type="dxa"/>
              <w:left w:w="60" w:type="dxa"/>
              <w:bottom w:w="35" w:type="dxa"/>
              <w:right w:w="60" w:type="dxa"/>
            </w:tcMar>
          </w:tcPr>
          <w:p w14:paraId="040DC7DF" w14:textId="77777777" w:rsidR="0022120C" w:rsidRPr="00D42EFF" w:rsidRDefault="00D42EFF">
            <w:pPr>
              <w:spacing w:line="210" w:lineRule="auto"/>
              <w:rPr>
                <w:color w:val="000000" w:themeColor="text1"/>
              </w:rPr>
            </w:pPr>
            <w:r w:rsidRPr="00D42EFF">
              <w:rPr>
                <w:color w:val="000000" w:themeColor="text1"/>
                <w:sz w:val="15"/>
                <w:szCs w:val="15"/>
              </w:rPr>
              <w:t>Cognitive impairment; cognitive reserve</w:t>
            </w:r>
          </w:p>
        </w:tc>
        <w:tc>
          <w:tcPr>
            <w:tcW w:w="3450" w:type="dxa"/>
            <w:shd w:val="clear" w:color="auto" w:fill="F2F2F2"/>
            <w:tcMar>
              <w:top w:w="35" w:type="dxa"/>
              <w:left w:w="60" w:type="dxa"/>
              <w:bottom w:w="35" w:type="dxa"/>
              <w:right w:w="60" w:type="dxa"/>
            </w:tcMar>
          </w:tcPr>
          <w:p w14:paraId="1FB977E0" w14:textId="77777777" w:rsidR="0022120C" w:rsidRPr="00D42EFF" w:rsidRDefault="00D42EFF">
            <w:pPr>
              <w:spacing w:line="210" w:lineRule="auto"/>
              <w:rPr>
                <w:color w:val="000000" w:themeColor="text1"/>
              </w:rPr>
            </w:pPr>
            <w:r w:rsidRPr="00D42EFF">
              <w:rPr>
                <w:color w:val="000000" w:themeColor="text1"/>
                <w:sz w:val="15"/>
                <w:szCs w:val="15"/>
              </w:rPr>
              <w:t>Posterior grey matter damage associated with cognitive impairment in pediatric MS [66]; preserved network functional connectivity underlies cognitive reserve [67]</w:t>
            </w:r>
          </w:p>
        </w:tc>
        <w:tc>
          <w:tcPr>
            <w:tcW w:w="1200" w:type="dxa"/>
            <w:shd w:val="clear" w:color="auto" w:fill="FFE699"/>
            <w:tcMar>
              <w:top w:w="35" w:type="dxa"/>
              <w:left w:w="60" w:type="dxa"/>
              <w:bottom w:w="35" w:type="dxa"/>
              <w:right w:w="60" w:type="dxa"/>
            </w:tcMar>
          </w:tcPr>
          <w:p w14:paraId="29389941"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bl>
    <w:p w14:paraId="167919FA" w14:textId="77777777" w:rsidR="0022120C" w:rsidRPr="00D42EFF" w:rsidRDefault="00D42EFF">
      <w:pPr>
        <w:spacing w:after="160" w:line="220" w:lineRule="auto"/>
        <w:jc w:val="both"/>
        <w:rPr>
          <w:color w:val="000000" w:themeColor="text1"/>
        </w:rPr>
      </w:pPr>
      <w:r w:rsidRPr="00D42EFF">
        <w:rPr>
          <w:i/>
          <w:iCs/>
          <w:color w:val="000000" w:themeColor="text1"/>
          <w:sz w:val="15"/>
          <w:szCs w:val="15"/>
        </w:rPr>
        <w:t xml:space="preserve">ARR, annualised relapse rate; CDW, confirmed disability worsening; CNS, central nervous system; EDSS, Expanded Disability Status Scale; Gd+, gadolinium-enhancing; HR, hazard ratio; NAWM, normal-appearing white matter; OR, odds ratio; POMS, pediatric-onset </w:t>
      </w:r>
      <w:r w:rsidRPr="00D42EFF">
        <w:rPr>
          <w:i/>
          <w:iCs/>
          <w:color w:val="000000" w:themeColor="text1"/>
          <w:sz w:val="15"/>
          <w:szCs w:val="15"/>
        </w:rPr>
        <w:t>multiple sclerosis. Advanced MRI metrics (thalamic volume, NAWM integrity) require pediatric normative reference values and harmonised acquisition protocols before they can be incorporated into a prognostic model.</w:t>
      </w:r>
    </w:p>
    <w:p w14:paraId="3EE63F99" w14:textId="77777777" w:rsidR="0022120C" w:rsidRPr="00D42EFF" w:rsidRDefault="00D42EFF">
      <w:pPr>
        <w:spacing w:before="280" w:after="120"/>
        <w:rPr>
          <w:color w:val="000000" w:themeColor="text1"/>
        </w:rPr>
      </w:pPr>
      <w:r w:rsidRPr="00D42EFF">
        <w:rPr>
          <w:b/>
          <w:bCs/>
          <w:color w:val="000000" w:themeColor="text1"/>
          <w:sz w:val="24"/>
          <w:szCs w:val="24"/>
        </w:rPr>
        <w:t>Table S3. Fluid biomarkers</w:t>
      </w:r>
    </w:p>
    <w:tbl>
      <w:tblPr>
        <w:tblStyle w:val="a1"/>
        <w:tblW w:w="13400" w:type="dxa"/>
        <w:tblInd w:w="0" w:type="dxa"/>
        <w:tblBorders>
          <w:top w:val="single" w:sz="4" w:space="0" w:color="1F3864"/>
          <w:left w:val="nil"/>
          <w:bottom w:val="single" w:sz="4" w:space="0" w:color="1F3864"/>
          <w:right w:val="nil"/>
          <w:insideH w:val="single" w:sz="4" w:space="0" w:color="BFBFBF"/>
          <w:insideV w:val="single" w:sz="4" w:space="0" w:color="E7E7E7"/>
        </w:tblBorders>
        <w:tblLayout w:type="fixed"/>
        <w:tblLook w:val="0000" w:firstRow="0" w:lastRow="0" w:firstColumn="0" w:lastColumn="0" w:noHBand="0" w:noVBand="0"/>
      </w:tblPr>
      <w:tblGrid>
        <w:gridCol w:w="2050"/>
        <w:gridCol w:w="1750"/>
        <w:gridCol w:w="1700"/>
        <w:gridCol w:w="1350"/>
        <w:gridCol w:w="1900"/>
        <w:gridCol w:w="3450"/>
        <w:gridCol w:w="1200"/>
      </w:tblGrid>
      <w:tr w:rsidR="00D42EFF" w:rsidRPr="00D42EFF" w14:paraId="59204A69" w14:textId="77777777">
        <w:trPr>
          <w:tblHeader/>
        </w:trPr>
        <w:tc>
          <w:tcPr>
            <w:tcW w:w="2050" w:type="dxa"/>
            <w:shd w:val="clear" w:color="auto" w:fill="1F3864"/>
            <w:tcMar>
              <w:top w:w="50" w:type="dxa"/>
              <w:left w:w="60" w:type="dxa"/>
              <w:bottom w:w="50" w:type="dxa"/>
              <w:right w:w="60" w:type="dxa"/>
            </w:tcMar>
            <w:vAlign w:val="center"/>
          </w:tcPr>
          <w:p w14:paraId="222297C4" w14:textId="77777777" w:rsidR="0022120C" w:rsidRPr="00D42EFF" w:rsidRDefault="00D42EFF">
            <w:pPr>
              <w:spacing w:line="210" w:lineRule="auto"/>
              <w:jc w:val="center"/>
              <w:rPr>
                <w:color w:val="000000" w:themeColor="text1"/>
              </w:rPr>
            </w:pPr>
            <w:r w:rsidRPr="00D42EFF">
              <w:rPr>
                <w:b/>
                <w:bCs/>
                <w:color w:val="000000" w:themeColor="text1"/>
                <w:sz w:val="16"/>
                <w:szCs w:val="16"/>
              </w:rPr>
              <w:lastRenderedPageBreak/>
              <w:t>Factor</w:t>
            </w:r>
          </w:p>
        </w:tc>
        <w:tc>
          <w:tcPr>
            <w:tcW w:w="1750" w:type="dxa"/>
            <w:shd w:val="clear" w:color="auto" w:fill="1F3864"/>
            <w:tcMar>
              <w:top w:w="50" w:type="dxa"/>
              <w:left w:w="60" w:type="dxa"/>
              <w:bottom w:w="50" w:type="dxa"/>
              <w:right w:w="60" w:type="dxa"/>
            </w:tcMar>
            <w:vAlign w:val="center"/>
          </w:tcPr>
          <w:p w14:paraId="2425031C" w14:textId="77777777" w:rsidR="0022120C" w:rsidRPr="00D42EFF" w:rsidRDefault="00D42EFF">
            <w:pPr>
              <w:spacing w:line="210" w:lineRule="auto"/>
              <w:jc w:val="center"/>
              <w:rPr>
                <w:color w:val="000000" w:themeColor="text1"/>
              </w:rPr>
            </w:pPr>
            <w:r w:rsidRPr="00D42EFF">
              <w:rPr>
                <w:b/>
                <w:bCs/>
                <w:color w:val="000000" w:themeColor="text1"/>
                <w:sz w:val="16"/>
                <w:szCs w:val="16"/>
              </w:rPr>
              <w:t>Study [r</w:t>
            </w:r>
            <w:r w:rsidRPr="00D42EFF">
              <w:rPr>
                <w:b/>
                <w:bCs/>
                <w:color w:val="000000" w:themeColor="text1"/>
                <w:sz w:val="16"/>
                <w:szCs w:val="16"/>
              </w:rPr>
              <w:t>ef]</w:t>
            </w:r>
          </w:p>
        </w:tc>
        <w:tc>
          <w:tcPr>
            <w:tcW w:w="1700" w:type="dxa"/>
            <w:shd w:val="clear" w:color="auto" w:fill="1F3864"/>
            <w:tcMar>
              <w:top w:w="50" w:type="dxa"/>
              <w:left w:w="60" w:type="dxa"/>
              <w:bottom w:w="50" w:type="dxa"/>
              <w:right w:w="60" w:type="dxa"/>
            </w:tcMar>
            <w:vAlign w:val="center"/>
          </w:tcPr>
          <w:p w14:paraId="3AF518E5" w14:textId="77777777" w:rsidR="0022120C" w:rsidRPr="00D42EFF" w:rsidRDefault="00D42EFF">
            <w:pPr>
              <w:spacing w:line="210" w:lineRule="auto"/>
              <w:jc w:val="center"/>
              <w:rPr>
                <w:color w:val="000000" w:themeColor="text1"/>
              </w:rPr>
            </w:pPr>
            <w:r w:rsidRPr="00D42EFF">
              <w:rPr>
                <w:b/>
                <w:bCs/>
                <w:color w:val="000000" w:themeColor="text1"/>
                <w:sz w:val="16"/>
                <w:szCs w:val="16"/>
              </w:rPr>
              <w:t>Design; N</w:t>
            </w:r>
          </w:p>
        </w:tc>
        <w:tc>
          <w:tcPr>
            <w:tcW w:w="1350" w:type="dxa"/>
            <w:shd w:val="clear" w:color="auto" w:fill="1F3864"/>
            <w:tcMar>
              <w:top w:w="50" w:type="dxa"/>
              <w:left w:w="60" w:type="dxa"/>
              <w:bottom w:w="50" w:type="dxa"/>
              <w:right w:w="60" w:type="dxa"/>
            </w:tcMar>
            <w:vAlign w:val="center"/>
          </w:tcPr>
          <w:p w14:paraId="67C8ED38" w14:textId="77777777" w:rsidR="0022120C" w:rsidRPr="00D42EFF" w:rsidRDefault="00D42EFF">
            <w:pPr>
              <w:spacing w:line="210" w:lineRule="auto"/>
              <w:jc w:val="center"/>
              <w:rPr>
                <w:color w:val="000000" w:themeColor="text1"/>
              </w:rPr>
            </w:pPr>
            <w:r w:rsidRPr="00D42EFF">
              <w:rPr>
                <w:b/>
                <w:bCs/>
                <w:color w:val="000000" w:themeColor="text1"/>
                <w:sz w:val="16"/>
                <w:szCs w:val="16"/>
              </w:rPr>
              <w:t>Axis of inference</w:t>
            </w:r>
          </w:p>
        </w:tc>
        <w:tc>
          <w:tcPr>
            <w:tcW w:w="1900" w:type="dxa"/>
            <w:shd w:val="clear" w:color="auto" w:fill="1F3864"/>
            <w:tcMar>
              <w:top w:w="50" w:type="dxa"/>
              <w:left w:w="60" w:type="dxa"/>
              <w:bottom w:w="50" w:type="dxa"/>
              <w:right w:w="60" w:type="dxa"/>
            </w:tcMar>
            <w:vAlign w:val="center"/>
          </w:tcPr>
          <w:p w14:paraId="224169FE" w14:textId="77777777" w:rsidR="0022120C" w:rsidRPr="00D42EFF" w:rsidRDefault="00D42EFF">
            <w:pPr>
              <w:spacing w:line="210" w:lineRule="auto"/>
              <w:jc w:val="center"/>
              <w:rPr>
                <w:color w:val="000000" w:themeColor="text1"/>
              </w:rPr>
            </w:pPr>
            <w:r w:rsidRPr="00D42EFF">
              <w:rPr>
                <w:b/>
                <w:bCs/>
                <w:color w:val="000000" w:themeColor="text1"/>
                <w:sz w:val="16"/>
                <w:szCs w:val="16"/>
              </w:rPr>
              <w:t>Outcome predicted</w:t>
            </w:r>
          </w:p>
        </w:tc>
        <w:tc>
          <w:tcPr>
            <w:tcW w:w="3450" w:type="dxa"/>
            <w:shd w:val="clear" w:color="auto" w:fill="1F3864"/>
            <w:tcMar>
              <w:top w:w="50" w:type="dxa"/>
              <w:left w:w="60" w:type="dxa"/>
              <w:bottom w:w="50" w:type="dxa"/>
              <w:right w:w="60" w:type="dxa"/>
            </w:tcMar>
            <w:vAlign w:val="center"/>
          </w:tcPr>
          <w:p w14:paraId="428BF749" w14:textId="77777777" w:rsidR="0022120C" w:rsidRPr="00D42EFF" w:rsidRDefault="00D42EFF">
            <w:pPr>
              <w:spacing w:line="210" w:lineRule="auto"/>
              <w:jc w:val="center"/>
              <w:rPr>
                <w:color w:val="000000" w:themeColor="text1"/>
              </w:rPr>
            </w:pPr>
            <w:r w:rsidRPr="00D42EFF">
              <w:rPr>
                <w:b/>
                <w:bCs/>
                <w:color w:val="000000" w:themeColor="text1"/>
                <w:sz w:val="16"/>
                <w:szCs w:val="16"/>
              </w:rPr>
              <w:t>Effect estimate</w:t>
            </w:r>
          </w:p>
        </w:tc>
        <w:tc>
          <w:tcPr>
            <w:tcW w:w="1200" w:type="dxa"/>
            <w:shd w:val="clear" w:color="auto" w:fill="1F3864"/>
            <w:tcMar>
              <w:top w:w="50" w:type="dxa"/>
              <w:left w:w="60" w:type="dxa"/>
              <w:bottom w:w="50" w:type="dxa"/>
              <w:right w:w="60" w:type="dxa"/>
            </w:tcMar>
            <w:vAlign w:val="center"/>
          </w:tcPr>
          <w:p w14:paraId="0E9A8656" w14:textId="77777777" w:rsidR="0022120C" w:rsidRPr="00D42EFF" w:rsidRDefault="00D42EFF">
            <w:pPr>
              <w:spacing w:line="210" w:lineRule="auto"/>
              <w:jc w:val="center"/>
              <w:rPr>
                <w:color w:val="000000" w:themeColor="text1"/>
              </w:rPr>
            </w:pPr>
            <w:r w:rsidRPr="00D42EFF">
              <w:rPr>
                <w:b/>
                <w:bCs/>
                <w:color w:val="000000" w:themeColor="text1"/>
                <w:sz w:val="16"/>
                <w:szCs w:val="16"/>
              </w:rPr>
              <w:t>Evidence tier</w:t>
            </w:r>
          </w:p>
        </w:tc>
      </w:tr>
      <w:tr w:rsidR="00D42EFF" w:rsidRPr="00D42EFF" w14:paraId="1CE054BA" w14:textId="77777777">
        <w:tc>
          <w:tcPr>
            <w:tcW w:w="2050" w:type="dxa"/>
            <w:tcMar>
              <w:top w:w="35" w:type="dxa"/>
              <w:left w:w="60" w:type="dxa"/>
              <w:bottom w:w="35" w:type="dxa"/>
              <w:right w:w="60" w:type="dxa"/>
            </w:tcMar>
          </w:tcPr>
          <w:p w14:paraId="46D38EB0" w14:textId="77777777" w:rsidR="0022120C" w:rsidRPr="00D42EFF" w:rsidRDefault="00D42EFF">
            <w:pPr>
              <w:spacing w:line="210" w:lineRule="auto"/>
              <w:rPr>
                <w:color w:val="000000" w:themeColor="text1"/>
              </w:rPr>
            </w:pPr>
            <w:r w:rsidRPr="00D42EFF">
              <w:rPr>
                <w:b/>
                <w:bCs/>
                <w:color w:val="000000" w:themeColor="text1"/>
                <w:sz w:val="15"/>
                <w:szCs w:val="15"/>
              </w:rPr>
              <w:t>Serum NfL — lesion burden and disease activity</w:t>
            </w:r>
          </w:p>
        </w:tc>
        <w:tc>
          <w:tcPr>
            <w:tcW w:w="1750" w:type="dxa"/>
            <w:tcMar>
              <w:top w:w="35" w:type="dxa"/>
              <w:left w:w="60" w:type="dxa"/>
              <w:bottom w:w="35" w:type="dxa"/>
              <w:right w:w="60" w:type="dxa"/>
            </w:tcMar>
          </w:tcPr>
          <w:p w14:paraId="3D15C909" w14:textId="77777777" w:rsidR="0022120C" w:rsidRPr="00D42EFF" w:rsidRDefault="00D42EFF">
            <w:pPr>
              <w:spacing w:line="210" w:lineRule="auto"/>
              <w:rPr>
                <w:color w:val="000000" w:themeColor="text1"/>
              </w:rPr>
            </w:pPr>
            <w:r w:rsidRPr="00D42EFF">
              <w:rPr>
                <w:color w:val="000000" w:themeColor="text1"/>
                <w:sz w:val="15"/>
                <w:szCs w:val="15"/>
              </w:rPr>
              <w:t>Reinert 2020 [29]</w:t>
            </w:r>
          </w:p>
        </w:tc>
        <w:tc>
          <w:tcPr>
            <w:tcW w:w="1700" w:type="dxa"/>
            <w:tcMar>
              <w:top w:w="35" w:type="dxa"/>
              <w:left w:w="60" w:type="dxa"/>
              <w:bottom w:w="35" w:type="dxa"/>
              <w:right w:w="60" w:type="dxa"/>
            </w:tcMar>
          </w:tcPr>
          <w:p w14:paraId="07CE229C" w14:textId="77777777" w:rsidR="0022120C" w:rsidRPr="00D42EFF" w:rsidRDefault="00D42EFF">
            <w:pPr>
              <w:spacing w:line="210" w:lineRule="auto"/>
              <w:rPr>
                <w:color w:val="000000" w:themeColor="text1"/>
              </w:rPr>
            </w:pPr>
            <w:r w:rsidRPr="00D42EFF">
              <w:rPr>
                <w:color w:val="000000" w:themeColor="text1"/>
                <w:sz w:val="15"/>
                <w:szCs w:val="15"/>
              </w:rPr>
              <w:t>Retrospective cohort; 55 POMS</w:t>
            </w:r>
          </w:p>
        </w:tc>
        <w:tc>
          <w:tcPr>
            <w:tcW w:w="1350" w:type="dxa"/>
            <w:tcMar>
              <w:top w:w="35" w:type="dxa"/>
              <w:left w:w="60" w:type="dxa"/>
              <w:bottom w:w="35" w:type="dxa"/>
              <w:right w:w="60" w:type="dxa"/>
            </w:tcMar>
          </w:tcPr>
          <w:p w14:paraId="0A1260F7"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7E1E903C" w14:textId="77777777" w:rsidR="0022120C" w:rsidRPr="00D42EFF" w:rsidRDefault="00D42EFF">
            <w:pPr>
              <w:spacing w:line="210" w:lineRule="auto"/>
              <w:rPr>
                <w:color w:val="000000" w:themeColor="text1"/>
              </w:rPr>
            </w:pPr>
            <w:r w:rsidRPr="00D42EFF">
              <w:rPr>
                <w:color w:val="000000" w:themeColor="text1"/>
                <w:sz w:val="15"/>
                <w:szCs w:val="15"/>
              </w:rPr>
              <w:t>MRI lesion burden; relapse frequency; recent activity</w:t>
            </w:r>
          </w:p>
        </w:tc>
        <w:tc>
          <w:tcPr>
            <w:tcW w:w="3450" w:type="dxa"/>
            <w:tcMar>
              <w:top w:w="35" w:type="dxa"/>
              <w:left w:w="60" w:type="dxa"/>
              <w:bottom w:w="35" w:type="dxa"/>
              <w:right w:w="60" w:type="dxa"/>
            </w:tcMar>
          </w:tcPr>
          <w:p w14:paraId="759049F3" w14:textId="77777777" w:rsidR="0022120C" w:rsidRPr="00D42EFF" w:rsidRDefault="00D42EFF">
            <w:pPr>
              <w:spacing w:line="210" w:lineRule="auto"/>
              <w:rPr>
                <w:color w:val="000000" w:themeColor="text1"/>
              </w:rPr>
            </w:pPr>
            <w:r w:rsidRPr="00D42EFF">
              <w:rPr>
                <w:color w:val="000000" w:themeColor="text1"/>
                <w:sz w:val="15"/>
                <w:szCs w:val="15"/>
              </w:rPr>
              <w:t>Cerebral lesion</w:t>
            </w:r>
            <w:r w:rsidRPr="00D42EFF">
              <w:rPr>
                <w:color w:val="000000" w:themeColor="text1"/>
                <w:sz w:val="15"/>
                <w:szCs w:val="15"/>
              </w:rPr>
              <w:t xml:space="preserve"> load &gt; 10 lesions: positive association, p &lt; 0.001. Spinal cord lesions: p &lt; 0.05. Number of relapses: p &lt; 0.05. Untreated MS vs controls: median 19.0 vs 4.6 pg/mL, p &lt; 0.001. Recent relapse (&lt; 90 days): +51.1%, p &lt; 0.001. Per contrast-enhancing lesion: +</w:t>
            </w:r>
            <w:r w:rsidRPr="00D42EFF">
              <w:rPr>
                <w:color w:val="000000" w:themeColor="text1"/>
                <w:sz w:val="15"/>
                <w:szCs w:val="15"/>
              </w:rPr>
              <w:t>9.1%, p &lt; 0.001</w:t>
            </w:r>
          </w:p>
        </w:tc>
        <w:tc>
          <w:tcPr>
            <w:tcW w:w="1200" w:type="dxa"/>
            <w:shd w:val="clear" w:color="auto" w:fill="C6E0B4"/>
            <w:tcMar>
              <w:top w:w="35" w:type="dxa"/>
              <w:left w:w="60" w:type="dxa"/>
              <w:bottom w:w="35" w:type="dxa"/>
              <w:right w:w="60" w:type="dxa"/>
            </w:tcMar>
          </w:tcPr>
          <w:p w14:paraId="3B71EEBB"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66D4F375" w14:textId="77777777">
        <w:tc>
          <w:tcPr>
            <w:tcW w:w="2050" w:type="dxa"/>
            <w:shd w:val="clear" w:color="auto" w:fill="F2F2F2"/>
            <w:tcMar>
              <w:top w:w="35" w:type="dxa"/>
              <w:left w:w="60" w:type="dxa"/>
              <w:bottom w:w="35" w:type="dxa"/>
              <w:right w:w="60" w:type="dxa"/>
            </w:tcMar>
          </w:tcPr>
          <w:p w14:paraId="651F2069" w14:textId="77777777" w:rsidR="0022120C" w:rsidRPr="00D42EFF" w:rsidRDefault="00D42EFF">
            <w:pPr>
              <w:spacing w:line="210" w:lineRule="auto"/>
              <w:rPr>
                <w:color w:val="000000" w:themeColor="text1"/>
              </w:rPr>
            </w:pPr>
            <w:r w:rsidRPr="00D42EFF">
              <w:rPr>
                <w:b/>
                <w:bCs/>
                <w:color w:val="000000" w:themeColor="text1"/>
                <w:sz w:val="15"/>
                <w:szCs w:val="15"/>
              </w:rPr>
              <w:t>Serum NfL — treatment escalation</w:t>
            </w:r>
          </w:p>
        </w:tc>
        <w:tc>
          <w:tcPr>
            <w:tcW w:w="1750" w:type="dxa"/>
            <w:shd w:val="clear" w:color="auto" w:fill="F2F2F2"/>
            <w:tcMar>
              <w:top w:w="35" w:type="dxa"/>
              <w:left w:w="60" w:type="dxa"/>
              <w:bottom w:w="35" w:type="dxa"/>
              <w:right w:w="60" w:type="dxa"/>
            </w:tcMar>
          </w:tcPr>
          <w:p w14:paraId="762B48DD" w14:textId="77777777" w:rsidR="0022120C" w:rsidRPr="00D42EFF" w:rsidRDefault="00D42EFF">
            <w:pPr>
              <w:spacing w:line="210" w:lineRule="auto"/>
              <w:rPr>
                <w:color w:val="000000" w:themeColor="text1"/>
              </w:rPr>
            </w:pPr>
            <w:r w:rsidRPr="00D42EFF">
              <w:rPr>
                <w:color w:val="000000" w:themeColor="text1"/>
                <w:sz w:val="15"/>
                <w:szCs w:val="15"/>
              </w:rPr>
              <w:t>Reinert 2020 [29]</w:t>
            </w:r>
          </w:p>
        </w:tc>
        <w:tc>
          <w:tcPr>
            <w:tcW w:w="1700" w:type="dxa"/>
            <w:shd w:val="clear" w:color="auto" w:fill="F2F2F2"/>
            <w:tcMar>
              <w:top w:w="35" w:type="dxa"/>
              <w:left w:w="60" w:type="dxa"/>
              <w:bottom w:w="35" w:type="dxa"/>
              <w:right w:w="60" w:type="dxa"/>
            </w:tcMar>
          </w:tcPr>
          <w:p w14:paraId="759735A0" w14:textId="77777777" w:rsidR="0022120C" w:rsidRPr="00D42EFF" w:rsidRDefault="00D42EFF">
            <w:pPr>
              <w:spacing w:line="210" w:lineRule="auto"/>
              <w:rPr>
                <w:color w:val="000000" w:themeColor="text1"/>
              </w:rPr>
            </w:pPr>
            <w:r w:rsidRPr="00D42EFF">
              <w:rPr>
                <w:color w:val="000000" w:themeColor="text1"/>
                <w:sz w:val="15"/>
                <w:szCs w:val="15"/>
              </w:rPr>
              <w:t>Retrospective cohort; 55 POMS</w:t>
            </w:r>
          </w:p>
        </w:tc>
        <w:tc>
          <w:tcPr>
            <w:tcW w:w="1350" w:type="dxa"/>
            <w:shd w:val="clear" w:color="auto" w:fill="F2F2F2"/>
            <w:tcMar>
              <w:top w:w="35" w:type="dxa"/>
              <w:left w:w="60" w:type="dxa"/>
              <w:bottom w:w="35" w:type="dxa"/>
              <w:right w:w="60" w:type="dxa"/>
            </w:tcMar>
          </w:tcPr>
          <w:p w14:paraId="44F13855"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750ADC6F" w14:textId="77777777" w:rsidR="0022120C" w:rsidRPr="00D42EFF" w:rsidRDefault="00D42EFF">
            <w:pPr>
              <w:spacing w:line="210" w:lineRule="auto"/>
              <w:rPr>
                <w:color w:val="000000" w:themeColor="text1"/>
              </w:rPr>
            </w:pPr>
            <w:r w:rsidRPr="00D42EFF">
              <w:rPr>
                <w:color w:val="000000" w:themeColor="text1"/>
                <w:sz w:val="15"/>
                <w:szCs w:val="15"/>
              </w:rPr>
              <w:t>Switch to high-efficacy therapy</w:t>
            </w:r>
          </w:p>
        </w:tc>
        <w:tc>
          <w:tcPr>
            <w:tcW w:w="3450" w:type="dxa"/>
            <w:shd w:val="clear" w:color="auto" w:fill="F2F2F2"/>
            <w:tcMar>
              <w:top w:w="35" w:type="dxa"/>
              <w:left w:w="60" w:type="dxa"/>
              <w:bottom w:w="35" w:type="dxa"/>
              <w:right w:w="60" w:type="dxa"/>
            </w:tcMar>
          </w:tcPr>
          <w:p w14:paraId="3CB77A12" w14:textId="77777777" w:rsidR="0022120C" w:rsidRPr="00D42EFF" w:rsidRDefault="00D42EFF">
            <w:pPr>
              <w:spacing w:line="210" w:lineRule="auto"/>
              <w:rPr>
                <w:color w:val="000000" w:themeColor="text1"/>
              </w:rPr>
            </w:pPr>
            <w:r w:rsidRPr="00D42EFF">
              <w:rPr>
                <w:color w:val="000000" w:themeColor="text1"/>
                <w:sz w:val="15"/>
                <w:szCs w:val="15"/>
              </w:rPr>
              <w:t>OR 2.60, p = 0.024</w:t>
            </w:r>
          </w:p>
        </w:tc>
        <w:tc>
          <w:tcPr>
            <w:tcW w:w="1200" w:type="dxa"/>
            <w:shd w:val="clear" w:color="auto" w:fill="C6E0B4"/>
            <w:tcMar>
              <w:top w:w="35" w:type="dxa"/>
              <w:left w:w="60" w:type="dxa"/>
              <w:bottom w:w="35" w:type="dxa"/>
              <w:right w:w="60" w:type="dxa"/>
            </w:tcMar>
          </w:tcPr>
          <w:p w14:paraId="65D2E62B"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1B54938F" w14:textId="77777777">
        <w:tc>
          <w:tcPr>
            <w:tcW w:w="2050" w:type="dxa"/>
            <w:tcMar>
              <w:top w:w="35" w:type="dxa"/>
              <w:left w:w="60" w:type="dxa"/>
              <w:bottom w:w="35" w:type="dxa"/>
              <w:right w:w="60" w:type="dxa"/>
            </w:tcMar>
          </w:tcPr>
          <w:p w14:paraId="128CC8AB" w14:textId="77777777" w:rsidR="0022120C" w:rsidRPr="00D42EFF" w:rsidRDefault="00D42EFF">
            <w:pPr>
              <w:spacing w:line="210" w:lineRule="auto"/>
              <w:rPr>
                <w:color w:val="000000" w:themeColor="text1"/>
              </w:rPr>
            </w:pPr>
            <w:r w:rsidRPr="00D42EFF">
              <w:rPr>
                <w:b/>
                <w:bCs/>
                <w:color w:val="000000" w:themeColor="text1"/>
                <w:sz w:val="15"/>
                <w:szCs w:val="15"/>
              </w:rPr>
              <w:t>Serum NfL — treatment response</w:t>
            </w:r>
          </w:p>
        </w:tc>
        <w:tc>
          <w:tcPr>
            <w:tcW w:w="1750" w:type="dxa"/>
            <w:tcMar>
              <w:top w:w="35" w:type="dxa"/>
              <w:left w:w="60" w:type="dxa"/>
              <w:bottom w:w="35" w:type="dxa"/>
              <w:right w:w="60" w:type="dxa"/>
            </w:tcMar>
          </w:tcPr>
          <w:p w14:paraId="3DFAF095" w14:textId="77777777" w:rsidR="0022120C" w:rsidRPr="00D42EFF" w:rsidRDefault="00D42EFF">
            <w:pPr>
              <w:spacing w:line="210" w:lineRule="auto"/>
              <w:rPr>
                <w:color w:val="000000" w:themeColor="text1"/>
              </w:rPr>
            </w:pPr>
            <w:r w:rsidRPr="00D42EFF">
              <w:rPr>
                <w:color w:val="000000" w:themeColor="text1"/>
                <w:sz w:val="15"/>
                <w:szCs w:val="15"/>
              </w:rPr>
              <w:t>Reinert 2020 [29]</w:t>
            </w:r>
          </w:p>
        </w:tc>
        <w:tc>
          <w:tcPr>
            <w:tcW w:w="1700" w:type="dxa"/>
            <w:tcMar>
              <w:top w:w="35" w:type="dxa"/>
              <w:left w:w="60" w:type="dxa"/>
              <w:bottom w:w="35" w:type="dxa"/>
              <w:right w:w="60" w:type="dxa"/>
            </w:tcMar>
          </w:tcPr>
          <w:p w14:paraId="5EEC6143" w14:textId="77777777" w:rsidR="0022120C" w:rsidRPr="00D42EFF" w:rsidRDefault="00D42EFF">
            <w:pPr>
              <w:spacing w:line="210" w:lineRule="auto"/>
              <w:rPr>
                <w:color w:val="000000" w:themeColor="text1"/>
              </w:rPr>
            </w:pPr>
            <w:r w:rsidRPr="00D42EFF">
              <w:rPr>
                <w:color w:val="000000" w:themeColor="text1"/>
                <w:sz w:val="15"/>
                <w:szCs w:val="15"/>
              </w:rPr>
              <w:t>Retrospective cohort; 55 POMS</w:t>
            </w:r>
          </w:p>
        </w:tc>
        <w:tc>
          <w:tcPr>
            <w:tcW w:w="1350" w:type="dxa"/>
            <w:tcMar>
              <w:top w:w="35" w:type="dxa"/>
              <w:left w:w="60" w:type="dxa"/>
              <w:bottom w:w="35" w:type="dxa"/>
              <w:right w:w="60" w:type="dxa"/>
            </w:tcMar>
          </w:tcPr>
          <w:p w14:paraId="2D5C3F14" w14:textId="77777777" w:rsidR="0022120C" w:rsidRPr="00D42EFF" w:rsidRDefault="00D42EFF">
            <w:pPr>
              <w:spacing w:line="210" w:lineRule="auto"/>
              <w:jc w:val="center"/>
              <w:rPr>
                <w:color w:val="000000" w:themeColor="text1"/>
              </w:rPr>
            </w:pPr>
            <w:r w:rsidRPr="00D42EFF">
              <w:rPr>
                <w:color w:val="000000" w:themeColor="text1"/>
                <w:sz w:val="15"/>
                <w:szCs w:val="15"/>
              </w:rPr>
              <w:t>Prognosis (</w:t>
            </w:r>
            <w:r w:rsidRPr="00D42EFF">
              <w:rPr>
                <w:color w:val="000000" w:themeColor="text1"/>
                <w:sz w:val="15"/>
                <w:szCs w:val="15"/>
              </w:rPr>
              <w:t>dynamic marker)</w:t>
            </w:r>
          </w:p>
        </w:tc>
        <w:tc>
          <w:tcPr>
            <w:tcW w:w="1900" w:type="dxa"/>
            <w:tcMar>
              <w:top w:w="35" w:type="dxa"/>
              <w:left w:w="60" w:type="dxa"/>
              <w:bottom w:w="35" w:type="dxa"/>
              <w:right w:w="60" w:type="dxa"/>
            </w:tcMar>
          </w:tcPr>
          <w:p w14:paraId="46EC9FC8" w14:textId="77777777" w:rsidR="0022120C" w:rsidRPr="00D42EFF" w:rsidRDefault="00D42EFF">
            <w:pPr>
              <w:spacing w:line="210" w:lineRule="auto"/>
              <w:rPr>
                <w:color w:val="000000" w:themeColor="text1"/>
              </w:rPr>
            </w:pPr>
            <w:r w:rsidRPr="00D42EFF">
              <w:rPr>
                <w:color w:val="000000" w:themeColor="text1"/>
                <w:sz w:val="15"/>
                <w:szCs w:val="15"/>
              </w:rPr>
              <w:t>sNfL change on DMT</w:t>
            </w:r>
          </w:p>
        </w:tc>
        <w:tc>
          <w:tcPr>
            <w:tcW w:w="3450" w:type="dxa"/>
            <w:tcMar>
              <w:top w:w="35" w:type="dxa"/>
              <w:left w:w="60" w:type="dxa"/>
              <w:bottom w:w="35" w:type="dxa"/>
              <w:right w:w="60" w:type="dxa"/>
            </w:tcMar>
          </w:tcPr>
          <w:p w14:paraId="7EBA9A5D" w14:textId="77777777" w:rsidR="0022120C" w:rsidRPr="00D42EFF" w:rsidRDefault="00D42EFF">
            <w:pPr>
              <w:spacing w:line="210" w:lineRule="auto"/>
              <w:rPr>
                <w:color w:val="000000" w:themeColor="text1"/>
              </w:rPr>
            </w:pPr>
            <w:sdt>
              <w:sdtPr>
                <w:rPr>
                  <w:color w:val="000000" w:themeColor="text1"/>
                </w:rPr>
                <w:tag w:val="goog_rdk_13"/>
                <w:id w:val="-1881438501"/>
              </w:sdtPr>
              <w:sdtEndPr/>
              <w:sdtContent>
                <w:r w:rsidRPr="00D42EFF">
                  <w:rPr>
                    <w:rFonts w:ascii="Cardo" w:eastAsia="Cardo" w:hAnsi="Cardo" w:cs="Cardo"/>
                    <w:color w:val="000000" w:themeColor="text1"/>
                    <w:sz w:val="15"/>
                    <w:szCs w:val="15"/>
                  </w:rPr>
                  <w:t>Interferon (6 ± 2 months): 14.7 → 7.9 pg/mL, p &lt; 0.001. Fingolimod: 16.5 → 10.0 pg/mL, p &lt; 0.001</w:t>
                </w:r>
              </w:sdtContent>
            </w:sdt>
          </w:p>
        </w:tc>
        <w:tc>
          <w:tcPr>
            <w:tcW w:w="1200" w:type="dxa"/>
            <w:shd w:val="clear" w:color="auto" w:fill="C6E0B4"/>
            <w:tcMar>
              <w:top w:w="35" w:type="dxa"/>
              <w:left w:w="60" w:type="dxa"/>
              <w:bottom w:w="35" w:type="dxa"/>
              <w:right w:w="60" w:type="dxa"/>
            </w:tcMar>
          </w:tcPr>
          <w:p w14:paraId="57C0D267"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0F2CF854" w14:textId="77777777">
        <w:tc>
          <w:tcPr>
            <w:tcW w:w="2050" w:type="dxa"/>
            <w:shd w:val="clear" w:color="auto" w:fill="F2F2F2"/>
            <w:tcMar>
              <w:top w:w="35" w:type="dxa"/>
              <w:left w:w="60" w:type="dxa"/>
              <w:bottom w:w="35" w:type="dxa"/>
              <w:right w:w="60" w:type="dxa"/>
            </w:tcMar>
          </w:tcPr>
          <w:p w14:paraId="16AD9C22" w14:textId="77777777" w:rsidR="0022120C" w:rsidRPr="00D42EFF" w:rsidRDefault="00D42EFF">
            <w:pPr>
              <w:spacing w:line="210" w:lineRule="auto"/>
              <w:rPr>
                <w:color w:val="000000" w:themeColor="text1"/>
              </w:rPr>
            </w:pPr>
            <w:r w:rsidRPr="00D42EFF">
              <w:rPr>
                <w:b/>
                <w:bCs/>
                <w:color w:val="000000" w:themeColor="text1"/>
                <w:sz w:val="15"/>
                <w:szCs w:val="15"/>
              </w:rPr>
              <w:t>Plasma NfL — baseline value</w:t>
            </w:r>
          </w:p>
        </w:tc>
        <w:tc>
          <w:tcPr>
            <w:tcW w:w="1750" w:type="dxa"/>
            <w:shd w:val="clear" w:color="auto" w:fill="F2F2F2"/>
            <w:tcMar>
              <w:top w:w="35" w:type="dxa"/>
              <w:left w:w="60" w:type="dxa"/>
              <w:bottom w:w="35" w:type="dxa"/>
              <w:right w:w="60" w:type="dxa"/>
            </w:tcMar>
          </w:tcPr>
          <w:p w14:paraId="1D4B8D42" w14:textId="77777777" w:rsidR="0022120C" w:rsidRPr="00D42EFF" w:rsidRDefault="00D42EFF">
            <w:pPr>
              <w:spacing w:line="210" w:lineRule="auto"/>
              <w:rPr>
                <w:color w:val="000000" w:themeColor="text1"/>
              </w:rPr>
            </w:pPr>
            <w:r w:rsidRPr="00D42EFF">
              <w:rPr>
                <w:color w:val="000000" w:themeColor="text1"/>
                <w:sz w:val="15"/>
                <w:szCs w:val="15"/>
              </w:rPr>
              <w:t>Kuhle 2023 [31]</w:t>
            </w:r>
          </w:p>
        </w:tc>
        <w:tc>
          <w:tcPr>
            <w:tcW w:w="1700" w:type="dxa"/>
            <w:shd w:val="clear" w:color="auto" w:fill="F2F2F2"/>
            <w:tcMar>
              <w:top w:w="35" w:type="dxa"/>
              <w:left w:w="60" w:type="dxa"/>
              <w:bottom w:w="35" w:type="dxa"/>
              <w:right w:w="60" w:type="dxa"/>
            </w:tcMar>
          </w:tcPr>
          <w:p w14:paraId="7676ECB3" w14:textId="77777777" w:rsidR="0022120C" w:rsidRPr="00D42EFF" w:rsidRDefault="00D42EFF">
            <w:pPr>
              <w:spacing w:line="210" w:lineRule="auto"/>
              <w:rPr>
                <w:color w:val="000000" w:themeColor="text1"/>
              </w:rPr>
            </w:pPr>
            <w:r w:rsidRPr="00D42EFF">
              <w:rPr>
                <w:color w:val="000000" w:themeColor="text1"/>
                <w:sz w:val="15"/>
                <w:szCs w:val="15"/>
              </w:rPr>
              <w:t>Post-hoc analysis of randomised trial (TERIKIDS)</w:t>
            </w:r>
          </w:p>
        </w:tc>
        <w:tc>
          <w:tcPr>
            <w:tcW w:w="1350" w:type="dxa"/>
            <w:shd w:val="clear" w:color="auto" w:fill="F2F2F2"/>
            <w:tcMar>
              <w:top w:w="35" w:type="dxa"/>
              <w:left w:w="60" w:type="dxa"/>
              <w:bottom w:w="35" w:type="dxa"/>
              <w:right w:w="60" w:type="dxa"/>
            </w:tcMar>
          </w:tcPr>
          <w:p w14:paraId="4B63730E"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4141CCCF" w14:textId="77777777" w:rsidR="0022120C" w:rsidRPr="00D42EFF" w:rsidRDefault="00D42EFF">
            <w:pPr>
              <w:spacing w:line="210" w:lineRule="auto"/>
              <w:rPr>
                <w:color w:val="000000" w:themeColor="text1"/>
              </w:rPr>
            </w:pPr>
            <w:r w:rsidRPr="00D42EFF">
              <w:rPr>
                <w:color w:val="000000" w:themeColor="text1"/>
                <w:sz w:val="15"/>
                <w:szCs w:val="15"/>
              </w:rPr>
              <w:t>Subsequent</w:t>
            </w:r>
            <w:r w:rsidRPr="00D42EFF">
              <w:rPr>
                <w:color w:val="000000" w:themeColor="text1"/>
                <w:sz w:val="15"/>
                <w:szCs w:val="15"/>
              </w:rPr>
              <w:t xml:space="preserve"> MRI or clinical activity</w:t>
            </w:r>
          </w:p>
        </w:tc>
        <w:tc>
          <w:tcPr>
            <w:tcW w:w="3450" w:type="dxa"/>
            <w:shd w:val="clear" w:color="auto" w:fill="F2F2F2"/>
            <w:tcMar>
              <w:top w:w="35" w:type="dxa"/>
              <w:left w:w="60" w:type="dxa"/>
              <w:bottom w:w="35" w:type="dxa"/>
              <w:right w:w="60" w:type="dxa"/>
            </w:tcMar>
          </w:tcPr>
          <w:p w14:paraId="145AEA2F" w14:textId="77777777" w:rsidR="0022120C" w:rsidRPr="00D42EFF" w:rsidRDefault="00D42EFF">
            <w:pPr>
              <w:spacing w:line="210" w:lineRule="auto"/>
              <w:rPr>
                <w:color w:val="000000" w:themeColor="text1"/>
              </w:rPr>
            </w:pPr>
            <w:r w:rsidRPr="00D42EFF">
              <w:rPr>
                <w:color w:val="000000" w:themeColor="text1"/>
                <w:sz w:val="15"/>
                <w:szCs w:val="15"/>
              </w:rPr>
              <w:t>Each doubling of baseline NfL associated with a higher hazard of subsequent radiological or clinical activity</w:t>
            </w:r>
          </w:p>
        </w:tc>
        <w:tc>
          <w:tcPr>
            <w:tcW w:w="1200" w:type="dxa"/>
            <w:shd w:val="clear" w:color="auto" w:fill="C6E0B4"/>
            <w:tcMar>
              <w:top w:w="35" w:type="dxa"/>
              <w:left w:w="60" w:type="dxa"/>
              <w:bottom w:w="35" w:type="dxa"/>
              <w:right w:w="60" w:type="dxa"/>
            </w:tcMar>
          </w:tcPr>
          <w:p w14:paraId="7ED6BD66"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520D858E" w14:textId="77777777">
        <w:tc>
          <w:tcPr>
            <w:tcW w:w="2050" w:type="dxa"/>
            <w:tcMar>
              <w:top w:w="35" w:type="dxa"/>
              <w:left w:w="60" w:type="dxa"/>
              <w:bottom w:w="35" w:type="dxa"/>
              <w:right w:w="60" w:type="dxa"/>
            </w:tcMar>
          </w:tcPr>
          <w:p w14:paraId="4B3F752C" w14:textId="77777777" w:rsidR="0022120C" w:rsidRPr="00D42EFF" w:rsidRDefault="00D42EFF">
            <w:pPr>
              <w:spacing w:line="210" w:lineRule="auto"/>
              <w:rPr>
                <w:color w:val="000000" w:themeColor="text1"/>
              </w:rPr>
            </w:pPr>
            <w:r w:rsidRPr="00D42EFF">
              <w:rPr>
                <w:b/>
                <w:bCs/>
                <w:color w:val="000000" w:themeColor="text1"/>
                <w:sz w:val="15"/>
                <w:szCs w:val="15"/>
              </w:rPr>
              <w:t>Serum NfL — proximity to activity events</w:t>
            </w:r>
          </w:p>
        </w:tc>
        <w:tc>
          <w:tcPr>
            <w:tcW w:w="1750" w:type="dxa"/>
            <w:tcMar>
              <w:top w:w="35" w:type="dxa"/>
              <w:left w:w="60" w:type="dxa"/>
              <w:bottom w:w="35" w:type="dxa"/>
              <w:right w:w="60" w:type="dxa"/>
            </w:tcMar>
          </w:tcPr>
          <w:p w14:paraId="5C7EFDD6" w14:textId="77777777" w:rsidR="0022120C" w:rsidRPr="00D42EFF" w:rsidRDefault="00D42EFF">
            <w:pPr>
              <w:spacing w:line="210" w:lineRule="auto"/>
              <w:rPr>
                <w:color w:val="000000" w:themeColor="text1"/>
              </w:rPr>
            </w:pPr>
            <w:r w:rsidRPr="00D42EFF">
              <w:rPr>
                <w:color w:val="000000" w:themeColor="text1"/>
                <w:sz w:val="15"/>
                <w:szCs w:val="15"/>
              </w:rPr>
              <w:t>Ziaei 2023 [30]</w:t>
            </w:r>
          </w:p>
        </w:tc>
        <w:tc>
          <w:tcPr>
            <w:tcW w:w="1700" w:type="dxa"/>
            <w:tcMar>
              <w:top w:w="35" w:type="dxa"/>
              <w:left w:w="60" w:type="dxa"/>
              <w:bottom w:w="35" w:type="dxa"/>
              <w:right w:w="60" w:type="dxa"/>
            </w:tcMar>
          </w:tcPr>
          <w:p w14:paraId="0EDCE751" w14:textId="77777777" w:rsidR="0022120C" w:rsidRPr="00D42EFF" w:rsidRDefault="00D42EFF">
            <w:pPr>
              <w:spacing w:line="210" w:lineRule="auto"/>
              <w:rPr>
                <w:color w:val="000000" w:themeColor="text1"/>
              </w:rPr>
            </w:pPr>
            <w:r w:rsidRPr="00D42EFF">
              <w:rPr>
                <w:color w:val="000000" w:themeColor="text1"/>
                <w:sz w:val="15"/>
                <w:szCs w:val="15"/>
              </w:rPr>
              <w:t>Retrospective; 142 POMS</w:t>
            </w:r>
          </w:p>
        </w:tc>
        <w:tc>
          <w:tcPr>
            <w:tcW w:w="1350" w:type="dxa"/>
            <w:tcMar>
              <w:top w:w="35" w:type="dxa"/>
              <w:left w:w="60" w:type="dxa"/>
              <w:bottom w:w="35" w:type="dxa"/>
              <w:right w:w="60" w:type="dxa"/>
            </w:tcMar>
          </w:tcPr>
          <w:p w14:paraId="4BA2C978"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3F17DF87" w14:textId="77777777" w:rsidR="0022120C" w:rsidRPr="00D42EFF" w:rsidRDefault="00D42EFF">
            <w:pPr>
              <w:spacing w:line="210" w:lineRule="auto"/>
              <w:rPr>
                <w:color w:val="000000" w:themeColor="text1"/>
              </w:rPr>
            </w:pPr>
            <w:r w:rsidRPr="00D42EFF">
              <w:rPr>
                <w:color w:val="000000" w:themeColor="text1"/>
                <w:sz w:val="15"/>
                <w:szCs w:val="15"/>
              </w:rPr>
              <w:t>Clinical / MRI disease</w:t>
            </w:r>
            <w:r w:rsidRPr="00D42EFF">
              <w:rPr>
                <w:color w:val="000000" w:themeColor="text1"/>
                <w:sz w:val="15"/>
                <w:szCs w:val="15"/>
              </w:rPr>
              <w:t xml:space="preserve"> activity</w:t>
            </w:r>
          </w:p>
        </w:tc>
        <w:tc>
          <w:tcPr>
            <w:tcW w:w="3450" w:type="dxa"/>
            <w:tcMar>
              <w:top w:w="35" w:type="dxa"/>
              <w:left w:w="60" w:type="dxa"/>
              <w:bottom w:w="35" w:type="dxa"/>
              <w:right w:w="60" w:type="dxa"/>
            </w:tcMar>
          </w:tcPr>
          <w:p w14:paraId="11E71D34" w14:textId="77777777" w:rsidR="0022120C" w:rsidRPr="00D42EFF" w:rsidRDefault="00D42EFF">
            <w:pPr>
              <w:spacing w:line="210" w:lineRule="auto"/>
              <w:rPr>
                <w:color w:val="000000" w:themeColor="text1"/>
              </w:rPr>
            </w:pPr>
            <w:r w:rsidRPr="00D42EFF">
              <w:rPr>
                <w:color w:val="000000" w:themeColor="text1"/>
                <w:sz w:val="15"/>
                <w:szCs w:val="15"/>
              </w:rPr>
              <w:t>High sNfL levels observed close in time to disease activity events in POMS and MOGAD</w:t>
            </w:r>
          </w:p>
        </w:tc>
        <w:tc>
          <w:tcPr>
            <w:tcW w:w="1200" w:type="dxa"/>
            <w:shd w:val="clear" w:color="auto" w:fill="C6E0B4"/>
            <w:tcMar>
              <w:top w:w="35" w:type="dxa"/>
              <w:left w:w="60" w:type="dxa"/>
              <w:bottom w:w="35" w:type="dxa"/>
              <w:right w:w="60" w:type="dxa"/>
            </w:tcMar>
          </w:tcPr>
          <w:p w14:paraId="6A582197"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3C51D1C8" w14:textId="77777777">
        <w:tc>
          <w:tcPr>
            <w:tcW w:w="2050" w:type="dxa"/>
            <w:shd w:val="clear" w:color="auto" w:fill="F2F2F2"/>
            <w:tcMar>
              <w:top w:w="35" w:type="dxa"/>
              <w:left w:w="60" w:type="dxa"/>
              <w:bottom w:w="35" w:type="dxa"/>
              <w:right w:w="60" w:type="dxa"/>
            </w:tcMar>
          </w:tcPr>
          <w:p w14:paraId="6BC98169" w14:textId="77777777" w:rsidR="0022120C" w:rsidRPr="00D42EFF" w:rsidRDefault="00D42EFF">
            <w:pPr>
              <w:spacing w:line="210" w:lineRule="auto"/>
              <w:rPr>
                <w:color w:val="000000" w:themeColor="text1"/>
              </w:rPr>
            </w:pPr>
            <w:r w:rsidRPr="00D42EFF">
              <w:rPr>
                <w:b/>
                <w:bCs/>
                <w:color w:val="000000" w:themeColor="text1"/>
                <w:sz w:val="15"/>
                <w:szCs w:val="15"/>
              </w:rPr>
              <w:t>Serum NfL — mixed ADS cohorts</w:t>
            </w:r>
          </w:p>
        </w:tc>
        <w:tc>
          <w:tcPr>
            <w:tcW w:w="1750" w:type="dxa"/>
            <w:shd w:val="clear" w:color="auto" w:fill="F2F2F2"/>
            <w:tcMar>
              <w:top w:w="35" w:type="dxa"/>
              <w:left w:w="60" w:type="dxa"/>
              <w:bottom w:w="35" w:type="dxa"/>
              <w:right w:w="60" w:type="dxa"/>
            </w:tcMar>
          </w:tcPr>
          <w:p w14:paraId="2C767768" w14:textId="77777777" w:rsidR="0022120C" w:rsidRPr="00D42EFF" w:rsidRDefault="00D42EFF">
            <w:pPr>
              <w:spacing w:line="210" w:lineRule="auto"/>
              <w:rPr>
                <w:color w:val="000000" w:themeColor="text1"/>
              </w:rPr>
            </w:pPr>
            <w:r w:rsidRPr="00D42EFF">
              <w:rPr>
                <w:color w:val="000000" w:themeColor="text1"/>
                <w:sz w:val="15"/>
                <w:szCs w:val="15"/>
              </w:rPr>
              <w:t>Wendel 2022 [28]</w:t>
            </w:r>
          </w:p>
        </w:tc>
        <w:tc>
          <w:tcPr>
            <w:tcW w:w="1700" w:type="dxa"/>
            <w:shd w:val="clear" w:color="auto" w:fill="F2F2F2"/>
            <w:tcMar>
              <w:top w:w="35" w:type="dxa"/>
              <w:left w:w="60" w:type="dxa"/>
              <w:bottom w:w="35" w:type="dxa"/>
              <w:right w:w="60" w:type="dxa"/>
            </w:tcMar>
          </w:tcPr>
          <w:p w14:paraId="57CF97BD" w14:textId="77777777" w:rsidR="0022120C" w:rsidRPr="00D42EFF" w:rsidRDefault="00D42EFF">
            <w:pPr>
              <w:spacing w:line="210" w:lineRule="auto"/>
              <w:rPr>
                <w:color w:val="000000" w:themeColor="text1"/>
              </w:rPr>
            </w:pPr>
            <w:r w:rsidRPr="00D42EFF">
              <w:rPr>
                <w:color w:val="000000" w:themeColor="text1"/>
                <w:sz w:val="15"/>
                <w:szCs w:val="15"/>
              </w:rPr>
              <w:t>Longitudinal prospective; 129 ADS</w:t>
            </w:r>
          </w:p>
        </w:tc>
        <w:tc>
          <w:tcPr>
            <w:tcW w:w="1350" w:type="dxa"/>
            <w:shd w:val="clear" w:color="auto" w:fill="F2F2F2"/>
            <w:tcMar>
              <w:top w:w="35" w:type="dxa"/>
              <w:left w:w="60" w:type="dxa"/>
              <w:bottom w:w="35" w:type="dxa"/>
              <w:right w:w="60" w:type="dxa"/>
            </w:tcMar>
          </w:tcPr>
          <w:p w14:paraId="51FD0806" w14:textId="77777777" w:rsidR="0022120C" w:rsidRPr="00D42EFF" w:rsidRDefault="00D42EFF">
            <w:pPr>
              <w:spacing w:line="210" w:lineRule="auto"/>
              <w:jc w:val="center"/>
              <w:rPr>
                <w:color w:val="000000" w:themeColor="text1"/>
              </w:rPr>
            </w:pPr>
            <w:r w:rsidRPr="00D42EFF">
              <w:rPr>
                <w:color w:val="000000" w:themeColor="text1"/>
                <w:sz w:val="15"/>
                <w:szCs w:val="15"/>
              </w:rPr>
              <w:t>Prognosis (with caveat)</w:t>
            </w:r>
          </w:p>
        </w:tc>
        <w:tc>
          <w:tcPr>
            <w:tcW w:w="1900" w:type="dxa"/>
            <w:shd w:val="clear" w:color="auto" w:fill="F2F2F2"/>
            <w:tcMar>
              <w:top w:w="35" w:type="dxa"/>
              <w:left w:w="60" w:type="dxa"/>
              <w:bottom w:w="35" w:type="dxa"/>
              <w:right w:w="60" w:type="dxa"/>
            </w:tcMar>
          </w:tcPr>
          <w:p w14:paraId="7329AA44" w14:textId="77777777" w:rsidR="0022120C" w:rsidRPr="00D42EFF" w:rsidRDefault="00D42EFF">
            <w:pPr>
              <w:spacing w:line="210" w:lineRule="auto"/>
              <w:rPr>
                <w:color w:val="000000" w:themeColor="text1"/>
              </w:rPr>
            </w:pPr>
            <w:r w:rsidRPr="00D42EFF">
              <w:rPr>
                <w:color w:val="000000" w:themeColor="text1"/>
                <w:sz w:val="15"/>
                <w:szCs w:val="15"/>
              </w:rPr>
              <w:t>Disease activity across demyelinating phenotypes</w:t>
            </w:r>
          </w:p>
        </w:tc>
        <w:tc>
          <w:tcPr>
            <w:tcW w:w="3450" w:type="dxa"/>
            <w:shd w:val="clear" w:color="auto" w:fill="F2F2F2"/>
            <w:tcMar>
              <w:top w:w="35" w:type="dxa"/>
              <w:left w:w="60" w:type="dxa"/>
              <w:bottom w:w="35" w:type="dxa"/>
              <w:right w:w="60" w:type="dxa"/>
            </w:tcMar>
          </w:tcPr>
          <w:p w14:paraId="2075D59C" w14:textId="77777777" w:rsidR="0022120C" w:rsidRPr="00D42EFF" w:rsidRDefault="00D42EFF">
            <w:pPr>
              <w:spacing w:line="210" w:lineRule="auto"/>
              <w:rPr>
                <w:color w:val="000000" w:themeColor="text1"/>
              </w:rPr>
            </w:pPr>
            <w:r w:rsidRPr="00D42EFF">
              <w:rPr>
                <w:color w:val="000000" w:themeColor="text1"/>
                <w:sz w:val="15"/>
                <w:szCs w:val="15"/>
              </w:rPr>
              <w:t>sNfL</w:t>
            </w:r>
            <w:r w:rsidRPr="00D42EFF">
              <w:rPr>
                <w:color w:val="000000" w:themeColor="text1"/>
                <w:sz w:val="15"/>
                <w:szCs w:val="15"/>
              </w:rPr>
              <w:t xml:space="preserve"> elevated in MS and in monophasic MOGAD; estimates from mixed ADS cohorts may not transfer directly to confirmed POMS</w:t>
            </w:r>
          </w:p>
        </w:tc>
        <w:tc>
          <w:tcPr>
            <w:tcW w:w="1200" w:type="dxa"/>
            <w:shd w:val="clear" w:color="auto" w:fill="FFE699"/>
            <w:tcMar>
              <w:top w:w="35" w:type="dxa"/>
              <w:left w:w="60" w:type="dxa"/>
              <w:bottom w:w="35" w:type="dxa"/>
              <w:right w:w="60" w:type="dxa"/>
            </w:tcMar>
          </w:tcPr>
          <w:p w14:paraId="63909285"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r w:rsidR="00D42EFF" w:rsidRPr="00D42EFF" w14:paraId="5B81D2FF" w14:textId="77777777">
        <w:tc>
          <w:tcPr>
            <w:tcW w:w="2050" w:type="dxa"/>
            <w:tcMar>
              <w:top w:w="35" w:type="dxa"/>
              <w:left w:w="60" w:type="dxa"/>
              <w:bottom w:w="35" w:type="dxa"/>
              <w:right w:w="60" w:type="dxa"/>
            </w:tcMar>
          </w:tcPr>
          <w:p w14:paraId="29E9BADA" w14:textId="77777777" w:rsidR="0022120C" w:rsidRPr="00D42EFF" w:rsidRDefault="00D42EFF">
            <w:pPr>
              <w:spacing w:line="210" w:lineRule="auto"/>
              <w:rPr>
                <w:color w:val="000000" w:themeColor="text1"/>
              </w:rPr>
            </w:pPr>
            <w:r w:rsidRPr="00D42EFF">
              <w:rPr>
                <w:b/>
                <w:bCs/>
                <w:color w:val="000000" w:themeColor="text1"/>
                <w:sz w:val="15"/>
                <w:szCs w:val="15"/>
              </w:rPr>
              <w:t>CSF oligoclonal bands</w:t>
            </w:r>
          </w:p>
        </w:tc>
        <w:tc>
          <w:tcPr>
            <w:tcW w:w="1750" w:type="dxa"/>
            <w:tcMar>
              <w:top w:w="35" w:type="dxa"/>
              <w:left w:w="60" w:type="dxa"/>
              <w:bottom w:w="35" w:type="dxa"/>
              <w:right w:w="60" w:type="dxa"/>
            </w:tcMar>
          </w:tcPr>
          <w:p w14:paraId="06B204D5" w14:textId="77777777" w:rsidR="0022120C" w:rsidRPr="00D42EFF" w:rsidRDefault="00D42EFF">
            <w:pPr>
              <w:spacing w:line="210" w:lineRule="auto"/>
              <w:rPr>
                <w:color w:val="000000" w:themeColor="text1"/>
              </w:rPr>
            </w:pPr>
            <w:r w:rsidRPr="00D42EFF">
              <w:rPr>
                <w:color w:val="000000" w:themeColor="text1"/>
                <w:sz w:val="15"/>
                <w:szCs w:val="15"/>
              </w:rPr>
              <w:t>Mikaeloff 2004 [26]; Banwell 2011 [50]</w:t>
            </w:r>
          </w:p>
        </w:tc>
        <w:tc>
          <w:tcPr>
            <w:tcW w:w="1700" w:type="dxa"/>
            <w:tcMar>
              <w:top w:w="35" w:type="dxa"/>
              <w:left w:w="60" w:type="dxa"/>
              <w:bottom w:w="35" w:type="dxa"/>
              <w:right w:w="60" w:type="dxa"/>
            </w:tcMar>
          </w:tcPr>
          <w:p w14:paraId="7670055D" w14:textId="77777777" w:rsidR="0022120C" w:rsidRPr="00D42EFF" w:rsidRDefault="00D42EFF">
            <w:pPr>
              <w:spacing w:line="210" w:lineRule="auto"/>
              <w:rPr>
                <w:color w:val="000000" w:themeColor="text1"/>
              </w:rPr>
            </w:pPr>
            <w:r w:rsidRPr="00D42EFF">
              <w:rPr>
                <w:color w:val="000000" w:themeColor="text1"/>
                <w:sz w:val="15"/>
                <w:szCs w:val="15"/>
              </w:rPr>
              <w:t>Prospective cohorts; 296 and 332 children with first demyelinating event</w:t>
            </w:r>
          </w:p>
        </w:tc>
        <w:tc>
          <w:tcPr>
            <w:tcW w:w="1350" w:type="dxa"/>
            <w:tcMar>
              <w:top w:w="35" w:type="dxa"/>
              <w:left w:w="60" w:type="dxa"/>
              <w:bottom w:w="35" w:type="dxa"/>
              <w:right w:w="60" w:type="dxa"/>
            </w:tcMar>
          </w:tcPr>
          <w:p w14:paraId="428AC482" w14:textId="77777777" w:rsidR="0022120C" w:rsidRPr="00D42EFF" w:rsidRDefault="00D42EFF">
            <w:pPr>
              <w:spacing w:line="210" w:lineRule="auto"/>
              <w:jc w:val="center"/>
              <w:rPr>
                <w:color w:val="000000" w:themeColor="text1"/>
              </w:rPr>
            </w:pPr>
            <w:r w:rsidRPr="00D42EFF">
              <w:rPr>
                <w:color w:val="000000" w:themeColor="text1"/>
                <w:sz w:val="15"/>
                <w:szCs w:val="15"/>
              </w:rPr>
              <w:t>Conversion</w:t>
            </w:r>
          </w:p>
        </w:tc>
        <w:tc>
          <w:tcPr>
            <w:tcW w:w="1900" w:type="dxa"/>
            <w:tcMar>
              <w:top w:w="35" w:type="dxa"/>
              <w:left w:w="60" w:type="dxa"/>
              <w:bottom w:w="35" w:type="dxa"/>
              <w:right w:w="60" w:type="dxa"/>
            </w:tcMar>
          </w:tcPr>
          <w:p w14:paraId="60A195A7" w14:textId="77777777" w:rsidR="0022120C" w:rsidRPr="00D42EFF" w:rsidRDefault="00D42EFF">
            <w:pPr>
              <w:spacing w:line="210" w:lineRule="auto"/>
              <w:rPr>
                <w:color w:val="000000" w:themeColor="text1"/>
              </w:rPr>
            </w:pPr>
            <w:r w:rsidRPr="00D42EFF">
              <w:rPr>
                <w:color w:val="000000" w:themeColor="text1"/>
                <w:sz w:val="15"/>
                <w:szCs w:val="15"/>
              </w:rPr>
              <w:t>Conversion to MS; subsequent disability</w:t>
            </w:r>
          </w:p>
        </w:tc>
        <w:tc>
          <w:tcPr>
            <w:tcW w:w="3450" w:type="dxa"/>
            <w:tcMar>
              <w:top w:w="35" w:type="dxa"/>
              <w:left w:w="60" w:type="dxa"/>
              <w:bottom w:w="35" w:type="dxa"/>
              <w:right w:w="60" w:type="dxa"/>
            </w:tcMar>
          </w:tcPr>
          <w:p w14:paraId="31F70D1F" w14:textId="77777777" w:rsidR="0022120C" w:rsidRPr="00D42EFF" w:rsidRDefault="00D42EFF">
            <w:pPr>
              <w:spacing w:line="210" w:lineRule="auto"/>
              <w:rPr>
                <w:color w:val="000000" w:themeColor="text1"/>
              </w:rPr>
            </w:pPr>
            <w:r w:rsidRPr="00D42EFF">
              <w:rPr>
                <w:color w:val="000000" w:themeColor="text1"/>
                <w:sz w:val="15"/>
                <w:szCs w:val="15"/>
              </w:rPr>
              <w:t>HR 6.33 (95% CI 3.35–11.96) for MS diagnosis [50]; linked to a more severe subsequent course [26]</w:t>
            </w:r>
          </w:p>
        </w:tc>
        <w:tc>
          <w:tcPr>
            <w:tcW w:w="1200" w:type="dxa"/>
            <w:shd w:val="clear" w:color="auto" w:fill="FFFFFF"/>
            <w:tcMar>
              <w:top w:w="35" w:type="dxa"/>
              <w:left w:w="60" w:type="dxa"/>
              <w:bottom w:w="35" w:type="dxa"/>
              <w:right w:w="60" w:type="dxa"/>
            </w:tcMar>
          </w:tcPr>
          <w:p w14:paraId="6DBF35DA" w14:textId="77777777" w:rsidR="0022120C" w:rsidRPr="00D42EFF" w:rsidRDefault="00D42EFF">
            <w:pPr>
              <w:spacing w:line="210" w:lineRule="auto"/>
              <w:jc w:val="center"/>
              <w:rPr>
                <w:color w:val="000000" w:themeColor="text1"/>
              </w:rPr>
            </w:pPr>
            <w:r w:rsidRPr="00D42EFF">
              <w:rPr>
                <w:color w:val="000000" w:themeColor="text1"/>
                <w:sz w:val="15"/>
                <w:szCs w:val="15"/>
              </w:rPr>
              <w:t>—</w:t>
            </w:r>
          </w:p>
        </w:tc>
      </w:tr>
      <w:tr w:rsidR="00D42EFF" w:rsidRPr="00D42EFF" w14:paraId="67490A7A" w14:textId="77777777">
        <w:tc>
          <w:tcPr>
            <w:tcW w:w="2050" w:type="dxa"/>
            <w:shd w:val="clear" w:color="auto" w:fill="F2F2F2"/>
            <w:tcMar>
              <w:top w:w="35" w:type="dxa"/>
              <w:left w:w="60" w:type="dxa"/>
              <w:bottom w:w="35" w:type="dxa"/>
              <w:right w:w="60" w:type="dxa"/>
            </w:tcMar>
          </w:tcPr>
          <w:p w14:paraId="1E886292" w14:textId="77777777" w:rsidR="0022120C" w:rsidRPr="00D42EFF" w:rsidRDefault="00D42EFF">
            <w:pPr>
              <w:spacing w:line="210" w:lineRule="auto"/>
              <w:rPr>
                <w:color w:val="000000" w:themeColor="text1"/>
              </w:rPr>
            </w:pPr>
            <w:r w:rsidRPr="00D42EFF">
              <w:rPr>
                <w:b/>
                <w:bCs/>
                <w:color w:val="000000" w:themeColor="text1"/>
                <w:sz w:val="15"/>
                <w:szCs w:val="15"/>
              </w:rPr>
              <w:t>Serum GFAP</w:t>
            </w:r>
          </w:p>
        </w:tc>
        <w:tc>
          <w:tcPr>
            <w:tcW w:w="1750" w:type="dxa"/>
            <w:shd w:val="clear" w:color="auto" w:fill="F2F2F2"/>
            <w:tcMar>
              <w:top w:w="35" w:type="dxa"/>
              <w:left w:w="60" w:type="dxa"/>
              <w:bottom w:w="35" w:type="dxa"/>
              <w:right w:w="60" w:type="dxa"/>
            </w:tcMar>
          </w:tcPr>
          <w:p w14:paraId="713A3E06" w14:textId="77777777" w:rsidR="0022120C" w:rsidRPr="00D42EFF" w:rsidRDefault="00D42EFF">
            <w:pPr>
              <w:spacing w:line="210" w:lineRule="auto"/>
              <w:rPr>
                <w:color w:val="000000" w:themeColor="text1"/>
              </w:rPr>
            </w:pPr>
            <w:r w:rsidRPr="00D42EFF">
              <w:rPr>
                <w:color w:val="000000" w:themeColor="text1"/>
                <w:sz w:val="15"/>
                <w:szCs w:val="15"/>
              </w:rPr>
              <w:t>Abdelhak 2022 [69]; Meier 2023 [70]; Saucier 2024 [71]</w:t>
            </w:r>
          </w:p>
        </w:tc>
        <w:tc>
          <w:tcPr>
            <w:tcW w:w="1700" w:type="dxa"/>
            <w:shd w:val="clear" w:color="auto" w:fill="F2F2F2"/>
            <w:tcMar>
              <w:top w:w="35" w:type="dxa"/>
              <w:left w:w="60" w:type="dxa"/>
              <w:bottom w:w="35" w:type="dxa"/>
              <w:right w:w="60" w:type="dxa"/>
            </w:tcMar>
          </w:tcPr>
          <w:p w14:paraId="626A54DA" w14:textId="77777777" w:rsidR="0022120C" w:rsidRPr="00D42EFF" w:rsidRDefault="00D42EFF">
            <w:pPr>
              <w:spacing w:line="210" w:lineRule="auto"/>
              <w:rPr>
                <w:color w:val="000000" w:themeColor="text1"/>
              </w:rPr>
            </w:pPr>
            <w:r w:rsidRPr="00D42EFF">
              <w:rPr>
                <w:color w:val="000000" w:themeColor="text1"/>
                <w:sz w:val="15"/>
                <w:szCs w:val="15"/>
              </w:rPr>
              <w:t xml:space="preserve">Adult MS cohorts; limited pediatric </w:t>
            </w:r>
            <w:r w:rsidRPr="00D42EFF">
              <w:rPr>
                <w:color w:val="000000" w:themeColor="text1"/>
                <w:sz w:val="15"/>
                <w:szCs w:val="15"/>
              </w:rPr>
              <w:t>data</w:t>
            </w:r>
          </w:p>
        </w:tc>
        <w:tc>
          <w:tcPr>
            <w:tcW w:w="1350" w:type="dxa"/>
            <w:shd w:val="clear" w:color="auto" w:fill="F2F2F2"/>
            <w:tcMar>
              <w:top w:w="35" w:type="dxa"/>
              <w:left w:w="60" w:type="dxa"/>
              <w:bottom w:w="35" w:type="dxa"/>
              <w:right w:w="60" w:type="dxa"/>
            </w:tcMar>
          </w:tcPr>
          <w:p w14:paraId="244625F5" w14:textId="77777777" w:rsidR="0022120C" w:rsidRPr="00D42EFF" w:rsidRDefault="00D42EFF">
            <w:pPr>
              <w:spacing w:line="210" w:lineRule="auto"/>
              <w:jc w:val="center"/>
              <w:rPr>
                <w:color w:val="000000" w:themeColor="text1"/>
              </w:rPr>
            </w:pPr>
            <w:r w:rsidRPr="00D42EFF">
              <w:rPr>
                <w:color w:val="000000" w:themeColor="text1"/>
                <w:sz w:val="15"/>
                <w:szCs w:val="15"/>
              </w:rPr>
              <w:t>Prognosis (candidate)</w:t>
            </w:r>
          </w:p>
        </w:tc>
        <w:tc>
          <w:tcPr>
            <w:tcW w:w="1900" w:type="dxa"/>
            <w:shd w:val="clear" w:color="auto" w:fill="F2F2F2"/>
            <w:tcMar>
              <w:top w:w="35" w:type="dxa"/>
              <w:left w:w="60" w:type="dxa"/>
              <w:bottom w:w="35" w:type="dxa"/>
              <w:right w:w="60" w:type="dxa"/>
            </w:tcMar>
          </w:tcPr>
          <w:p w14:paraId="322AFE06" w14:textId="77777777" w:rsidR="0022120C" w:rsidRPr="00D42EFF" w:rsidRDefault="00D42EFF">
            <w:pPr>
              <w:spacing w:line="210" w:lineRule="auto"/>
              <w:rPr>
                <w:color w:val="000000" w:themeColor="text1"/>
              </w:rPr>
            </w:pPr>
            <w:r w:rsidRPr="00D42EFF">
              <w:rPr>
                <w:color w:val="000000" w:themeColor="text1"/>
                <w:sz w:val="15"/>
                <w:szCs w:val="15"/>
              </w:rPr>
              <w:t>Progression independent of relapse activity; chronic inflammatory burden</w:t>
            </w:r>
          </w:p>
        </w:tc>
        <w:tc>
          <w:tcPr>
            <w:tcW w:w="3450" w:type="dxa"/>
            <w:shd w:val="clear" w:color="auto" w:fill="F2F2F2"/>
            <w:tcMar>
              <w:top w:w="35" w:type="dxa"/>
              <w:left w:w="60" w:type="dxa"/>
              <w:bottom w:w="35" w:type="dxa"/>
              <w:right w:w="60" w:type="dxa"/>
            </w:tcMar>
          </w:tcPr>
          <w:p w14:paraId="365FF3BD" w14:textId="77777777" w:rsidR="0022120C" w:rsidRPr="00D42EFF" w:rsidRDefault="00D42EFF">
            <w:pPr>
              <w:spacing w:line="210" w:lineRule="auto"/>
              <w:rPr>
                <w:color w:val="000000" w:themeColor="text1"/>
              </w:rPr>
            </w:pPr>
            <w:r w:rsidRPr="00D42EFF">
              <w:rPr>
                <w:color w:val="000000" w:themeColor="text1"/>
                <w:sz w:val="15"/>
                <w:szCs w:val="15"/>
              </w:rPr>
              <w:t>In adult MS, sGFAP is associated with progression independent of relapse activity, with a profile distinct from sNfL [69,70]. Pediatric data scarce [71]. In</w:t>
            </w:r>
            <w:r w:rsidRPr="00D42EFF">
              <w:rPr>
                <w:color w:val="000000" w:themeColor="text1"/>
                <w:sz w:val="15"/>
                <w:szCs w:val="15"/>
              </w:rPr>
              <w:t>cremental value of sNfL + sGFAP over sNfL alone untested in children</w:t>
            </w:r>
          </w:p>
        </w:tc>
        <w:tc>
          <w:tcPr>
            <w:tcW w:w="1200" w:type="dxa"/>
            <w:shd w:val="clear" w:color="auto" w:fill="FFE699"/>
            <w:tcMar>
              <w:top w:w="35" w:type="dxa"/>
              <w:left w:w="60" w:type="dxa"/>
              <w:bottom w:w="35" w:type="dxa"/>
              <w:right w:w="60" w:type="dxa"/>
            </w:tcMar>
          </w:tcPr>
          <w:p w14:paraId="1A165F0C"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r w:rsidR="00D42EFF" w:rsidRPr="00D42EFF" w14:paraId="6129EF4B" w14:textId="77777777">
        <w:tc>
          <w:tcPr>
            <w:tcW w:w="2050" w:type="dxa"/>
            <w:tcMar>
              <w:top w:w="35" w:type="dxa"/>
              <w:left w:w="60" w:type="dxa"/>
              <w:bottom w:w="35" w:type="dxa"/>
              <w:right w:w="60" w:type="dxa"/>
            </w:tcMar>
          </w:tcPr>
          <w:p w14:paraId="7823D038" w14:textId="77777777" w:rsidR="0022120C" w:rsidRPr="00D42EFF" w:rsidRDefault="00D42EFF">
            <w:pPr>
              <w:spacing w:line="210" w:lineRule="auto"/>
              <w:rPr>
                <w:color w:val="000000" w:themeColor="text1"/>
              </w:rPr>
            </w:pPr>
            <w:r w:rsidRPr="00D42EFF">
              <w:rPr>
                <w:b/>
                <w:bCs/>
                <w:color w:val="000000" w:themeColor="text1"/>
                <w:sz w:val="15"/>
                <w:szCs w:val="15"/>
              </w:rPr>
              <w:t>Chitinase-3-like protein 1 (CHI3L1)</w:t>
            </w:r>
          </w:p>
        </w:tc>
        <w:tc>
          <w:tcPr>
            <w:tcW w:w="1750" w:type="dxa"/>
            <w:tcMar>
              <w:top w:w="35" w:type="dxa"/>
              <w:left w:w="60" w:type="dxa"/>
              <w:bottom w:w="35" w:type="dxa"/>
              <w:right w:w="60" w:type="dxa"/>
            </w:tcMar>
          </w:tcPr>
          <w:p w14:paraId="10F7F5C0" w14:textId="77777777" w:rsidR="0022120C" w:rsidRPr="00D42EFF" w:rsidRDefault="00D42EFF">
            <w:pPr>
              <w:spacing w:line="210" w:lineRule="auto"/>
              <w:rPr>
                <w:color w:val="000000" w:themeColor="text1"/>
              </w:rPr>
            </w:pPr>
            <w:r w:rsidRPr="00D42EFF">
              <w:rPr>
                <w:color w:val="000000" w:themeColor="text1"/>
                <w:sz w:val="15"/>
                <w:szCs w:val="15"/>
              </w:rPr>
              <w:t>Comabella 2010 [72]</w:t>
            </w:r>
          </w:p>
        </w:tc>
        <w:tc>
          <w:tcPr>
            <w:tcW w:w="1700" w:type="dxa"/>
            <w:tcMar>
              <w:top w:w="35" w:type="dxa"/>
              <w:left w:w="60" w:type="dxa"/>
              <w:bottom w:w="35" w:type="dxa"/>
              <w:right w:w="60" w:type="dxa"/>
            </w:tcMar>
          </w:tcPr>
          <w:p w14:paraId="139B6E8A" w14:textId="77777777" w:rsidR="0022120C" w:rsidRPr="00D42EFF" w:rsidRDefault="00D42EFF">
            <w:pPr>
              <w:spacing w:line="210" w:lineRule="auto"/>
              <w:rPr>
                <w:color w:val="000000" w:themeColor="text1"/>
              </w:rPr>
            </w:pPr>
            <w:r w:rsidRPr="00D42EFF">
              <w:rPr>
                <w:color w:val="000000" w:themeColor="text1"/>
                <w:sz w:val="15"/>
                <w:szCs w:val="15"/>
              </w:rPr>
              <w:t>Adult CIS cohort</w:t>
            </w:r>
          </w:p>
        </w:tc>
        <w:tc>
          <w:tcPr>
            <w:tcW w:w="1350" w:type="dxa"/>
            <w:tcMar>
              <w:top w:w="35" w:type="dxa"/>
              <w:left w:w="60" w:type="dxa"/>
              <w:bottom w:w="35" w:type="dxa"/>
              <w:right w:w="60" w:type="dxa"/>
            </w:tcMar>
          </w:tcPr>
          <w:p w14:paraId="4CEC68EB" w14:textId="77777777" w:rsidR="0022120C" w:rsidRPr="00D42EFF" w:rsidRDefault="00D42EFF">
            <w:pPr>
              <w:spacing w:line="210" w:lineRule="auto"/>
              <w:jc w:val="center"/>
              <w:rPr>
                <w:color w:val="000000" w:themeColor="text1"/>
              </w:rPr>
            </w:pPr>
            <w:r w:rsidRPr="00D42EFF">
              <w:rPr>
                <w:color w:val="000000" w:themeColor="text1"/>
                <w:sz w:val="15"/>
                <w:szCs w:val="15"/>
              </w:rPr>
              <w:t>Conversion / Prognosis (candidate)</w:t>
            </w:r>
          </w:p>
        </w:tc>
        <w:tc>
          <w:tcPr>
            <w:tcW w:w="1900" w:type="dxa"/>
            <w:tcMar>
              <w:top w:w="35" w:type="dxa"/>
              <w:left w:w="60" w:type="dxa"/>
              <w:bottom w:w="35" w:type="dxa"/>
              <w:right w:w="60" w:type="dxa"/>
            </w:tcMar>
          </w:tcPr>
          <w:p w14:paraId="2481CF79" w14:textId="77777777" w:rsidR="0022120C" w:rsidRPr="00D42EFF" w:rsidRDefault="00D42EFF">
            <w:pPr>
              <w:spacing w:line="210" w:lineRule="auto"/>
              <w:rPr>
                <w:color w:val="000000" w:themeColor="text1"/>
              </w:rPr>
            </w:pPr>
            <w:r w:rsidRPr="00D42EFF">
              <w:rPr>
                <w:color w:val="000000" w:themeColor="text1"/>
                <w:sz w:val="15"/>
                <w:szCs w:val="15"/>
              </w:rPr>
              <w:t>Conversion to MS; disability accrual</w:t>
            </w:r>
          </w:p>
        </w:tc>
        <w:tc>
          <w:tcPr>
            <w:tcW w:w="3450" w:type="dxa"/>
            <w:tcMar>
              <w:top w:w="35" w:type="dxa"/>
              <w:left w:w="60" w:type="dxa"/>
              <w:bottom w:w="35" w:type="dxa"/>
              <w:right w:w="60" w:type="dxa"/>
            </w:tcMar>
          </w:tcPr>
          <w:p w14:paraId="23010F1A" w14:textId="77777777" w:rsidR="0022120C" w:rsidRPr="00D42EFF" w:rsidRDefault="00D42EFF">
            <w:pPr>
              <w:spacing w:line="210" w:lineRule="auto"/>
              <w:rPr>
                <w:color w:val="000000" w:themeColor="text1"/>
              </w:rPr>
            </w:pPr>
            <w:r w:rsidRPr="00D42EFF">
              <w:rPr>
                <w:color w:val="000000" w:themeColor="text1"/>
                <w:sz w:val="15"/>
                <w:szCs w:val="15"/>
              </w:rPr>
              <w:t>CSF CHI3L1 associated with conversion</w:t>
            </w:r>
            <w:r w:rsidRPr="00D42EFF">
              <w:rPr>
                <w:color w:val="000000" w:themeColor="text1"/>
                <w:sz w:val="15"/>
                <w:szCs w:val="15"/>
              </w:rPr>
              <w:t xml:space="preserve"> to MS and disability accrual in adults; limited pediatric data</w:t>
            </w:r>
          </w:p>
        </w:tc>
        <w:tc>
          <w:tcPr>
            <w:tcW w:w="1200" w:type="dxa"/>
            <w:shd w:val="clear" w:color="auto" w:fill="FFE699"/>
            <w:tcMar>
              <w:top w:w="35" w:type="dxa"/>
              <w:left w:w="60" w:type="dxa"/>
              <w:bottom w:w="35" w:type="dxa"/>
              <w:right w:w="60" w:type="dxa"/>
            </w:tcMar>
          </w:tcPr>
          <w:p w14:paraId="7AAD307C"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r w:rsidR="00D42EFF" w:rsidRPr="00D42EFF" w14:paraId="44F268C2" w14:textId="77777777">
        <w:tc>
          <w:tcPr>
            <w:tcW w:w="2050" w:type="dxa"/>
            <w:shd w:val="clear" w:color="auto" w:fill="F2F2F2"/>
            <w:tcMar>
              <w:top w:w="35" w:type="dxa"/>
              <w:left w:w="60" w:type="dxa"/>
              <w:bottom w:w="35" w:type="dxa"/>
              <w:right w:w="60" w:type="dxa"/>
            </w:tcMar>
          </w:tcPr>
          <w:p w14:paraId="20CDFFF7" w14:textId="77777777" w:rsidR="0022120C" w:rsidRPr="00D42EFF" w:rsidRDefault="00D42EFF">
            <w:pPr>
              <w:spacing w:line="210" w:lineRule="auto"/>
              <w:rPr>
                <w:color w:val="000000" w:themeColor="text1"/>
              </w:rPr>
            </w:pPr>
            <w:r w:rsidRPr="00D42EFF">
              <w:rPr>
                <w:b/>
                <w:bCs/>
                <w:color w:val="000000" w:themeColor="text1"/>
                <w:sz w:val="15"/>
                <w:szCs w:val="15"/>
              </w:rPr>
              <w:t>CSF kappa free light chains</w:t>
            </w:r>
          </w:p>
        </w:tc>
        <w:tc>
          <w:tcPr>
            <w:tcW w:w="1750" w:type="dxa"/>
            <w:shd w:val="clear" w:color="auto" w:fill="F2F2F2"/>
            <w:tcMar>
              <w:top w:w="35" w:type="dxa"/>
              <w:left w:w="60" w:type="dxa"/>
              <w:bottom w:w="35" w:type="dxa"/>
              <w:right w:w="60" w:type="dxa"/>
            </w:tcMar>
          </w:tcPr>
          <w:p w14:paraId="19E179E7" w14:textId="77777777" w:rsidR="0022120C" w:rsidRPr="00D42EFF" w:rsidRDefault="00D42EFF">
            <w:pPr>
              <w:spacing w:line="210" w:lineRule="auto"/>
              <w:rPr>
                <w:color w:val="000000" w:themeColor="text1"/>
              </w:rPr>
            </w:pPr>
            <w:r w:rsidRPr="00D42EFF">
              <w:rPr>
                <w:color w:val="000000" w:themeColor="text1"/>
                <w:sz w:val="15"/>
                <w:szCs w:val="15"/>
              </w:rPr>
              <w:t>Konen 2021 [73]</w:t>
            </w:r>
          </w:p>
        </w:tc>
        <w:tc>
          <w:tcPr>
            <w:tcW w:w="1700" w:type="dxa"/>
            <w:shd w:val="clear" w:color="auto" w:fill="F2F2F2"/>
            <w:tcMar>
              <w:top w:w="35" w:type="dxa"/>
              <w:left w:w="60" w:type="dxa"/>
              <w:bottom w:w="35" w:type="dxa"/>
              <w:right w:w="60" w:type="dxa"/>
            </w:tcMar>
          </w:tcPr>
          <w:p w14:paraId="7A0E5E38" w14:textId="77777777" w:rsidR="0022120C" w:rsidRPr="00D42EFF" w:rsidRDefault="00D42EFF">
            <w:pPr>
              <w:spacing w:line="210" w:lineRule="auto"/>
              <w:rPr>
                <w:color w:val="000000" w:themeColor="text1"/>
              </w:rPr>
            </w:pPr>
            <w:r w:rsidRPr="00D42EFF">
              <w:rPr>
                <w:color w:val="000000" w:themeColor="text1"/>
                <w:sz w:val="15"/>
                <w:szCs w:val="15"/>
              </w:rPr>
              <w:t>Adult MS; methodological review</w:t>
            </w:r>
          </w:p>
        </w:tc>
        <w:tc>
          <w:tcPr>
            <w:tcW w:w="1350" w:type="dxa"/>
            <w:shd w:val="clear" w:color="auto" w:fill="F2F2F2"/>
            <w:tcMar>
              <w:top w:w="35" w:type="dxa"/>
              <w:left w:w="60" w:type="dxa"/>
              <w:bottom w:w="35" w:type="dxa"/>
              <w:right w:w="60" w:type="dxa"/>
            </w:tcMar>
          </w:tcPr>
          <w:p w14:paraId="1441793E" w14:textId="77777777" w:rsidR="0022120C" w:rsidRPr="00D42EFF" w:rsidRDefault="00D42EFF">
            <w:pPr>
              <w:spacing w:line="210" w:lineRule="auto"/>
              <w:jc w:val="center"/>
              <w:rPr>
                <w:color w:val="000000" w:themeColor="text1"/>
              </w:rPr>
            </w:pPr>
            <w:r w:rsidRPr="00D42EFF">
              <w:rPr>
                <w:color w:val="000000" w:themeColor="text1"/>
                <w:sz w:val="15"/>
                <w:szCs w:val="15"/>
              </w:rPr>
              <w:t>Conversion (candidate)</w:t>
            </w:r>
          </w:p>
        </w:tc>
        <w:tc>
          <w:tcPr>
            <w:tcW w:w="1900" w:type="dxa"/>
            <w:shd w:val="clear" w:color="auto" w:fill="F2F2F2"/>
            <w:tcMar>
              <w:top w:w="35" w:type="dxa"/>
              <w:left w:w="60" w:type="dxa"/>
              <w:bottom w:w="35" w:type="dxa"/>
              <w:right w:w="60" w:type="dxa"/>
            </w:tcMar>
          </w:tcPr>
          <w:p w14:paraId="2ED4EC68" w14:textId="77777777" w:rsidR="0022120C" w:rsidRPr="00D42EFF" w:rsidRDefault="00D42EFF">
            <w:pPr>
              <w:spacing w:line="210" w:lineRule="auto"/>
              <w:rPr>
                <w:color w:val="000000" w:themeColor="text1"/>
              </w:rPr>
            </w:pPr>
            <w:r w:rsidRPr="00D42EFF">
              <w:rPr>
                <w:color w:val="000000" w:themeColor="text1"/>
                <w:sz w:val="15"/>
                <w:szCs w:val="15"/>
              </w:rPr>
              <w:t>Diagnosis / conversion</w:t>
            </w:r>
          </w:p>
        </w:tc>
        <w:tc>
          <w:tcPr>
            <w:tcW w:w="3450" w:type="dxa"/>
            <w:shd w:val="clear" w:color="auto" w:fill="F2F2F2"/>
            <w:tcMar>
              <w:top w:w="35" w:type="dxa"/>
              <w:left w:w="60" w:type="dxa"/>
              <w:bottom w:w="35" w:type="dxa"/>
              <w:right w:w="60" w:type="dxa"/>
            </w:tcMar>
          </w:tcPr>
          <w:p w14:paraId="397E240E" w14:textId="77777777" w:rsidR="0022120C" w:rsidRPr="00D42EFF" w:rsidRDefault="00D42EFF">
            <w:pPr>
              <w:spacing w:line="210" w:lineRule="auto"/>
              <w:rPr>
                <w:color w:val="000000" w:themeColor="text1"/>
              </w:rPr>
            </w:pPr>
            <w:r w:rsidRPr="00D42EFF">
              <w:rPr>
                <w:color w:val="000000" w:themeColor="text1"/>
                <w:sz w:val="15"/>
                <w:szCs w:val="15"/>
              </w:rPr>
              <w:t xml:space="preserve">Proposed as a robust, less operator-dependent alternative to </w:t>
            </w:r>
            <w:r w:rsidRPr="00D42EFF">
              <w:rPr>
                <w:color w:val="000000" w:themeColor="text1"/>
                <w:sz w:val="15"/>
                <w:szCs w:val="15"/>
              </w:rPr>
              <w:t>oligoclonal bands; pediatric validation lacking</w:t>
            </w:r>
          </w:p>
        </w:tc>
        <w:tc>
          <w:tcPr>
            <w:tcW w:w="1200" w:type="dxa"/>
            <w:shd w:val="clear" w:color="auto" w:fill="FFE699"/>
            <w:tcMar>
              <w:top w:w="35" w:type="dxa"/>
              <w:left w:w="60" w:type="dxa"/>
              <w:bottom w:w="35" w:type="dxa"/>
              <w:right w:w="60" w:type="dxa"/>
            </w:tcMar>
          </w:tcPr>
          <w:p w14:paraId="3739F17F"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bl>
    <w:p w14:paraId="22A9A93A" w14:textId="77777777" w:rsidR="0022120C" w:rsidRPr="00D42EFF" w:rsidRDefault="00D42EFF">
      <w:pPr>
        <w:spacing w:after="160" w:line="220" w:lineRule="auto"/>
        <w:jc w:val="both"/>
        <w:rPr>
          <w:color w:val="000000" w:themeColor="text1"/>
        </w:rPr>
      </w:pPr>
      <w:r w:rsidRPr="00D42EFF">
        <w:rPr>
          <w:i/>
          <w:iCs/>
          <w:color w:val="000000" w:themeColor="text1"/>
          <w:sz w:val="15"/>
          <w:szCs w:val="15"/>
        </w:rPr>
        <w:t xml:space="preserve">ADS, acquired demyelinating syndrome; CIS, clinically isolated syndrome; CSF, cerebrospinal fluid; DMT, disease-modifying therapy; GFAP, glial fibrillary acidic protein; HR, hazard ratio; MOGAD, myelin </w:t>
      </w:r>
      <w:r w:rsidRPr="00D42EFF">
        <w:rPr>
          <w:i/>
          <w:iCs/>
          <w:color w:val="000000" w:themeColor="text1"/>
          <w:sz w:val="15"/>
          <w:szCs w:val="15"/>
        </w:rPr>
        <w:t>oligodendrocyte glycoprotein antibody-associated disease; NfL, neurofilament light chain; OR, odds ratio; POMS, pediatric-onset multiple sclerosis. Pediatric-specific caveats apply to sNfL: concentrations vary with age and body mass index (age-adjusted Z-s</w:t>
      </w:r>
      <w:r w:rsidRPr="00D42EFF">
        <w:rPr>
          <w:i/>
          <w:iCs/>
          <w:color w:val="000000" w:themeColor="text1"/>
          <w:sz w:val="15"/>
          <w:szCs w:val="15"/>
        </w:rPr>
        <w:t>cores required); Simoa and Ella platforms are not fully interchangeable; several pediatric cohorts comprise mixed acquired demyelinating syndromes.</w:t>
      </w:r>
    </w:p>
    <w:p w14:paraId="61CDEC3C" w14:textId="77777777" w:rsidR="0022120C" w:rsidRPr="00D42EFF" w:rsidRDefault="00D42EFF">
      <w:pPr>
        <w:spacing w:before="280" w:after="120"/>
        <w:rPr>
          <w:color w:val="000000" w:themeColor="text1"/>
        </w:rPr>
      </w:pPr>
      <w:r w:rsidRPr="00D42EFF">
        <w:rPr>
          <w:b/>
          <w:bCs/>
          <w:color w:val="000000" w:themeColor="text1"/>
          <w:sz w:val="24"/>
          <w:szCs w:val="24"/>
        </w:rPr>
        <w:t>Table S4. Treatment-related factors</w:t>
      </w:r>
    </w:p>
    <w:tbl>
      <w:tblPr>
        <w:tblStyle w:val="a2"/>
        <w:tblW w:w="13400" w:type="dxa"/>
        <w:tblInd w:w="0" w:type="dxa"/>
        <w:tblBorders>
          <w:top w:val="single" w:sz="4" w:space="0" w:color="1F3864"/>
          <w:left w:val="nil"/>
          <w:bottom w:val="single" w:sz="4" w:space="0" w:color="1F3864"/>
          <w:right w:val="nil"/>
          <w:insideH w:val="single" w:sz="4" w:space="0" w:color="BFBFBF"/>
          <w:insideV w:val="single" w:sz="4" w:space="0" w:color="E7E7E7"/>
        </w:tblBorders>
        <w:tblLayout w:type="fixed"/>
        <w:tblLook w:val="0000" w:firstRow="0" w:lastRow="0" w:firstColumn="0" w:lastColumn="0" w:noHBand="0" w:noVBand="0"/>
      </w:tblPr>
      <w:tblGrid>
        <w:gridCol w:w="2050"/>
        <w:gridCol w:w="1750"/>
        <w:gridCol w:w="1700"/>
        <w:gridCol w:w="1350"/>
        <w:gridCol w:w="1900"/>
        <w:gridCol w:w="3450"/>
        <w:gridCol w:w="1200"/>
      </w:tblGrid>
      <w:tr w:rsidR="00D42EFF" w:rsidRPr="00D42EFF" w14:paraId="283458DF" w14:textId="77777777">
        <w:trPr>
          <w:tblHeader/>
        </w:trPr>
        <w:tc>
          <w:tcPr>
            <w:tcW w:w="2050" w:type="dxa"/>
            <w:shd w:val="clear" w:color="auto" w:fill="1F3864"/>
            <w:tcMar>
              <w:top w:w="50" w:type="dxa"/>
              <w:left w:w="60" w:type="dxa"/>
              <w:bottom w:w="50" w:type="dxa"/>
              <w:right w:w="60" w:type="dxa"/>
            </w:tcMar>
            <w:vAlign w:val="center"/>
          </w:tcPr>
          <w:p w14:paraId="33ECB5A8" w14:textId="77777777" w:rsidR="0022120C" w:rsidRPr="00D42EFF" w:rsidRDefault="00D42EFF">
            <w:pPr>
              <w:spacing w:line="210" w:lineRule="auto"/>
              <w:jc w:val="center"/>
              <w:rPr>
                <w:color w:val="000000" w:themeColor="text1"/>
              </w:rPr>
            </w:pPr>
            <w:r w:rsidRPr="00D42EFF">
              <w:rPr>
                <w:b/>
                <w:bCs/>
                <w:color w:val="000000" w:themeColor="text1"/>
                <w:sz w:val="16"/>
                <w:szCs w:val="16"/>
              </w:rPr>
              <w:t>Factor</w:t>
            </w:r>
          </w:p>
        </w:tc>
        <w:tc>
          <w:tcPr>
            <w:tcW w:w="1750" w:type="dxa"/>
            <w:shd w:val="clear" w:color="auto" w:fill="1F3864"/>
            <w:tcMar>
              <w:top w:w="50" w:type="dxa"/>
              <w:left w:w="60" w:type="dxa"/>
              <w:bottom w:w="50" w:type="dxa"/>
              <w:right w:w="60" w:type="dxa"/>
            </w:tcMar>
            <w:vAlign w:val="center"/>
          </w:tcPr>
          <w:p w14:paraId="1B01AB2D" w14:textId="77777777" w:rsidR="0022120C" w:rsidRPr="00D42EFF" w:rsidRDefault="00D42EFF">
            <w:pPr>
              <w:spacing w:line="210" w:lineRule="auto"/>
              <w:jc w:val="center"/>
              <w:rPr>
                <w:color w:val="000000" w:themeColor="text1"/>
              </w:rPr>
            </w:pPr>
            <w:r w:rsidRPr="00D42EFF">
              <w:rPr>
                <w:b/>
                <w:bCs/>
                <w:color w:val="000000" w:themeColor="text1"/>
                <w:sz w:val="16"/>
                <w:szCs w:val="16"/>
              </w:rPr>
              <w:t>Study [ref]</w:t>
            </w:r>
          </w:p>
        </w:tc>
        <w:tc>
          <w:tcPr>
            <w:tcW w:w="1700" w:type="dxa"/>
            <w:shd w:val="clear" w:color="auto" w:fill="1F3864"/>
            <w:tcMar>
              <w:top w:w="50" w:type="dxa"/>
              <w:left w:w="60" w:type="dxa"/>
              <w:bottom w:w="50" w:type="dxa"/>
              <w:right w:w="60" w:type="dxa"/>
            </w:tcMar>
            <w:vAlign w:val="center"/>
          </w:tcPr>
          <w:p w14:paraId="2A109938" w14:textId="77777777" w:rsidR="0022120C" w:rsidRPr="00D42EFF" w:rsidRDefault="00D42EFF">
            <w:pPr>
              <w:spacing w:line="210" w:lineRule="auto"/>
              <w:jc w:val="center"/>
              <w:rPr>
                <w:color w:val="000000" w:themeColor="text1"/>
              </w:rPr>
            </w:pPr>
            <w:r w:rsidRPr="00D42EFF">
              <w:rPr>
                <w:b/>
                <w:bCs/>
                <w:color w:val="000000" w:themeColor="text1"/>
                <w:sz w:val="16"/>
                <w:szCs w:val="16"/>
              </w:rPr>
              <w:t>Design; N</w:t>
            </w:r>
          </w:p>
        </w:tc>
        <w:tc>
          <w:tcPr>
            <w:tcW w:w="1350" w:type="dxa"/>
            <w:shd w:val="clear" w:color="auto" w:fill="1F3864"/>
            <w:tcMar>
              <w:top w:w="50" w:type="dxa"/>
              <w:left w:w="60" w:type="dxa"/>
              <w:bottom w:w="50" w:type="dxa"/>
              <w:right w:w="60" w:type="dxa"/>
            </w:tcMar>
            <w:vAlign w:val="center"/>
          </w:tcPr>
          <w:p w14:paraId="59D2B1D7" w14:textId="77777777" w:rsidR="0022120C" w:rsidRPr="00D42EFF" w:rsidRDefault="00D42EFF">
            <w:pPr>
              <w:spacing w:line="210" w:lineRule="auto"/>
              <w:jc w:val="center"/>
              <w:rPr>
                <w:color w:val="000000" w:themeColor="text1"/>
              </w:rPr>
            </w:pPr>
            <w:r w:rsidRPr="00D42EFF">
              <w:rPr>
                <w:b/>
                <w:bCs/>
                <w:color w:val="000000" w:themeColor="text1"/>
                <w:sz w:val="16"/>
                <w:szCs w:val="16"/>
              </w:rPr>
              <w:t>Axis of inference</w:t>
            </w:r>
          </w:p>
        </w:tc>
        <w:tc>
          <w:tcPr>
            <w:tcW w:w="1900" w:type="dxa"/>
            <w:shd w:val="clear" w:color="auto" w:fill="1F3864"/>
            <w:tcMar>
              <w:top w:w="50" w:type="dxa"/>
              <w:left w:w="60" w:type="dxa"/>
              <w:bottom w:w="50" w:type="dxa"/>
              <w:right w:w="60" w:type="dxa"/>
            </w:tcMar>
            <w:vAlign w:val="center"/>
          </w:tcPr>
          <w:p w14:paraId="02FD5D4D" w14:textId="77777777" w:rsidR="0022120C" w:rsidRPr="00D42EFF" w:rsidRDefault="00D42EFF">
            <w:pPr>
              <w:spacing w:line="210" w:lineRule="auto"/>
              <w:jc w:val="center"/>
              <w:rPr>
                <w:color w:val="000000" w:themeColor="text1"/>
              </w:rPr>
            </w:pPr>
            <w:r w:rsidRPr="00D42EFF">
              <w:rPr>
                <w:b/>
                <w:bCs/>
                <w:color w:val="000000" w:themeColor="text1"/>
                <w:sz w:val="16"/>
                <w:szCs w:val="16"/>
              </w:rPr>
              <w:t>Outcome predicted</w:t>
            </w:r>
          </w:p>
        </w:tc>
        <w:tc>
          <w:tcPr>
            <w:tcW w:w="3450" w:type="dxa"/>
            <w:shd w:val="clear" w:color="auto" w:fill="1F3864"/>
            <w:tcMar>
              <w:top w:w="50" w:type="dxa"/>
              <w:left w:w="60" w:type="dxa"/>
              <w:bottom w:w="50" w:type="dxa"/>
              <w:right w:w="60" w:type="dxa"/>
            </w:tcMar>
            <w:vAlign w:val="center"/>
          </w:tcPr>
          <w:p w14:paraId="4CF0FE6E" w14:textId="77777777" w:rsidR="0022120C" w:rsidRPr="00D42EFF" w:rsidRDefault="00D42EFF">
            <w:pPr>
              <w:spacing w:line="210" w:lineRule="auto"/>
              <w:jc w:val="center"/>
              <w:rPr>
                <w:color w:val="000000" w:themeColor="text1"/>
              </w:rPr>
            </w:pPr>
            <w:r w:rsidRPr="00D42EFF">
              <w:rPr>
                <w:b/>
                <w:bCs/>
                <w:color w:val="000000" w:themeColor="text1"/>
                <w:sz w:val="16"/>
                <w:szCs w:val="16"/>
              </w:rPr>
              <w:t xml:space="preserve">Effect </w:t>
            </w:r>
            <w:r w:rsidRPr="00D42EFF">
              <w:rPr>
                <w:b/>
                <w:bCs/>
                <w:color w:val="000000" w:themeColor="text1"/>
                <w:sz w:val="16"/>
                <w:szCs w:val="16"/>
              </w:rPr>
              <w:t>estimate</w:t>
            </w:r>
          </w:p>
        </w:tc>
        <w:tc>
          <w:tcPr>
            <w:tcW w:w="1200" w:type="dxa"/>
            <w:shd w:val="clear" w:color="auto" w:fill="1F3864"/>
            <w:tcMar>
              <w:top w:w="50" w:type="dxa"/>
              <w:left w:w="60" w:type="dxa"/>
              <w:bottom w:w="50" w:type="dxa"/>
              <w:right w:w="60" w:type="dxa"/>
            </w:tcMar>
            <w:vAlign w:val="center"/>
          </w:tcPr>
          <w:p w14:paraId="545DA94A" w14:textId="77777777" w:rsidR="0022120C" w:rsidRPr="00D42EFF" w:rsidRDefault="00D42EFF">
            <w:pPr>
              <w:spacing w:line="210" w:lineRule="auto"/>
              <w:jc w:val="center"/>
              <w:rPr>
                <w:color w:val="000000" w:themeColor="text1"/>
              </w:rPr>
            </w:pPr>
            <w:r w:rsidRPr="00D42EFF">
              <w:rPr>
                <w:b/>
                <w:bCs/>
                <w:color w:val="000000" w:themeColor="text1"/>
                <w:sz w:val="16"/>
                <w:szCs w:val="16"/>
              </w:rPr>
              <w:t>Evidence tier</w:t>
            </w:r>
          </w:p>
        </w:tc>
      </w:tr>
      <w:tr w:rsidR="00D42EFF" w:rsidRPr="00D42EFF" w14:paraId="5B3DBC30" w14:textId="77777777">
        <w:tc>
          <w:tcPr>
            <w:tcW w:w="2050" w:type="dxa"/>
            <w:tcMar>
              <w:top w:w="35" w:type="dxa"/>
              <w:left w:w="60" w:type="dxa"/>
              <w:bottom w:w="35" w:type="dxa"/>
              <w:right w:w="60" w:type="dxa"/>
            </w:tcMar>
          </w:tcPr>
          <w:p w14:paraId="7B422672" w14:textId="77777777" w:rsidR="0022120C" w:rsidRPr="00D42EFF" w:rsidRDefault="00D42EFF">
            <w:pPr>
              <w:spacing w:line="210" w:lineRule="auto"/>
              <w:rPr>
                <w:color w:val="000000" w:themeColor="text1"/>
              </w:rPr>
            </w:pPr>
            <w:r w:rsidRPr="00D42EFF">
              <w:rPr>
                <w:b/>
                <w:bCs/>
                <w:color w:val="000000" w:themeColor="text1"/>
                <w:sz w:val="15"/>
                <w:szCs w:val="15"/>
              </w:rPr>
              <w:t>Delay in DMT initiation (per year)</w:t>
            </w:r>
          </w:p>
        </w:tc>
        <w:tc>
          <w:tcPr>
            <w:tcW w:w="1750" w:type="dxa"/>
            <w:tcMar>
              <w:top w:w="35" w:type="dxa"/>
              <w:left w:w="60" w:type="dxa"/>
              <w:bottom w:w="35" w:type="dxa"/>
              <w:right w:w="60" w:type="dxa"/>
            </w:tcMar>
          </w:tcPr>
          <w:p w14:paraId="33C9CF89" w14:textId="77777777" w:rsidR="0022120C" w:rsidRPr="00D42EFF" w:rsidRDefault="00D42EFF">
            <w:pPr>
              <w:spacing w:line="210" w:lineRule="auto"/>
              <w:rPr>
                <w:color w:val="000000" w:themeColor="text1"/>
              </w:rPr>
            </w:pPr>
            <w:r w:rsidRPr="00D42EFF">
              <w:rPr>
                <w:color w:val="000000" w:themeColor="text1"/>
                <w:sz w:val="15"/>
                <w:szCs w:val="15"/>
              </w:rPr>
              <w:t>Kopp 2020 [17]</w:t>
            </w:r>
          </w:p>
        </w:tc>
        <w:tc>
          <w:tcPr>
            <w:tcW w:w="1700" w:type="dxa"/>
            <w:tcMar>
              <w:top w:w="35" w:type="dxa"/>
              <w:left w:w="60" w:type="dxa"/>
              <w:bottom w:w="35" w:type="dxa"/>
              <w:right w:w="60" w:type="dxa"/>
            </w:tcMar>
          </w:tcPr>
          <w:p w14:paraId="602B98CE" w14:textId="77777777" w:rsidR="0022120C" w:rsidRPr="00D42EFF" w:rsidRDefault="00D42EFF">
            <w:pPr>
              <w:spacing w:line="210" w:lineRule="auto"/>
              <w:rPr>
                <w:color w:val="000000" w:themeColor="text1"/>
              </w:rPr>
            </w:pPr>
            <w:r w:rsidRPr="00D42EFF">
              <w:rPr>
                <w:color w:val="000000" w:themeColor="text1"/>
                <w:sz w:val="15"/>
                <w:szCs w:val="15"/>
              </w:rPr>
              <w:t>Prospective Danish registry cohort; 291 POMS</w:t>
            </w:r>
          </w:p>
        </w:tc>
        <w:tc>
          <w:tcPr>
            <w:tcW w:w="1350" w:type="dxa"/>
            <w:tcMar>
              <w:top w:w="35" w:type="dxa"/>
              <w:left w:w="60" w:type="dxa"/>
              <w:bottom w:w="35" w:type="dxa"/>
              <w:right w:w="60" w:type="dxa"/>
            </w:tcMar>
          </w:tcPr>
          <w:p w14:paraId="0391EF1B"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108E913D" w14:textId="77777777" w:rsidR="0022120C" w:rsidRPr="00D42EFF" w:rsidRDefault="00D42EFF">
            <w:pPr>
              <w:spacing w:line="210" w:lineRule="auto"/>
              <w:rPr>
                <w:color w:val="000000" w:themeColor="text1"/>
              </w:rPr>
            </w:pPr>
            <w:r w:rsidRPr="00D42EFF">
              <w:rPr>
                <w:color w:val="000000" w:themeColor="text1"/>
                <w:sz w:val="15"/>
                <w:szCs w:val="15"/>
              </w:rPr>
              <w:t>Sustained EDSS 4.0; confirmed EDSS improvement</w:t>
            </w:r>
          </w:p>
        </w:tc>
        <w:tc>
          <w:tcPr>
            <w:tcW w:w="3450" w:type="dxa"/>
            <w:tcMar>
              <w:top w:w="35" w:type="dxa"/>
              <w:left w:w="60" w:type="dxa"/>
              <w:bottom w:w="35" w:type="dxa"/>
              <w:right w:w="60" w:type="dxa"/>
            </w:tcMar>
          </w:tcPr>
          <w:p w14:paraId="48668E00" w14:textId="77777777" w:rsidR="0022120C" w:rsidRPr="00D42EFF" w:rsidRDefault="00D42EFF">
            <w:pPr>
              <w:spacing w:line="210" w:lineRule="auto"/>
              <w:rPr>
                <w:color w:val="000000" w:themeColor="text1"/>
              </w:rPr>
            </w:pPr>
            <w:r w:rsidRPr="00D42EFF">
              <w:rPr>
                <w:color w:val="000000" w:themeColor="text1"/>
                <w:sz w:val="15"/>
                <w:szCs w:val="15"/>
              </w:rPr>
              <w:t>Sustained EDSS 4.0: HR 1.17 (95% CI 1.05–1.30), p = 0.004. Confirmed improvement</w:t>
            </w:r>
            <w:r w:rsidRPr="00D42EFF">
              <w:rPr>
                <w:color w:val="000000" w:themeColor="text1"/>
                <w:sz w:val="15"/>
                <w:szCs w:val="15"/>
              </w:rPr>
              <w:t>: HR 0.90 (95% CI 0.84–0.96), p = 0.001</w:t>
            </w:r>
          </w:p>
        </w:tc>
        <w:tc>
          <w:tcPr>
            <w:tcW w:w="1200" w:type="dxa"/>
            <w:shd w:val="clear" w:color="auto" w:fill="C6E0B4"/>
            <w:tcMar>
              <w:top w:w="35" w:type="dxa"/>
              <w:left w:w="60" w:type="dxa"/>
              <w:bottom w:w="35" w:type="dxa"/>
              <w:right w:w="60" w:type="dxa"/>
            </w:tcMar>
          </w:tcPr>
          <w:p w14:paraId="216282B9"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36B755D1" w14:textId="77777777">
        <w:tc>
          <w:tcPr>
            <w:tcW w:w="2050" w:type="dxa"/>
            <w:shd w:val="clear" w:color="auto" w:fill="F2F2F2"/>
            <w:tcMar>
              <w:top w:w="35" w:type="dxa"/>
              <w:left w:w="60" w:type="dxa"/>
              <w:bottom w:w="35" w:type="dxa"/>
              <w:right w:w="60" w:type="dxa"/>
            </w:tcMar>
          </w:tcPr>
          <w:p w14:paraId="6A695421" w14:textId="77777777" w:rsidR="0022120C" w:rsidRPr="00D42EFF" w:rsidRDefault="00D42EFF">
            <w:pPr>
              <w:spacing w:line="210" w:lineRule="auto"/>
              <w:rPr>
                <w:color w:val="000000" w:themeColor="text1"/>
              </w:rPr>
            </w:pPr>
            <w:r w:rsidRPr="00D42EFF">
              <w:rPr>
                <w:b/>
                <w:bCs/>
                <w:color w:val="000000" w:themeColor="text1"/>
                <w:sz w:val="15"/>
                <w:szCs w:val="15"/>
              </w:rPr>
              <w:t>Two-year delay vs early DMT</w:t>
            </w:r>
          </w:p>
        </w:tc>
        <w:tc>
          <w:tcPr>
            <w:tcW w:w="1750" w:type="dxa"/>
            <w:shd w:val="clear" w:color="auto" w:fill="F2F2F2"/>
            <w:tcMar>
              <w:top w:w="35" w:type="dxa"/>
              <w:left w:w="60" w:type="dxa"/>
              <w:bottom w:w="35" w:type="dxa"/>
              <w:right w:w="60" w:type="dxa"/>
            </w:tcMar>
          </w:tcPr>
          <w:p w14:paraId="65CD55E5" w14:textId="77777777" w:rsidR="0022120C" w:rsidRPr="00D42EFF" w:rsidRDefault="00D42EFF">
            <w:pPr>
              <w:spacing w:line="210" w:lineRule="auto"/>
              <w:rPr>
                <w:color w:val="000000" w:themeColor="text1"/>
              </w:rPr>
            </w:pPr>
            <w:r w:rsidRPr="00D42EFF">
              <w:rPr>
                <w:color w:val="000000" w:themeColor="text1"/>
                <w:sz w:val="15"/>
                <w:szCs w:val="15"/>
              </w:rPr>
              <w:t>Kopp 2020 [17]</w:t>
            </w:r>
          </w:p>
        </w:tc>
        <w:tc>
          <w:tcPr>
            <w:tcW w:w="1700" w:type="dxa"/>
            <w:shd w:val="clear" w:color="auto" w:fill="F2F2F2"/>
            <w:tcMar>
              <w:top w:w="35" w:type="dxa"/>
              <w:left w:w="60" w:type="dxa"/>
              <w:bottom w:w="35" w:type="dxa"/>
              <w:right w:w="60" w:type="dxa"/>
            </w:tcMar>
          </w:tcPr>
          <w:p w14:paraId="11651F37" w14:textId="77777777" w:rsidR="0022120C" w:rsidRPr="00D42EFF" w:rsidRDefault="00D42EFF">
            <w:pPr>
              <w:spacing w:line="210" w:lineRule="auto"/>
              <w:rPr>
                <w:color w:val="000000" w:themeColor="text1"/>
              </w:rPr>
            </w:pPr>
            <w:r w:rsidRPr="00D42EFF">
              <w:rPr>
                <w:color w:val="000000" w:themeColor="text1"/>
                <w:sz w:val="15"/>
                <w:szCs w:val="15"/>
              </w:rPr>
              <w:t>Prospective Danish registry cohort; 291 POMS</w:t>
            </w:r>
          </w:p>
        </w:tc>
        <w:tc>
          <w:tcPr>
            <w:tcW w:w="1350" w:type="dxa"/>
            <w:shd w:val="clear" w:color="auto" w:fill="F2F2F2"/>
            <w:tcMar>
              <w:top w:w="35" w:type="dxa"/>
              <w:left w:w="60" w:type="dxa"/>
              <w:bottom w:w="35" w:type="dxa"/>
              <w:right w:w="60" w:type="dxa"/>
            </w:tcMar>
          </w:tcPr>
          <w:p w14:paraId="6F6B3F78"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006ECB2B" w14:textId="77777777" w:rsidR="0022120C" w:rsidRPr="00D42EFF" w:rsidRDefault="00D42EFF">
            <w:pPr>
              <w:spacing w:line="210" w:lineRule="auto"/>
              <w:rPr>
                <w:color w:val="000000" w:themeColor="text1"/>
              </w:rPr>
            </w:pPr>
            <w:r w:rsidRPr="00D42EFF">
              <w:rPr>
                <w:color w:val="000000" w:themeColor="text1"/>
                <w:sz w:val="15"/>
                <w:szCs w:val="15"/>
              </w:rPr>
              <w:t>Sustained EDSS 4.0; confirmed EDSS improvement</w:t>
            </w:r>
          </w:p>
        </w:tc>
        <w:tc>
          <w:tcPr>
            <w:tcW w:w="3450" w:type="dxa"/>
            <w:shd w:val="clear" w:color="auto" w:fill="F2F2F2"/>
            <w:tcMar>
              <w:top w:w="35" w:type="dxa"/>
              <w:left w:w="60" w:type="dxa"/>
              <w:bottom w:w="35" w:type="dxa"/>
              <w:right w:w="60" w:type="dxa"/>
            </w:tcMar>
          </w:tcPr>
          <w:p w14:paraId="3574EBBE" w14:textId="77777777" w:rsidR="0022120C" w:rsidRPr="00D42EFF" w:rsidRDefault="00D42EFF">
            <w:pPr>
              <w:spacing w:line="210" w:lineRule="auto"/>
              <w:rPr>
                <w:color w:val="000000" w:themeColor="text1"/>
              </w:rPr>
            </w:pPr>
            <w:r w:rsidRPr="00D42EFF">
              <w:rPr>
                <w:color w:val="000000" w:themeColor="text1"/>
                <w:sz w:val="15"/>
                <w:szCs w:val="15"/>
              </w:rPr>
              <w:t>Sustained EDSS 4.0: HR 2.52 (95% CI 1.01–6.34), p = 0.049. Confirmed</w:t>
            </w:r>
            <w:r w:rsidRPr="00D42EFF">
              <w:rPr>
                <w:color w:val="000000" w:themeColor="text1"/>
                <w:sz w:val="15"/>
                <w:szCs w:val="15"/>
              </w:rPr>
              <w:t xml:space="preserve"> improvement: HR 0.39 (95% CI 0.26–0.59), p &lt; 0.0001</w:t>
            </w:r>
          </w:p>
        </w:tc>
        <w:tc>
          <w:tcPr>
            <w:tcW w:w="1200" w:type="dxa"/>
            <w:shd w:val="clear" w:color="auto" w:fill="C6E0B4"/>
            <w:tcMar>
              <w:top w:w="35" w:type="dxa"/>
              <w:left w:w="60" w:type="dxa"/>
              <w:bottom w:w="35" w:type="dxa"/>
              <w:right w:w="60" w:type="dxa"/>
            </w:tcMar>
          </w:tcPr>
          <w:p w14:paraId="61849790"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39EB61C9" w14:textId="77777777">
        <w:tc>
          <w:tcPr>
            <w:tcW w:w="2050" w:type="dxa"/>
            <w:tcMar>
              <w:top w:w="35" w:type="dxa"/>
              <w:left w:w="60" w:type="dxa"/>
              <w:bottom w:w="35" w:type="dxa"/>
              <w:right w:w="60" w:type="dxa"/>
            </w:tcMar>
          </w:tcPr>
          <w:p w14:paraId="3263F8FC" w14:textId="77777777" w:rsidR="0022120C" w:rsidRPr="00D42EFF" w:rsidRDefault="00D42EFF">
            <w:pPr>
              <w:spacing w:line="210" w:lineRule="auto"/>
              <w:rPr>
                <w:color w:val="000000" w:themeColor="text1"/>
              </w:rPr>
            </w:pPr>
            <w:r w:rsidRPr="00D42EFF">
              <w:rPr>
                <w:b/>
                <w:bCs/>
                <w:color w:val="000000" w:themeColor="text1"/>
                <w:sz w:val="15"/>
                <w:szCs w:val="15"/>
              </w:rPr>
              <w:t>Early high-efficacy therapy (HET) exposure</w:t>
            </w:r>
          </w:p>
        </w:tc>
        <w:tc>
          <w:tcPr>
            <w:tcW w:w="1750" w:type="dxa"/>
            <w:tcMar>
              <w:top w:w="35" w:type="dxa"/>
              <w:left w:w="60" w:type="dxa"/>
              <w:bottom w:w="35" w:type="dxa"/>
              <w:right w:w="60" w:type="dxa"/>
            </w:tcMar>
          </w:tcPr>
          <w:p w14:paraId="4053AF04" w14:textId="77777777" w:rsidR="0022120C" w:rsidRPr="00D42EFF" w:rsidRDefault="00D42EFF">
            <w:pPr>
              <w:spacing w:line="210" w:lineRule="auto"/>
              <w:rPr>
                <w:color w:val="000000" w:themeColor="text1"/>
              </w:rPr>
            </w:pPr>
            <w:r w:rsidRPr="00D42EFF">
              <w:rPr>
                <w:color w:val="000000" w:themeColor="text1"/>
                <w:sz w:val="15"/>
                <w:szCs w:val="15"/>
              </w:rPr>
              <w:t>De Meo 2021 [16]</w:t>
            </w:r>
          </w:p>
        </w:tc>
        <w:tc>
          <w:tcPr>
            <w:tcW w:w="1700" w:type="dxa"/>
            <w:tcMar>
              <w:top w:w="35" w:type="dxa"/>
              <w:left w:w="60" w:type="dxa"/>
              <w:bottom w:w="35" w:type="dxa"/>
              <w:right w:w="60" w:type="dxa"/>
            </w:tcMar>
          </w:tcPr>
          <w:p w14:paraId="656E13A1" w14:textId="77777777" w:rsidR="0022120C" w:rsidRPr="00D42EFF" w:rsidRDefault="00D42EFF">
            <w:pPr>
              <w:spacing w:line="210" w:lineRule="auto"/>
              <w:rPr>
                <w:color w:val="000000" w:themeColor="text1"/>
              </w:rPr>
            </w:pPr>
            <w:r w:rsidRPr="00D42EFF">
              <w:rPr>
                <w:color w:val="000000" w:themeColor="text1"/>
                <w:sz w:val="15"/>
                <w:szCs w:val="15"/>
              </w:rPr>
              <w:t>Longitudinal observational cohort; 123 POMS</w:t>
            </w:r>
          </w:p>
        </w:tc>
        <w:tc>
          <w:tcPr>
            <w:tcW w:w="1350" w:type="dxa"/>
            <w:tcMar>
              <w:top w:w="35" w:type="dxa"/>
              <w:left w:w="60" w:type="dxa"/>
              <w:bottom w:w="35" w:type="dxa"/>
              <w:right w:w="60" w:type="dxa"/>
            </w:tcMar>
          </w:tcPr>
          <w:p w14:paraId="4AF3E5E6"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09C77D4D" w14:textId="77777777" w:rsidR="0022120C" w:rsidRPr="00D42EFF" w:rsidRDefault="00D42EFF">
            <w:pPr>
              <w:spacing w:line="210" w:lineRule="auto"/>
              <w:rPr>
                <w:color w:val="000000" w:themeColor="text1"/>
              </w:rPr>
            </w:pPr>
            <w:r w:rsidRPr="00D42EFF">
              <w:rPr>
                <w:color w:val="000000" w:themeColor="text1"/>
                <w:sz w:val="15"/>
                <w:szCs w:val="15"/>
              </w:rPr>
              <w:t>ARR at year 2</w:t>
            </w:r>
          </w:p>
        </w:tc>
        <w:tc>
          <w:tcPr>
            <w:tcW w:w="3450" w:type="dxa"/>
            <w:tcMar>
              <w:top w:w="35" w:type="dxa"/>
              <w:left w:w="60" w:type="dxa"/>
              <w:bottom w:w="35" w:type="dxa"/>
              <w:right w:w="60" w:type="dxa"/>
            </w:tcMar>
          </w:tcPr>
          <w:p w14:paraId="451EB728" w14:textId="77777777" w:rsidR="0022120C" w:rsidRPr="00D42EFF" w:rsidRDefault="00D42EFF">
            <w:pPr>
              <w:spacing w:line="210" w:lineRule="auto"/>
              <w:rPr>
                <w:color w:val="000000" w:themeColor="text1"/>
              </w:rPr>
            </w:pPr>
            <w:sdt>
              <w:sdtPr>
                <w:rPr>
                  <w:color w:val="000000" w:themeColor="text1"/>
                </w:rPr>
                <w:tag w:val="goog_rdk_14"/>
                <w:id w:val="-1199819389"/>
              </w:sdtPr>
              <w:sdtEndPr/>
              <w:sdtContent>
                <w:r w:rsidRPr="00D42EFF">
                  <w:rPr>
                    <w:rFonts w:ascii="Cardo" w:eastAsia="Cardo" w:hAnsi="Cardo" w:cs="Cardo"/>
                    <w:color w:val="000000" w:themeColor="text1"/>
                    <w:sz w:val="15"/>
                    <w:szCs w:val="15"/>
                  </w:rPr>
                  <w:t>β = −0.14, p = 0.01 (linear regression)</w:t>
                </w:r>
              </w:sdtContent>
            </w:sdt>
          </w:p>
        </w:tc>
        <w:tc>
          <w:tcPr>
            <w:tcW w:w="1200" w:type="dxa"/>
            <w:shd w:val="clear" w:color="auto" w:fill="C6E0B4"/>
            <w:tcMar>
              <w:top w:w="35" w:type="dxa"/>
              <w:left w:w="60" w:type="dxa"/>
              <w:bottom w:w="35" w:type="dxa"/>
              <w:right w:w="60" w:type="dxa"/>
            </w:tcMar>
          </w:tcPr>
          <w:p w14:paraId="46655E9C"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03D82FC0" w14:textId="77777777">
        <w:tc>
          <w:tcPr>
            <w:tcW w:w="2050" w:type="dxa"/>
            <w:shd w:val="clear" w:color="auto" w:fill="F2F2F2"/>
            <w:tcMar>
              <w:top w:w="35" w:type="dxa"/>
              <w:left w:w="60" w:type="dxa"/>
              <w:bottom w:w="35" w:type="dxa"/>
              <w:right w:w="60" w:type="dxa"/>
            </w:tcMar>
          </w:tcPr>
          <w:p w14:paraId="16133111" w14:textId="77777777" w:rsidR="0022120C" w:rsidRPr="00D42EFF" w:rsidRDefault="00D42EFF">
            <w:pPr>
              <w:spacing w:line="210" w:lineRule="auto"/>
              <w:rPr>
                <w:color w:val="000000" w:themeColor="text1"/>
              </w:rPr>
            </w:pPr>
            <w:r w:rsidRPr="00D42EFF">
              <w:rPr>
                <w:b/>
                <w:bCs/>
                <w:color w:val="000000" w:themeColor="text1"/>
                <w:sz w:val="15"/>
                <w:szCs w:val="15"/>
              </w:rPr>
              <w:t>HET exposure</w:t>
            </w:r>
          </w:p>
        </w:tc>
        <w:tc>
          <w:tcPr>
            <w:tcW w:w="1750" w:type="dxa"/>
            <w:shd w:val="clear" w:color="auto" w:fill="F2F2F2"/>
            <w:tcMar>
              <w:top w:w="35" w:type="dxa"/>
              <w:left w:w="60" w:type="dxa"/>
              <w:bottom w:w="35" w:type="dxa"/>
              <w:right w:w="60" w:type="dxa"/>
            </w:tcMar>
          </w:tcPr>
          <w:p w14:paraId="794E12DE" w14:textId="77777777" w:rsidR="0022120C" w:rsidRPr="00D42EFF" w:rsidRDefault="00D42EFF">
            <w:pPr>
              <w:spacing w:line="210" w:lineRule="auto"/>
              <w:rPr>
                <w:color w:val="000000" w:themeColor="text1"/>
              </w:rPr>
            </w:pPr>
            <w:r w:rsidRPr="00D42EFF">
              <w:rPr>
                <w:color w:val="000000" w:themeColor="text1"/>
                <w:sz w:val="15"/>
                <w:szCs w:val="15"/>
              </w:rPr>
              <w:t xml:space="preserve">Margoni 2026 </w:t>
            </w:r>
            <w:r w:rsidRPr="00D42EFF">
              <w:rPr>
                <w:color w:val="000000" w:themeColor="text1"/>
                <w:sz w:val="15"/>
                <w:szCs w:val="15"/>
              </w:rPr>
              <w:t>[27]</w:t>
            </w:r>
          </w:p>
        </w:tc>
        <w:tc>
          <w:tcPr>
            <w:tcW w:w="1700" w:type="dxa"/>
            <w:shd w:val="clear" w:color="auto" w:fill="F2F2F2"/>
            <w:tcMar>
              <w:top w:w="35" w:type="dxa"/>
              <w:left w:w="60" w:type="dxa"/>
              <w:bottom w:w="35" w:type="dxa"/>
              <w:right w:w="60" w:type="dxa"/>
            </w:tcMar>
          </w:tcPr>
          <w:p w14:paraId="4336C99B" w14:textId="77777777" w:rsidR="0022120C" w:rsidRPr="00D42EFF" w:rsidRDefault="00D42EFF">
            <w:pPr>
              <w:spacing w:line="210" w:lineRule="auto"/>
              <w:rPr>
                <w:color w:val="000000" w:themeColor="text1"/>
              </w:rPr>
            </w:pPr>
            <w:r w:rsidRPr="00D42EFF">
              <w:rPr>
                <w:color w:val="000000" w:themeColor="text1"/>
                <w:sz w:val="15"/>
                <w:szCs w:val="15"/>
              </w:rPr>
              <w:t>Prospective multicentre; 52 POMS (12.3-year follow-up)</w:t>
            </w:r>
          </w:p>
        </w:tc>
        <w:tc>
          <w:tcPr>
            <w:tcW w:w="1350" w:type="dxa"/>
            <w:shd w:val="clear" w:color="auto" w:fill="F2F2F2"/>
            <w:tcMar>
              <w:top w:w="35" w:type="dxa"/>
              <w:left w:w="60" w:type="dxa"/>
              <w:bottom w:w="35" w:type="dxa"/>
              <w:right w:w="60" w:type="dxa"/>
            </w:tcMar>
          </w:tcPr>
          <w:p w14:paraId="27E11BFF"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01FBD391" w14:textId="77777777" w:rsidR="0022120C" w:rsidRPr="00D42EFF" w:rsidRDefault="00D42EFF">
            <w:pPr>
              <w:spacing w:line="210" w:lineRule="auto"/>
              <w:rPr>
                <w:color w:val="000000" w:themeColor="text1"/>
              </w:rPr>
            </w:pPr>
            <w:r w:rsidRPr="00D42EFF">
              <w:rPr>
                <w:color w:val="000000" w:themeColor="text1"/>
                <w:sz w:val="15"/>
                <w:szCs w:val="15"/>
              </w:rPr>
              <w:t>Time to first relapse; recurrent relapse risk</w:t>
            </w:r>
          </w:p>
        </w:tc>
        <w:tc>
          <w:tcPr>
            <w:tcW w:w="3450" w:type="dxa"/>
            <w:shd w:val="clear" w:color="auto" w:fill="F2F2F2"/>
            <w:tcMar>
              <w:top w:w="35" w:type="dxa"/>
              <w:left w:w="60" w:type="dxa"/>
              <w:bottom w:w="35" w:type="dxa"/>
              <w:right w:w="60" w:type="dxa"/>
            </w:tcMar>
          </w:tcPr>
          <w:p w14:paraId="34F0118E" w14:textId="77777777" w:rsidR="0022120C" w:rsidRPr="00D42EFF" w:rsidRDefault="00D42EFF">
            <w:pPr>
              <w:spacing w:line="210" w:lineRule="auto"/>
              <w:rPr>
                <w:color w:val="000000" w:themeColor="text1"/>
              </w:rPr>
            </w:pPr>
            <w:r w:rsidRPr="00D42EFF">
              <w:rPr>
                <w:color w:val="000000" w:themeColor="text1"/>
                <w:sz w:val="15"/>
                <w:szCs w:val="15"/>
              </w:rPr>
              <w:t>Time to first relapse: HR 0.20, p = 0.010. Recurrent relapse risk: HR 0.21, p &lt; 0.001</w:t>
            </w:r>
          </w:p>
        </w:tc>
        <w:tc>
          <w:tcPr>
            <w:tcW w:w="1200" w:type="dxa"/>
            <w:shd w:val="clear" w:color="auto" w:fill="C6E0B4"/>
            <w:tcMar>
              <w:top w:w="35" w:type="dxa"/>
              <w:left w:w="60" w:type="dxa"/>
              <w:bottom w:w="35" w:type="dxa"/>
              <w:right w:w="60" w:type="dxa"/>
            </w:tcMar>
          </w:tcPr>
          <w:p w14:paraId="78DE510C"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451EE079" w14:textId="77777777">
        <w:tc>
          <w:tcPr>
            <w:tcW w:w="2050" w:type="dxa"/>
            <w:tcMar>
              <w:top w:w="35" w:type="dxa"/>
              <w:left w:w="60" w:type="dxa"/>
              <w:bottom w:w="35" w:type="dxa"/>
              <w:right w:w="60" w:type="dxa"/>
            </w:tcMar>
          </w:tcPr>
          <w:p w14:paraId="17AC8BEE" w14:textId="77777777" w:rsidR="0022120C" w:rsidRPr="00D42EFF" w:rsidRDefault="00D42EFF">
            <w:pPr>
              <w:spacing w:line="210" w:lineRule="auto"/>
              <w:rPr>
                <w:color w:val="000000" w:themeColor="text1"/>
              </w:rPr>
            </w:pPr>
            <w:r w:rsidRPr="00D42EFF">
              <w:rPr>
                <w:b/>
                <w:bCs/>
                <w:color w:val="000000" w:themeColor="text1"/>
                <w:sz w:val="15"/>
                <w:szCs w:val="15"/>
              </w:rPr>
              <w:t>HET vs moderate-efficacy therapy</w:t>
            </w:r>
          </w:p>
        </w:tc>
        <w:tc>
          <w:tcPr>
            <w:tcW w:w="1750" w:type="dxa"/>
            <w:tcMar>
              <w:top w:w="35" w:type="dxa"/>
              <w:left w:w="60" w:type="dxa"/>
              <w:bottom w:w="35" w:type="dxa"/>
              <w:right w:w="60" w:type="dxa"/>
            </w:tcMar>
          </w:tcPr>
          <w:p w14:paraId="5180DF42" w14:textId="77777777" w:rsidR="0022120C" w:rsidRPr="00D42EFF" w:rsidRDefault="00D42EFF">
            <w:pPr>
              <w:spacing w:line="210" w:lineRule="auto"/>
              <w:rPr>
                <w:color w:val="000000" w:themeColor="text1"/>
              </w:rPr>
            </w:pPr>
            <w:r w:rsidRPr="00D42EFF">
              <w:rPr>
                <w:color w:val="000000" w:themeColor="text1"/>
                <w:sz w:val="15"/>
                <w:szCs w:val="15"/>
              </w:rPr>
              <w:t xml:space="preserve">Baroncini 2021 </w:t>
            </w:r>
            <w:r w:rsidRPr="00D42EFF">
              <w:rPr>
                <w:color w:val="000000" w:themeColor="text1"/>
                <w:sz w:val="15"/>
                <w:szCs w:val="15"/>
              </w:rPr>
              <w:t>[55]</w:t>
            </w:r>
          </w:p>
        </w:tc>
        <w:tc>
          <w:tcPr>
            <w:tcW w:w="1700" w:type="dxa"/>
            <w:tcMar>
              <w:top w:w="35" w:type="dxa"/>
              <w:left w:w="60" w:type="dxa"/>
              <w:bottom w:w="35" w:type="dxa"/>
              <w:right w:w="60" w:type="dxa"/>
            </w:tcMar>
          </w:tcPr>
          <w:p w14:paraId="5801D0D9" w14:textId="77777777" w:rsidR="0022120C" w:rsidRPr="00D42EFF" w:rsidRDefault="00D42EFF">
            <w:pPr>
              <w:spacing w:line="210" w:lineRule="auto"/>
              <w:rPr>
                <w:color w:val="000000" w:themeColor="text1"/>
              </w:rPr>
            </w:pPr>
            <w:r w:rsidRPr="00D42EFF">
              <w:rPr>
                <w:color w:val="000000" w:themeColor="text1"/>
                <w:sz w:val="15"/>
                <w:szCs w:val="15"/>
              </w:rPr>
              <w:t>Italian MS Registry; multicentre real-world cohort</w:t>
            </w:r>
          </w:p>
        </w:tc>
        <w:tc>
          <w:tcPr>
            <w:tcW w:w="1350" w:type="dxa"/>
            <w:tcMar>
              <w:top w:w="35" w:type="dxa"/>
              <w:left w:w="60" w:type="dxa"/>
              <w:bottom w:w="35" w:type="dxa"/>
              <w:right w:w="60" w:type="dxa"/>
            </w:tcMar>
          </w:tcPr>
          <w:p w14:paraId="58B607EC"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5A5AC292" w14:textId="77777777" w:rsidR="0022120C" w:rsidRPr="00D42EFF" w:rsidRDefault="00D42EFF">
            <w:pPr>
              <w:spacing w:line="210" w:lineRule="auto"/>
              <w:rPr>
                <w:color w:val="000000" w:themeColor="text1"/>
              </w:rPr>
            </w:pPr>
            <w:r w:rsidRPr="00D42EFF">
              <w:rPr>
                <w:color w:val="000000" w:themeColor="text1"/>
                <w:sz w:val="15"/>
                <w:szCs w:val="15"/>
              </w:rPr>
              <w:t>Disability worsening across disability states</w:t>
            </w:r>
          </w:p>
        </w:tc>
        <w:tc>
          <w:tcPr>
            <w:tcW w:w="3450" w:type="dxa"/>
            <w:tcMar>
              <w:top w:w="35" w:type="dxa"/>
              <w:left w:w="60" w:type="dxa"/>
              <w:bottom w:w="35" w:type="dxa"/>
              <w:right w:w="60" w:type="dxa"/>
            </w:tcMar>
          </w:tcPr>
          <w:p w14:paraId="66E75312" w14:textId="77777777" w:rsidR="0022120C" w:rsidRPr="00D42EFF" w:rsidRDefault="00D42EFF">
            <w:pPr>
              <w:spacing w:line="210" w:lineRule="auto"/>
              <w:rPr>
                <w:color w:val="000000" w:themeColor="text1"/>
              </w:rPr>
            </w:pPr>
            <w:r w:rsidRPr="00D42EFF">
              <w:rPr>
                <w:color w:val="000000" w:themeColor="text1"/>
                <w:sz w:val="15"/>
                <w:szCs w:val="15"/>
              </w:rPr>
              <w:t>HR 0.41 (95% CI 0.31–0.53) in the minimal-disability state</w:t>
            </w:r>
          </w:p>
        </w:tc>
        <w:tc>
          <w:tcPr>
            <w:tcW w:w="1200" w:type="dxa"/>
            <w:shd w:val="clear" w:color="auto" w:fill="C6E0B4"/>
            <w:tcMar>
              <w:top w:w="35" w:type="dxa"/>
              <w:left w:w="60" w:type="dxa"/>
              <w:bottom w:w="35" w:type="dxa"/>
              <w:right w:w="60" w:type="dxa"/>
            </w:tcMar>
          </w:tcPr>
          <w:p w14:paraId="536AD94A"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7B16AB98" w14:textId="77777777">
        <w:tc>
          <w:tcPr>
            <w:tcW w:w="2050" w:type="dxa"/>
            <w:shd w:val="clear" w:color="auto" w:fill="F2F2F2"/>
            <w:tcMar>
              <w:top w:w="35" w:type="dxa"/>
              <w:left w:w="60" w:type="dxa"/>
              <w:bottom w:w="35" w:type="dxa"/>
              <w:right w:w="60" w:type="dxa"/>
            </w:tcMar>
          </w:tcPr>
          <w:p w14:paraId="4C964DB6" w14:textId="77777777" w:rsidR="0022120C" w:rsidRPr="00D42EFF" w:rsidRDefault="00D42EFF">
            <w:pPr>
              <w:spacing w:line="210" w:lineRule="auto"/>
              <w:rPr>
                <w:color w:val="000000" w:themeColor="text1"/>
              </w:rPr>
            </w:pPr>
            <w:r w:rsidRPr="00D42EFF">
              <w:rPr>
                <w:b/>
                <w:bCs/>
                <w:color w:val="000000" w:themeColor="text1"/>
                <w:sz w:val="15"/>
                <w:szCs w:val="15"/>
              </w:rPr>
              <w:t>DMT class and disability worsening</w:t>
            </w:r>
          </w:p>
        </w:tc>
        <w:tc>
          <w:tcPr>
            <w:tcW w:w="1750" w:type="dxa"/>
            <w:shd w:val="clear" w:color="auto" w:fill="F2F2F2"/>
            <w:tcMar>
              <w:top w:w="35" w:type="dxa"/>
              <w:left w:w="60" w:type="dxa"/>
              <w:bottom w:w="35" w:type="dxa"/>
              <w:right w:w="60" w:type="dxa"/>
            </w:tcMar>
          </w:tcPr>
          <w:p w14:paraId="3D300B18" w14:textId="77777777" w:rsidR="0022120C" w:rsidRPr="00D42EFF" w:rsidRDefault="00D42EFF">
            <w:pPr>
              <w:spacing w:line="210" w:lineRule="auto"/>
              <w:rPr>
                <w:color w:val="000000" w:themeColor="text1"/>
              </w:rPr>
            </w:pPr>
            <w:r w:rsidRPr="00D42EFF">
              <w:rPr>
                <w:color w:val="000000" w:themeColor="text1"/>
                <w:sz w:val="15"/>
                <w:szCs w:val="15"/>
              </w:rPr>
              <w:t>Sharmin 2024 [56]</w:t>
            </w:r>
          </w:p>
        </w:tc>
        <w:tc>
          <w:tcPr>
            <w:tcW w:w="1700" w:type="dxa"/>
            <w:shd w:val="clear" w:color="auto" w:fill="F2F2F2"/>
            <w:tcMar>
              <w:top w:w="35" w:type="dxa"/>
              <w:left w:w="60" w:type="dxa"/>
              <w:bottom w:w="35" w:type="dxa"/>
              <w:right w:w="60" w:type="dxa"/>
            </w:tcMar>
          </w:tcPr>
          <w:p w14:paraId="77267899" w14:textId="77777777" w:rsidR="0022120C" w:rsidRPr="00D42EFF" w:rsidRDefault="00D42EFF">
            <w:pPr>
              <w:spacing w:line="210" w:lineRule="auto"/>
              <w:rPr>
                <w:color w:val="000000" w:themeColor="text1"/>
              </w:rPr>
            </w:pPr>
            <w:r w:rsidRPr="00D42EFF">
              <w:rPr>
                <w:color w:val="000000" w:themeColor="text1"/>
                <w:sz w:val="15"/>
                <w:szCs w:val="15"/>
              </w:rPr>
              <w:t>Longitudinal analysis</w:t>
            </w:r>
            <w:r w:rsidRPr="00D42EFF">
              <w:rPr>
                <w:color w:val="000000" w:themeColor="text1"/>
                <w:sz w:val="15"/>
                <w:szCs w:val="15"/>
              </w:rPr>
              <w:t xml:space="preserve"> of global and national registries (MSBase; Italian MS Registry)</w:t>
            </w:r>
          </w:p>
        </w:tc>
        <w:tc>
          <w:tcPr>
            <w:tcW w:w="1350" w:type="dxa"/>
            <w:shd w:val="clear" w:color="auto" w:fill="F2F2F2"/>
            <w:tcMar>
              <w:top w:w="35" w:type="dxa"/>
              <w:left w:w="60" w:type="dxa"/>
              <w:bottom w:w="35" w:type="dxa"/>
              <w:right w:w="60" w:type="dxa"/>
            </w:tcMar>
          </w:tcPr>
          <w:p w14:paraId="19ED8078"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47662AE0" w14:textId="77777777" w:rsidR="0022120C" w:rsidRPr="00D42EFF" w:rsidRDefault="00D42EFF">
            <w:pPr>
              <w:spacing w:line="210" w:lineRule="auto"/>
              <w:rPr>
                <w:color w:val="000000" w:themeColor="text1"/>
              </w:rPr>
            </w:pPr>
            <w:r w:rsidRPr="00D42EFF">
              <w:rPr>
                <w:color w:val="000000" w:themeColor="text1"/>
                <w:sz w:val="15"/>
                <w:szCs w:val="15"/>
              </w:rPr>
              <w:t>Disability worsening</w:t>
            </w:r>
          </w:p>
        </w:tc>
        <w:tc>
          <w:tcPr>
            <w:tcW w:w="3450" w:type="dxa"/>
            <w:shd w:val="clear" w:color="auto" w:fill="F2F2F2"/>
            <w:tcMar>
              <w:top w:w="35" w:type="dxa"/>
              <w:left w:w="60" w:type="dxa"/>
              <w:bottom w:w="35" w:type="dxa"/>
              <w:right w:w="60" w:type="dxa"/>
            </w:tcMar>
          </w:tcPr>
          <w:p w14:paraId="35879E74" w14:textId="77777777" w:rsidR="0022120C" w:rsidRPr="00D42EFF" w:rsidRDefault="00D42EFF">
            <w:pPr>
              <w:spacing w:line="210" w:lineRule="auto"/>
              <w:rPr>
                <w:color w:val="000000" w:themeColor="text1"/>
              </w:rPr>
            </w:pPr>
            <w:r w:rsidRPr="00D42EFF">
              <w:rPr>
                <w:color w:val="000000" w:themeColor="text1"/>
                <w:sz w:val="15"/>
                <w:szCs w:val="15"/>
              </w:rPr>
              <w:t>Concordant protective effect of high-efficacy therapy on disability worsening in POMS</w:t>
            </w:r>
          </w:p>
        </w:tc>
        <w:tc>
          <w:tcPr>
            <w:tcW w:w="1200" w:type="dxa"/>
            <w:shd w:val="clear" w:color="auto" w:fill="C6E0B4"/>
            <w:tcMar>
              <w:top w:w="35" w:type="dxa"/>
              <w:left w:w="60" w:type="dxa"/>
              <w:bottom w:w="35" w:type="dxa"/>
              <w:right w:w="60" w:type="dxa"/>
            </w:tcMar>
          </w:tcPr>
          <w:p w14:paraId="2ED6A222"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14EDCD58" w14:textId="77777777">
        <w:tc>
          <w:tcPr>
            <w:tcW w:w="2050" w:type="dxa"/>
            <w:tcMar>
              <w:top w:w="35" w:type="dxa"/>
              <w:left w:w="60" w:type="dxa"/>
              <w:bottom w:w="35" w:type="dxa"/>
              <w:right w:w="60" w:type="dxa"/>
            </w:tcMar>
          </w:tcPr>
          <w:p w14:paraId="2FC1DDBB" w14:textId="77777777" w:rsidR="0022120C" w:rsidRPr="00D42EFF" w:rsidRDefault="00D42EFF">
            <w:pPr>
              <w:spacing w:line="210" w:lineRule="auto"/>
              <w:rPr>
                <w:color w:val="000000" w:themeColor="text1"/>
              </w:rPr>
            </w:pPr>
            <w:r w:rsidRPr="00D42EFF">
              <w:rPr>
                <w:b/>
                <w:bCs/>
                <w:color w:val="000000" w:themeColor="text1"/>
                <w:sz w:val="15"/>
                <w:szCs w:val="15"/>
              </w:rPr>
              <w:t>First-line HET</w:t>
            </w:r>
          </w:p>
        </w:tc>
        <w:tc>
          <w:tcPr>
            <w:tcW w:w="1750" w:type="dxa"/>
            <w:tcMar>
              <w:top w:w="35" w:type="dxa"/>
              <w:left w:w="60" w:type="dxa"/>
              <w:bottom w:w="35" w:type="dxa"/>
              <w:right w:w="60" w:type="dxa"/>
            </w:tcMar>
          </w:tcPr>
          <w:p w14:paraId="3B641DFC" w14:textId="77777777" w:rsidR="0022120C" w:rsidRPr="00D42EFF" w:rsidRDefault="00D42EFF">
            <w:pPr>
              <w:spacing w:line="210" w:lineRule="auto"/>
              <w:rPr>
                <w:color w:val="000000" w:themeColor="text1"/>
              </w:rPr>
            </w:pPr>
            <w:r w:rsidRPr="00D42EFF">
              <w:rPr>
                <w:color w:val="000000" w:themeColor="text1"/>
                <w:sz w:val="15"/>
                <w:szCs w:val="15"/>
              </w:rPr>
              <w:t>Benallegue 2024 [57]</w:t>
            </w:r>
          </w:p>
        </w:tc>
        <w:tc>
          <w:tcPr>
            <w:tcW w:w="1700" w:type="dxa"/>
            <w:tcMar>
              <w:top w:w="35" w:type="dxa"/>
              <w:left w:w="60" w:type="dxa"/>
              <w:bottom w:w="35" w:type="dxa"/>
              <w:right w:w="60" w:type="dxa"/>
            </w:tcMar>
          </w:tcPr>
          <w:p w14:paraId="0ADF183A" w14:textId="77777777" w:rsidR="0022120C" w:rsidRPr="00D42EFF" w:rsidRDefault="00D42EFF">
            <w:pPr>
              <w:spacing w:line="210" w:lineRule="auto"/>
              <w:rPr>
                <w:color w:val="000000" w:themeColor="text1"/>
              </w:rPr>
            </w:pPr>
            <w:r w:rsidRPr="00D42EFF">
              <w:rPr>
                <w:color w:val="000000" w:themeColor="text1"/>
                <w:sz w:val="15"/>
                <w:szCs w:val="15"/>
              </w:rPr>
              <w:t>French national cohort (OFSEP)</w:t>
            </w:r>
          </w:p>
        </w:tc>
        <w:tc>
          <w:tcPr>
            <w:tcW w:w="1350" w:type="dxa"/>
            <w:tcMar>
              <w:top w:w="35" w:type="dxa"/>
              <w:left w:w="60" w:type="dxa"/>
              <w:bottom w:w="35" w:type="dxa"/>
              <w:right w:w="60" w:type="dxa"/>
            </w:tcMar>
          </w:tcPr>
          <w:p w14:paraId="2BB12E15"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47419A45" w14:textId="77777777" w:rsidR="0022120C" w:rsidRPr="00D42EFF" w:rsidRDefault="00D42EFF">
            <w:pPr>
              <w:spacing w:line="210" w:lineRule="auto"/>
              <w:rPr>
                <w:color w:val="000000" w:themeColor="text1"/>
              </w:rPr>
            </w:pPr>
            <w:r w:rsidRPr="00D42EFF">
              <w:rPr>
                <w:color w:val="000000" w:themeColor="text1"/>
                <w:sz w:val="15"/>
                <w:szCs w:val="15"/>
              </w:rPr>
              <w:t>Time to first relapse</w:t>
            </w:r>
          </w:p>
        </w:tc>
        <w:tc>
          <w:tcPr>
            <w:tcW w:w="3450" w:type="dxa"/>
            <w:tcMar>
              <w:top w:w="35" w:type="dxa"/>
              <w:left w:w="60" w:type="dxa"/>
              <w:bottom w:w="35" w:type="dxa"/>
              <w:right w:w="60" w:type="dxa"/>
            </w:tcMar>
          </w:tcPr>
          <w:p w14:paraId="3AC81D36" w14:textId="77777777" w:rsidR="0022120C" w:rsidRPr="00D42EFF" w:rsidRDefault="00D42EFF">
            <w:pPr>
              <w:spacing w:line="210" w:lineRule="auto"/>
              <w:rPr>
                <w:color w:val="000000" w:themeColor="text1"/>
              </w:rPr>
            </w:pPr>
            <w:r w:rsidRPr="00D42EFF">
              <w:rPr>
                <w:color w:val="000000" w:themeColor="text1"/>
                <w:sz w:val="15"/>
                <w:szCs w:val="15"/>
              </w:rPr>
              <w:t>54% reduction in first-relapse risk: HR 0.46 (95% CI 0.31–0.67), p &lt; 0.001</w:t>
            </w:r>
          </w:p>
        </w:tc>
        <w:tc>
          <w:tcPr>
            <w:tcW w:w="1200" w:type="dxa"/>
            <w:shd w:val="clear" w:color="auto" w:fill="C6E0B4"/>
            <w:tcMar>
              <w:top w:w="35" w:type="dxa"/>
              <w:left w:w="60" w:type="dxa"/>
              <w:bottom w:w="35" w:type="dxa"/>
              <w:right w:w="60" w:type="dxa"/>
            </w:tcMar>
          </w:tcPr>
          <w:p w14:paraId="2A1579C9"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r w:rsidR="00D42EFF" w:rsidRPr="00D42EFF" w14:paraId="418617B3" w14:textId="77777777">
        <w:tc>
          <w:tcPr>
            <w:tcW w:w="2050" w:type="dxa"/>
            <w:shd w:val="clear" w:color="auto" w:fill="F2F2F2"/>
            <w:tcMar>
              <w:top w:w="35" w:type="dxa"/>
              <w:left w:w="60" w:type="dxa"/>
              <w:bottom w:w="35" w:type="dxa"/>
              <w:right w:w="60" w:type="dxa"/>
            </w:tcMar>
          </w:tcPr>
          <w:p w14:paraId="01EB5ABA" w14:textId="77777777" w:rsidR="0022120C" w:rsidRPr="00D42EFF" w:rsidRDefault="00D42EFF">
            <w:pPr>
              <w:spacing w:line="210" w:lineRule="auto"/>
              <w:rPr>
                <w:color w:val="000000" w:themeColor="text1"/>
              </w:rPr>
            </w:pPr>
            <w:r w:rsidRPr="00D42EFF">
              <w:rPr>
                <w:b/>
                <w:bCs/>
                <w:color w:val="000000" w:themeColor="text1"/>
                <w:sz w:val="15"/>
                <w:szCs w:val="15"/>
              </w:rPr>
              <w:t>High-efficacy therapy — narrative synthesis</w:t>
            </w:r>
          </w:p>
        </w:tc>
        <w:tc>
          <w:tcPr>
            <w:tcW w:w="1750" w:type="dxa"/>
            <w:shd w:val="clear" w:color="auto" w:fill="F2F2F2"/>
            <w:tcMar>
              <w:top w:w="35" w:type="dxa"/>
              <w:left w:w="60" w:type="dxa"/>
              <w:bottom w:w="35" w:type="dxa"/>
              <w:right w:w="60" w:type="dxa"/>
            </w:tcMar>
          </w:tcPr>
          <w:p w14:paraId="3D043610" w14:textId="77777777" w:rsidR="0022120C" w:rsidRPr="00D42EFF" w:rsidRDefault="00D42EFF">
            <w:pPr>
              <w:spacing w:line="210" w:lineRule="auto"/>
              <w:rPr>
                <w:color w:val="000000" w:themeColor="text1"/>
              </w:rPr>
            </w:pPr>
            <w:r w:rsidRPr="00D42EFF">
              <w:rPr>
                <w:color w:val="000000" w:themeColor="text1"/>
                <w:sz w:val="15"/>
                <w:szCs w:val="15"/>
              </w:rPr>
              <w:t>Aljomah &amp; Yeh 2025 [58]</w:t>
            </w:r>
          </w:p>
        </w:tc>
        <w:tc>
          <w:tcPr>
            <w:tcW w:w="1700" w:type="dxa"/>
            <w:shd w:val="clear" w:color="auto" w:fill="F2F2F2"/>
            <w:tcMar>
              <w:top w:w="35" w:type="dxa"/>
              <w:left w:w="60" w:type="dxa"/>
              <w:bottom w:w="35" w:type="dxa"/>
              <w:right w:w="60" w:type="dxa"/>
            </w:tcMar>
          </w:tcPr>
          <w:p w14:paraId="659AC8E6" w14:textId="77777777" w:rsidR="0022120C" w:rsidRPr="00D42EFF" w:rsidRDefault="00D42EFF">
            <w:pPr>
              <w:spacing w:line="210" w:lineRule="auto"/>
              <w:rPr>
                <w:color w:val="000000" w:themeColor="text1"/>
              </w:rPr>
            </w:pPr>
            <w:r w:rsidRPr="00D42EFF">
              <w:rPr>
                <w:color w:val="000000" w:themeColor="text1"/>
                <w:sz w:val="15"/>
                <w:szCs w:val="15"/>
              </w:rPr>
              <w:t>Review</w:t>
            </w:r>
          </w:p>
        </w:tc>
        <w:tc>
          <w:tcPr>
            <w:tcW w:w="1350" w:type="dxa"/>
            <w:shd w:val="clear" w:color="auto" w:fill="F2F2F2"/>
            <w:tcMar>
              <w:top w:w="35" w:type="dxa"/>
              <w:left w:w="60" w:type="dxa"/>
              <w:bottom w:w="35" w:type="dxa"/>
              <w:right w:w="60" w:type="dxa"/>
            </w:tcMar>
          </w:tcPr>
          <w:p w14:paraId="7E19FC2A"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45EBC494" w14:textId="77777777" w:rsidR="0022120C" w:rsidRPr="00D42EFF" w:rsidRDefault="00D42EFF">
            <w:pPr>
              <w:spacing w:line="210" w:lineRule="auto"/>
              <w:rPr>
                <w:color w:val="000000" w:themeColor="text1"/>
              </w:rPr>
            </w:pPr>
            <w:r w:rsidRPr="00D42EFF">
              <w:rPr>
                <w:color w:val="000000" w:themeColor="text1"/>
                <w:sz w:val="15"/>
                <w:szCs w:val="15"/>
              </w:rPr>
              <w:t>Long-term outcome</w:t>
            </w:r>
          </w:p>
        </w:tc>
        <w:tc>
          <w:tcPr>
            <w:tcW w:w="3450" w:type="dxa"/>
            <w:shd w:val="clear" w:color="auto" w:fill="F2F2F2"/>
            <w:tcMar>
              <w:top w:w="35" w:type="dxa"/>
              <w:left w:w="60" w:type="dxa"/>
              <w:bottom w:w="35" w:type="dxa"/>
              <w:right w:w="60" w:type="dxa"/>
            </w:tcMar>
          </w:tcPr>
          <w:p w14:paraId="00E13C35" w14:textId="77777777" w:rsidR="0022120C" w:rsidRPr="00D42EFF" w:rsidRDefault="00D42EFF">
            <w:pPr>
              <w:spacing w:line="210" w:lineRule="auto"/>
              <w:rPr>
                <w:color w:val="000000" w:themeColor="text1"/>
              </w:rPr>
            </w:pPr>
            <w:r w:rsidRPr="00D42EFF">
              <w:rPr>
                <w:color w:val="000000" w:themeColor="text1"/>
                <w:sz w:val="15"/>
                <w:szCs w:val="15"/>
              </w:rPr>
              <w:t xml:space="preserve">Narrative synthesis supporting improved </w:t>
            </w:r>
            <w:r w:rsidRPr="00D42EFF">
              <w:rPr>
                <w:color w:val="000000" w:themeColor="text1"/>
                <w:sz w:val="15"/>
                <w:szCs w:val="15"/>
              </w:rPr>
              <w:t>outcome with high-efficacy therapies in POMS</w:t>
            </w:r>
          </w:p>
        </w:tc>
        <w:tc>
          <w:tcPr>
            <w:tcW w:w="1200" w:type="dxa"/>
            <w:shd w:val="clear" w:color="auto" w:fill="C6E0B4"/>
            <w:tcMar>
              <w:top w:w="35" w:type="dxa"/>
              <w:left w:w="60" w:type="dxa"/>
              <w:bottom w:w="35" w:type="dxa"/>
              <w:right w:w="60" w:type="dxa"/>
            </w:tcMar>
          </w:tcPr>
          <w:p w14:paraId="5BCF79F2" w14:textId="77777777" w:rsidR="0022120C" w:rsidRPr="00D42EFF" w:rsidRDefault="00D42EFF">
            <w:pPr>
              <w:spacing w:line="210" w:lineRule="auto"/>
              <w:jc w:val="center"/>
              <w:rPr>
                <w:color w:val="000000" w:themeColor="text1"/>
              </w:rPr>
            </w:pPr>
            <w:r w:rsidRPr="00D42EFF">
              <w:rPr>
                <w:color w:val="000000" w:themeColor="text1"/>
                <w:sz w:val="15"/>
                <w:szCs w:val="15"/>
              </w:rPr>
              <w:t>A</w:t>
            </w:r>
          </w:p>
        </w:tc>
      </w:tr>
    </w:tbl>
    <w:p w14:paraId="50480AB7" w14:textId="77777777" w:rsidR="0022120C" w:rsidRPr="00D42EFF" w:rsidRDefault="00D42EFF">
      <w:pPr>
        <w:spacing w:after="160" w:line="220" w:lineRule="auto"/>
        <w:jc w:val="both"/>
        <w:rPr>
          <w:color w:val="000000" w:themeColor="text1"/>
        </w:rPr>
      </w:pPr>
      <w:r w:rsidRPr="00D42EFF">
        <w:rPr>
          <w:i/>
          <w:iCs/>
          <w:color w:val="000000" w:themeColor="text1"/>
          <w:sz w:val="15"/>
          <w:szCs w:val="15"/>
        </w:rPr>
        <w:t xml:space="preserve">ARR, annualised relapse rate; DMT, disease-modifying therapy; EDSS, Expanded Disability Status Scale; HET, high-efficacy therapy; HR, hazard ratio; POMS, pediatric-onset multiple sclerosis. Important caveat: </w:t>
      </w:r>
      <w:r w:rsidRPr="00D42EFF">
        <w:rPr>
          <w:i/>
          <w:iCs/>
          <w:color w:val="000000" w:themeColor="text1"/>
          <w:sz w:val="15"/>
          <w:szCs w:val="15"/>
        </w:rPr>
        <w:t>all associations in this table are subject to confounding by indication. Children with more aggressive disease are escalated earliest to high-efficacy therapy, so the observational benefit of HET is confounded, and the apparent prognostic effect of adverse</w:t>
      </w:r>
      <w:r w:rsidRPr="00D42EFF">
        <w:rPr>
          <w:i/>
          <w:iCs/>
          <w:color w:val="000000" w:themeColor="text1"/>
          <w:sz w:val="15"/>
          <w:szCs w:val="15"/>
        </w:rPr>
        <w:t xml:space="preserve"> baseline features is attenuated in treated cohorts. Dynamic markers (sNfL, lesion accrual, relapse rate) change after treatment initiation. PARADIGMS (fingolimod vs interferon beta-1a) remains the only randomised comparison of a high-efficacy agent agains</w:t>
      </w:r>
      <w:r w:rsidRPr="00D42EFF">
        <w:rPr>
          <w:i/>
          <w:iCs/>
          <w:color w:val="000000" w:themeColor="text1"/>
          <w:sz w:val="15"/>
          <w:szCs w:val="15"/>
        </w:rPr>
        <w:t>t an injectable in this population.</w:t>
      </w:r>
    </w:p>
    <w:p w14:paraId="76CFDC67" w14:textId="77777777" w:rsidR="0022120C" w:rsidRPr="00D42EFF" w:rsidRDefault="00D42EFF">
      <w:pPr>
        <w:spacing w:before="280" w:after="120"/>
        <w:rPr>
          <w:color w:val="000000" w:themeColor="text1"/>
        </w:rPr>
      </w:pPr>
      <w:r w:rsidRPr="00D42EFF">
        <w:rPr>
          <w:b/>
          <w:bCs/>
          <w:color w:val="000000" w:themeColor="text1"/>
          <w:sz w:val="24"/>
          <w:szCs w:val="24"/>
        </w:rPr>
        <w:t>Table S5. Dietary, environmental, perinatal and parental factors</w:t>
      </w:r>
    </w:p>
    <w:p w14:paraId="1F475807" w14:textId="77777777" w:rsidR="0022120C" w:rsidRPr="00D42EFF" w:rsidRDefault="00D42EFF">
      <w:pPr>
        <w:spacing w:after="120" w:line="220" w:lineRule="auto"/>
        <w:jc w:val="both"/>
        <w:rPr>
          <w:color w:val="000000" w:themeColor="text1"/>
        </w:rPr>
      </w:pPr>
      <w:r w:rsidRPr="00D42EFF">
        <w:rPr>
          <w:i/>
          <w:iCs/>
          <w:color w:val="000000" w:themeColor="text1"/>
          <w:sz w:val="15"/>
          <w:szCs w:val="15"/>
        </w:rPr>
        <w:t xml:space="preserve">Unless otherwise indicated, the factors in this table pertain to the risk of developing POMS and have not been shown to predict relapse activity, </w:t>
      </w:r>
      <w:r w:rsidRPr="00D42EFF">
        <w:rPr>
          <w:i/>
          <w:iCs/>
          <w:color w:val="000000" w:themeColor="text1"/>
          <w:sz w:val="15"/>
          <w:szCs w:val="15"/>
        </w:rPr>
        <w:t>disability accrual, cognitive decline or SPMS conversion among children already diagnosed with MS. They are reported for context and for their relevance to primary prevention, and are not proposed as candidate variables for a prognostic score. The three ro</w:t>
      </w:r>
      <w:r w:rsidRPr="00D42EFF">
        <w:rPr>
          <w:i/>
          <w:iCs/>
          <w:color w:val="000000" w:themeColor="text1"/>
          <w:sz w:val="15"/>
          <w:szCs w:val="15"/>
        </w:rPr>
        <w:t>ws graded B were assessed against post-diagnosis outcomes and are therefore prognostic in nature.</w:t>
      </w:r>
    </w:p>
    <w:tbl>
      <w:tblPr>
        <w:tblStyle w:val="a3"/>
        <w:tblW w:w="13400" w:type="dxa"/>
        <w:tblInd w:w="0" w:type="dxa"/>
        <w:tblBorders>
          <w:top w:val="single" w:sz="4" w:space="0" w:color="1F3864"/>
          <w:left w:val="nil"/>
          <w:bottom w:val="single" w:sz="4" w:space="0" w:color="1F3864"/>
          <w:right w:val="nil"/>
          <w:insideH w:val="single" w:sz="4" w:space="0" w:color="BFBFBF"/>
          <w:insideV w:val="single" w:sz="4" w:space="0" w:color="E7E7E7"/>
        </w:tblBorders>
        <w:tblLayout w:type="fixed"/>
        <w:tblLook w:val="0000" w:firstRow="0" w:lastRow="0" w:firstColumn="0" w:lastColumn="0" w:noHBand="0" w:noVBand="0"/>
      </w:tblPr>
      <w:tblGrid>
        <w:gridCol w:w="2050"/>
        <w:gridCol w:w="1750"/>
        <w:gridCol w:w="1700"/>
        <w:gridCol w:w="1350"/>
        <w:gridCol w:w="1900"/>
        <w:gridCol w:w="3450"/>
        <w:gridCol w:w="1200"/>
      </w:tblGrid>
      <w:tr w:rsidR="00D42EFF" w:rsidRPr="00D42EFF" w14:paraId="2425220D" w14:textId="77777777">
        <w:trPr>
          <w:tblHeader/>
        </w:trPr>
        <w:tc>
          <w:tcPr>
            <w:tcW w:w="2050" w:type="dxa"/>
            <w:shd w:val="clear" w:color="auto" w:fill="1F3864"/>
            <w:tcMar>
              <w:top w:w="50" w:type="dxa"/>
              <w:left w:w="60" w:type="dxa"/>
              <w:bottom w:w="50" w:type="dxa"/>
              <w:right w:w="60" w:type="dxa"/>
            </w:tcMar>
            <w:vAlign w:val="center"/>
          </w:tcPr>
          <w:p w14:paraId="0F08BAB8" w14:textId="77777777" w:rsidR="0022120C" w:rsidRPr="00D42EFF" w:rsidRDefault="00D42EFF">
            <w:pPr>
              <w:spacing w:line="210" w:lineRule="auto"/>
              <w:jc w:val="center"/>
              <w:rPr>
                <w:color w:val="000000" w:themeColor="text1"/>
              </w:rPr>
            </w:pPr>
            <w:r w:rsidRPr="00D42EFF">
              <w:rPr>
                <w:b/>
                <w:bCs/>
                <w:color w:val="000000" w:themeColor="text1"/>
                <w:sz w:val="16"/>
                <w:szCs w:val="16"/>
              </w:rPr>
              <w:t>Factor</w:t>
            </w:r>
          </w:p>
        </w:tc>
        <w:tc>
          <w:tcPr>
            <w:tcW w:w="1750" w:type="dxa"/>
            <w:shd w:val="clear" w:color="auto" w:fill="1F3864"/>
            <w:tcMar>
              <w:top w:w="50" w:type="dxa"/>
              <w:left w:w="60" w:type="dxa"/>
              <w:bottom w:w="50" w:type="dxa"/>
              <w:right w:w="60" w:type="dxa"/>
            </w:tcMar>
            <w:vAlign w:val="center"/>
          </w:tcPr>
          <w:p w14:paraId="5CEFE4D5" w14:textId="77777777" w:rsidR="0022120C" w:rsidRPr="00D42EFF" w:rsidRDefault="00D42EFF">
            <w:pPr>
              <w:spacing w:line="210" w:lineRule="auto"/>
              <w:jc w:val="center"/>
              <w:rPr>
                <w:color w:val="000000" w:themeColor="text1"/>
              </w:rPr>
            </w:pPr>
            <w:r w:rsidRPr="00D42EFF">
              <w:rPr>
                <w:b/>
                <w:bCs/>
                <w:color w:val="000000" w:themeColor="text1"/>
                <w:sz w:val="16"/>
                <w:szCs w:val="16"/>
              </w:rPr>
              <w:t>Study [ref]</w:t>
            </w:r>
          </w:p>
        </w:tc>
        <w:tc>
          <w:tcPr>
            <w:tcW w:w="1700" w:type="dxa"/>
            <w:shd w:val="clear" w:color="auto" w:fill="1F3864"/>
            <w:tcMar>
              <w:top w:w="50" w:type="dxa"/>
              <w:left w:w="60" w:type="dxa"/>
              <w:bottom w:w="50" w:type="dxa"/>
              <w:right w:w="60" w:type="dxa"/>
            </w:tcMar>
            <w:vAlign w:val="center"/>
          </w:tcPr>
          <w:p w14:paraId="7A2A9DDC" w14:textId="77777777" w:rsidR="0022120C" w:rsidRPr="00D42EFF" w:rsidRDefault="00D42EFF">
            <w:pPr>
              <w:spacing w:line="210" w:lineRule="auto"/>
              <w:jc w:val="center"/>
              <w:rPr>
                <w:color w:val="000000" w:themeColor="text1"/>
              </w:rPr>
            </w:pPr>
            <w:r w:rsidRPr="00D42EFF">
              <w:rPr>
                <w:b/>
                <w:bCs/>
                <w:color w:val="000000" w:themeColor="text1"/>
                <w:sz w:val="16"/>
                <w:szCs w:val="16"/>
              </w:rPr>
              <w:t>Design; N</w:t>
            </w:r>
          </w:p>
        </w:tc>
        <w:tc>
          <w:tcPr>
            <w:tcW w:w="1350" w:type="dxa"/>
            <w:shd w:val="clear" w:color="auto" w:fill="1F3864"/>
            <w:tcMar>
              <w:top w:w="50" w:type="dxa"/>
              <w:left w:w="60" w:type="dxa"/>
              <w:bottom w:w="50" w:type="dxa"/>
              <w:right w:w="60" w:type="dxa"/>
            </w:tcMar>
            <w:vAlign w:val="center"/>
          </w:tcPr>
          <w:p w14:paraId="4FF702FF" w14:textId="77777777" w:rsidR="0022120C" w:rsidRPr="00D42EFF" w:rsidRDefault="00D42EFF">
            <w:pPr>
              <w:spacing w:line="210" w:lineRule="auto"/>
              <w:jc w:val="center"/>
              <w:rPr>
                <w:color w:val="000000" w:themeColor="text1"/>
              </w:rPr>
            </w:pPr>
            <w:r w:rsidRPr="00D42EFF">
              <w:rPr>
                <w:b/>
                <w:bCs/>
                <w:color w:val="000000" w:themeColor="text1"/>
                <w:sz w:val="16"/>
                <w:szCs w:val="16"/>
              </w:rPr>
              <w:t>Axis of inference</w:t>
            </w:r>
          </w:p>
        </w:tc>
        <w:tc>
          <w:tcPr>
            <w:tcW w:w="1900" w:type="dxa"/>
            <w:shd w:val="clear" w:color="auto" w:fill="1F3864"/>
            <w:tcMar>
              <w:top w:w="50" w:type="dxa"/>
              <w:left w:w="60" w:type="dxa"/>
              <w:bottom w:w="50" w:type="dxa"/>
              <w:right w:w="60" w:type="dxa"/>
            </w:tcMar>
            <w:vAlign w:val="center"/>
          </w:tcPr>
          <w:p w14:paraId="523AD710" w14:textId="77777777" w:rsidR="0022120C" w:rsidRPr="00D42EFF" w:rsidRDefault="00D42EFF">
            <w:pPr>
              <w:spacing w:line="210" w:lineRule="auto"/>
              <w:jc w:val="center"/>
              <w:rPr>
                <w:color w:val="000000" w:themeColor="text1"/>
              </w:rPr>
            </w:pPr>
            <w:r w:rsidRPr="00D42EFF">
              <w:rPr>
                <w:b/>
                <w:bCs/>
                <w:color w:val="000000" w:themeColor="text1"/>
                <w:sz w:val="16"/>
                <w:szCs w:val="16"/>
              </w:rPr>
              <w:t>Outcome predicted</w:t>
            </w:r>
          </w:p>
        </w:tc>
        <w:tc>
          <w:tcPr>
            <w:tcW w:w="3450" w:type="dxa"/>
            <w:shd w:val="clear" w:color="auto" w:fill="1F3864"/>
            <w:tcMar>
              <w:top w:w="50" w:type="dxa"/>
              <w:left w:w="60" w:type="dxa"/>
              <w:bottom w:w="50" w:type="dxa"/>
              <w:right w:w="60" w:type="dxa"/>
            </w:tcMar>
            <w:vAlign w:val="center"/>
          </w:tcPr>
          <w:p w14:paraId="36596644" w14:textId="77777777" w:rsidR="0022120C" w:rsidRPr="00D42EFF" w:rsidRDefault="00D42EFF">
            <w:pPr>
              <w:spacing w:line="210" w:lineRule="auto"/>
              <w:jc w:val="center"/>
              <w:rPr>
                <w:color w:val="000000" w:themeColor="text1"/>
              </w:rPr>
            </w:pPr>
            <w:r w:rsidRPr="00D42EFF">
              <w:rPr>
                <w:b/>
                <w:bCs/>
                <w:color w:val="000000" w:themeColor="text1"/>
                <w:sz w:val="16"/>
                <w:szCs w:val="16"/>
              </w:rPr>
              <w:t>Effect estimate</w:t>
            </w:r>
          </w:p>
        </w:tc>
        <w:tc>
          <w:tcPr>
            <w:tcW w:w="1200" w:type="dxa"/>
            <w:shd w:val="clear" w:color="auto" w:fill="1F3864"/>
            <w:tcMar>
              <w:top w:w="50" w:type="dxa"/>
              <w:left w:w="60" w:type="dxa"/>
              <w:bottom w:w="50" w:type="dxa"/>
              <w:right w:w="60" w:type="dxa"/>
            </w:tcMar>
            <w:vAlign w:val="center"/>
          </w:tcPr>
          <w:p w14:paraId="1EB5164C" w14:textId="77777777" w:rsidR="0022120C" w:rsidRPr="00D42EFF" w:rsidRDefault="00D42EFF">
            <w:pPr>
              <w:spacing w:line="210" w:lineRule="auto"/>
              <w:jc w:val="center"/>
              <w:rPr>
                <w:color w:val="000000" w:themeColor="text1"/>
              </w:rPr>
            </w:pPr>
            <w:r w:rsidRPr="00D42EFF">
              <w:rPr>
                <w:b/>
                <w:bCs/>
                <w:color w:val="000000" w:themeColor="text1"/>
                <w:sz w:val="16"/>
                <w:szCs w:val="16"/>
              </w:rPr>
              <w:t>Evidence tier</w:t>
            </w:r>
          </w:p>
        </w:tc>
      </w:tr>
      <w:tr w:rsidR="00D42EFF" w:rsidRPr="00D42EFF" w14:paraId="6894E25B" w14:textId="77777777">
        <w:tc>
          <w:tcPr>
            <w:tcW w:w="2050" w:type="dxa"/>
            <w:tcMar>
              <w:top w:w="35" w:type="dxa"/>
              <w:left w:w="60" w:type="dxa"/>
              <w:bottom w:w="35" w:type="dxa"/>
              <w:right w:w="60" w:type="dxa"/>
            </w:tcMar>
          </w:tcPr>
          <w:p w14:paraId="3F98084A" w14:textId="77777777" w:rsidR="0022120C" w:rsidRPr="00D42EFF" w:rsidRDefault="00D42EFF">
            <w:pPr>
              <w:spacing w:line="210" w:lineRule="auto"/>
              <w:rPr>
                <w:color w:val="000000" w:themeColor="text1"/>
              </w:rPr>
            </w:pPr>
            <w:r w:rsidRPr="00D42EFF">
              <w:rPr>
                <w:b/>
                <w:bCs/>
                <w:color w:val="000000" w:themeColor="text1"/>
                <w:sz w:val="15"/>
                <w:szCs w:val="15"/>
              </w:rPr>
              <w:t>High BMI / obesity in childhood and adolescence</w:t>
            </w:r>
          </w:p>
        </w:tc>
        <w:tc>
          <w:tcPr>
            <w:tcW w:w="1750" w:type="dxa"/>
            <w:tcMar>
              <w:top w:w="35" w:type="dxa"/>
              <w:left w:w="60" w:type="dxa"/>
              <w:bottom w:w="35" w:type="dxa"/>
              <w:right w:w="60" w:type="dxa"/>
            </w:tcMar>
          </w:tcPr>
          <w:p w14:paraId="4682E83B" w14:textId="77777777" w:rsidR="0022120C" w:rsidRPr="00D42EFF" w:rsidRDefault="00D42EFF">
            <w:pPr>
              <w:spacing w:line="210" w:lineRule="auto"/>
              <w:rPr>
                <w:color w:val="000000" w:themeColor="text1"/>
              </w:rPr>
            </w:pPr>
            <w:r w:rsidRPr="00D42EFF">
              <w:rPr>
                <w:color w:val="000000" w:themeColor="text1"/>
                <w:sz w:val="15"/>
                <w:szCs w:val="15"/>
              </w:rPr>
              <w:t xml:space="preserve">Milles 2021 </w:t>
            </w:r>
            <w:r w:rsidRPr="00D42EFF">
              <w:rPr>
                <w:color w:val="000000" w:themeColor="text1"/>
                <w:sz w:val="15"/>
                <w:szCs w:val="15"/>
              </w:rPr>
              <w:t>[32]; Chitnis 2016 [34]; Brenton 2019 [35]; Langer-Gould 2013 [36]; Hagman 2025 [37]; Papetti 2023 [38]</w:t>
            </w:r>
          </w:p>
        </w:tc>
        <w:tc>
          <w:tcPr>
            <w:tcW w:w="1700" w:type="dxa"/>
            <w:tcMar>
              <w:top w:w="35" w:type="dxa"/>
              <w:left w:w="60" w:type="dxa"/>
              <w:bottom w:w="35" w:type="dxa"/>
              <w:right w:w="60" w:type="dxa"/>
            </w:tcMar>
          </w:tcPr>
          <w:p w14:paraId="2714081C" w14:textId="77777777" w:rsidR="0022120C" w:rsidRPr="00D42EFF" w:rsidRDefault="00D42EFF">
            <w:pPr>
              <w:spacing w:line="210" w:lineRule="auto"/>
              <w:rPr>
                <w:color w:val="000000" w:themeColor="text1"/>
              </w:rPr>
            </w:pPr>
            <w:r w:rsidRPr="00D42EFF">
              <w:rPr>
                <w:color w:val="000000" w:themeColor="text1"/>
                <w:sz w:val="15"/>
                <w:szCs w:val="15"/>
              </w:rPr>
              <w:t>Case-control and cohort studies; 569–21,652 individuals</w:t>
            </w:r>
          </w:p>
        </w:tc>
        <w:tc>
          <w:tcPr>
            <w:tcW w:w="1350" w:type="dxa"/>
            <w:tcMar>
              <w:top w:w="35" w:type="dxa"/>
              <w:left w:w="60" w:type="dxa"/>
              <w:bottom w:w="35" w:type="dxa"/>
              <w:right w:w="60" w:type="dxa"/>
            </w:tcMar>
          </w:tcPr>
          <w:p w14:paraId="4687EA7F" w14:textId="77777777" w:rsidR="0022120C" w:rsidRPr="00D42EFF" w:rsidRDefault="00D42EFF">
            <w:pPr>
              <w:spacing w:line="210" w:lineRule="auto"/>
              <w:jc w:val="center"/>
              <w:rPr>
                <w:color w:val="000000" w:themeColor="text1"/>
              </w:rPr>
            </w:pPr>
            <w:r w:rsidRPr="00D42EFF">
              <w:rPr>
                <w:color w:val="000000" w:themeColor="text1"/>
                <w:sz w:val="15"/>
                <w:szCs w:val="15"/>
              </w:rPr>
              <w:t>Susceptibility</w:t>
            </w:r>
          </w:p>
        </w:tc>
        <w:tc>
          <w:tcPr>
            <w:tcW w:w="1900" w:type="dxa"/>
            <w:tcMar>
              <w:top w:w="35" w:type="dxa"/>
              <w:left w:w="60" w:type="dxa"/>
              <w:bottom w:w="35" w:type="dxa"/>
              <w:right w:w="60" w:type="dxa"/>
            </w:tcMar>
          </w:tcPr>
          <w:p w14:paraId="673BD92F" w14:textId="77777777" w:rsidR="0022120C" w:rsidRPr="00D42EFF" w:rsidRDefault="00D42EFF">
            <w:pPr>
              <w:spacing w:line="210" w:lineRule="auto"/>
              <w:rPr>
                <w:color w:val="000000" w:themeColor="text1"/>
              </w:rPr>
            </w:pPr>
            <w:r w:rsidRPr="00D42EFF">
              <w:rPr>
                <w:color w:val="000000" w:themeColor="text1"/>
                <w:sz w:val="15"/>
                <w:szCs w:val="15"/>
              </w:rPr>
              <w:t>Risk of POMS; age at onset</w:t>
            </w:r>
          </w:p>
        </w:tc>
        <w:tc>
          <w:tcPr>
            <w:tcW w:w="3450" w:type="dxa"/>
            <w:tcMar>
              <w:top w:w="35" w:type="dxa"/>
              <w:left w:w="60" w:type="dxa"/>
              <w:bottom w:w="35" w:type="dxa"/>
              <w:right w:w="60" w:type="dxa"/>
            </w:tcMar>
          </w:tcPr>
          <w:p w14:paraId="7E07D21D" w14:textId="77777777" w:rsidR="0022120C" w:rsidRPr="00D42EFF" w:rsidRDefault="00D42EFF">
            <w:pPr>
              <w:spacing w:line="210" w:lineRule="auto"/>
              <w:rPr>
                <w:color w:val="000000" w:themeColor="text1"/>
              </w:rPr>
            </w:pPr>
            <w:r w:rsidRPr="00D42EFF">
              <w:rPr>
                <w:color w:val="000000" w:themeColor="text1"/>
                <w:sz w:val="15"/>
                <w:szCs w:val="15"/>
              </w:rPr>
              <w:t>Boys with POMS: current BMI +2.9 and recalled</w:t>
            </w:r>
            <w:r w:rsidRPr="00D42EFF">
              <w:rPr>
                <w:color w:val="000000" w:themeColor="text1"/>
                <w:sz w:val="15"/>
                <w:szCs w:val="15"/>
              </w:rPr>
              <w:t xml:space="preserve"> BMI +2.95 vs controls, p &lt; 0.01 [32]. Consistent association with greater MS risk and earlier onset across cohorts</w:t>
            </w:r>
          </w:p>
        </w:tc>
        <w:tc>
          <w:tcPr>
            <w:tcW w:w="1200" w:type="dxa"/>
            <w:shd w:val="clear" w:color="auto" w:fill="D9D9D9"/>
            <w:tcMar>
              <w:top w:w="35" w:type="dxa"/>
              <w:left w:w="60" w:type="dxa"/>
              <w:bottom w:w="35" w:type="dxa"/>
              <w:right w:w="60" w:type="dxa"/>
            </w:tcMar>
          </w:tcPr>
          <w:p w14:paraId="0D148DE9" w14:textId="77777777" w:rsidR="0022120C" w:rsidRPr="00D42EFF" w:rsidRDefault="00D42EFF">
            <w:pPr>
              <w:spacing w:line="210" w:lineRule="auto"/>
              <w:jc w:val="center"/>
              <w:rPr>
                <w:color w:val="000000" w:themeColor="text1"/>
              </w:rPr>
            </w:pPr>
            <w:r w:rsidRPr="00D42EFF">
              <w:rPr>
                <w:color w:val="000000" w:themeColor="text1"/>
                <w:sz w:val="15"/>
                <w:szCs w:val="15"/>
              </w:rPr>
              <w:t>C</w:t>
            </w:r>
          </w:p>
        </w:tc>
      </w:tr>
      <w:tr w:rsidR="00D42EFF" w:rsidRPr="00D42EFF" w14:paraId="1A60BC78" w14:textId="77777777">
        <w:tc>
          <w:tcPr>
            <w:tcW w:w="2050" w:type="dxa"/>
            <w:shd w:val="clear" w:color="auto" w:fill="F2F2F2"/>
            <w:tcMar>
              <w:top w:w="35" w:type="dxa"/>
              <w:left w:w="60" w:type="dxa"/>
              <w:bottom w:w="35" w:type="dxa"/>
              <w:right w:w="60" w:type="dxa"/>
            </w:tcMar>
          </w:tcPr>
          <w:p w14:paraId="32BCBE89" w14:textId="77777777" w:rsidR="0022120C" w:rsidRPr="00D42EFF" w:rsidRDefault="00D42EFF">
            <w:pPr>
              <w:spacing w:line="210" w:lineRule="auto"/>
              <w:rPr>
                <w:color w:val="000000" w:themeColor="text1"/>
              </w:rPr>
            </w:pPr>
            <w:r w:rsidRPr="00D42EFF">
              <w:rPr>
                <w:b/>
                <w:bCs/>
                <w:color w:val="000000" w:themeColor="text1"/>
                <w:sz w:val="15"/>
                <w:szCs w:val="15"/>
              </w:rPr>
              <w:t>Low vitamin D (genetic risk score)</w:t>
            </w:r>
          </w:p>
        </w:tc>
        <w:tc>
          <w:tcPr>
            <w:tcW w:w="1750" w:type="dxa"/>
            <w:shd w:val="clear" w:color="auto" w:fill="F2F2F2"/>
            <w:tcMar>
              <w:top w:w="35" w:type="dxa"/>
              <w:left w:w="60" w:type="dxa"/>
              <w:bottom w:w="35" w:type="dxa"/>
              <w:right w:w="60" w:type="dxa"/>
            </w:tcMar>
          </w:tcPr>
          <w:p w14:paraId="0DE662D1" w14:textId="77777777" w:rsidR="0022120C" w:rsidRPr="00D42EFF" w:rsidRDefault="00D42EFF">
            <w:pPr>
              <w:spacing w:line="210" w:lineRule="auto"/>
              <w:rPr>
                <w:color w:val="000000" w:themeColor="text1"/>
              </w:rPr>
            </w:pPr>
            <w:r w:rsidRPr="00D42EFF">
              <w:rPr>
                <w:color w:val="000000" w:themeColor="text1"/>
                <w:sz w:val="15"/>
                <w:szCs w:val="15"/>
              </w:rPr>
              <w:t>Gianfrancesco 2017 [33]</w:t>
            </w:r>
          </w:p>
        </w:tc>
        <w:tc>
          <w:tcPr>
            <w:tcW w:w="1700" w:type="dxa"/>
            <w:shd w:val="clear" w:color="auto" w:fill="F2F2F2"/>
            <w:tcMar>
              <w:top w:w="35" w:type="dxa"/>
              <w:left w:w="60" w:type="dxa"/>
              <w:bottom w:w="35" w:type="dxa"/>
              <w:right w:w="60" w:type="dxa"/>
            </w:tcMar>
          </w:tcPr>
          <w:p w14:paraId="5A69A59F" w14:textId="77777777" w:rsidR="0022120C" w:rsidRPr="00D42EFF" w:rsidRDefault="00D42EFF">
            <w:pPr>
              <w:spacing w:line="210" w:lineRule="auto"/>
              <w:rPr>
                <w:color w:val="000000" w:themeColor="text1"/>
              </w:rPr>
            </w:pPr>
            <w:r w:rsidRPr="00D42EFF">
              <w:rPr>
                <w:color w:val="000000" w:themeColor="text1"/>
                <w:sz w:val="15"/>
                <w:szCs w:val="15"/>
              </w:rPr>
              <w:t>Mendelian randomisation</w:t>
            </w:r>
          </w:p>
        </w:tc>
        <w:tc>
          <w:tcPr>
            <w:tcW w:w="1350" w:type="dxa"/>
            <w:shd w:val="clear" w:color="auto" w:fill="F2F2F2"/>
            <w:tcMar>
              <w:top w:w="35" w:type="dxa"/>
              <w:left w:w="60" w:type="dxa"/>
              <w:bottom w:w="35" w:type="dxa"/>
              <w:right w:w="60" w:type="dxa"/>
            </w:tcMar>
          </w:tcPr>
          <w:p w14:paraId="2203995C" w14:textId="77777777" w:rsidR="0022120C" w:rsidRPr="00D42EFF" w:rsidRDefault="00D42EFF">
            <w:pPr>
              <w:spacing w:line="210" w:lineRule="auto"/>
              <w:jc w:val="center"/>
              <w:rPr>
                <w:color w:val="000000" w:themeColor="text1"/>
              </w:rPr>
            </w:pPr>
            <w:r w:rsidRPr="00D42EFF">
              <w:rPr>
                <w:color w:val="000000" w:themeColor="text1"/>
                <w:sz w:val="15"/>
                <w:szCs w:val="15"/>
              </w:rPr>
              <w:t>Susceptibility</w:t>
            </w:r>
          </w:p>
        </w:tc>
        <w:tc>
          <w:tcPr>
            <w:tcW w:w="1900" w:type="dxa"/>
            <w:shd w:val="clear" w:color="auto" w:fill="F2F2F2"/>
            <w:tcMar>
              <w:top w:w="35" w:type="dxa"/>
              <w:left w:w="60" w:type="dxa"/>
              <w:bottom w:w="35" w:type="dxa"/>
              <w:right w:w="60" w:type="dxa"/>
            </w:tcMar>
          </w:tcPr>
          <w:p w14:paraId="7F1F14AB" w14:textId="77777777" w:rsidR="0022120C" w:rsidRPr="00D42EFF" w:rsidRDefault="00D42EFF">
            <w:pPr>
              <w:spacing w:line="210" w:lineRule="auto"/>
              <w:rPr>
                <w:color w:val="000000" w:themeColor="text1"/>
              </w:rPr>
            </w:pPr>
            <w:r w:rsidRPr="00D42EFF">
              <w:rPr>
                <w:color w:val="000000" w:themeColor="text1"/>
                <w:sz w:val="15"/>
                <w:szCs w:val="15"/>
              </w:rPr>
              <w:t>Risk of POMS</w:t>
            </w:r>
          </w:p>
        </w:tc>
        <w:tc>
          <w:tcPr>
            <w:tcW w:w="3450" w:type="dxa"/>
            <w:shd w:val="clear" w:color="auto" w:fill="F2F2F2"/>
            <w:tcMar>
              <w:top w:w="35" w:type="dxa"/>
              <w:left w:w="60" w:type="dxa"/>
              <w:bottom w:w="35" w:type="dxa"/>
              <w:right w:w="60" w:type="dxa"/>
            </w:tcMar>
          </w:tcPr>
          <w:p w14:paraId="6668D171" w14:textId="77777777" w:rsidR="0022120C" w:rsidRPr="00D42EFF" w:rsidRDefault="00D42EFF">
            <w:pPr>
              <w:spacing w:line="210" w:lineRule="auto"/>
              <w:rPr>
                <w:color w:val="000000" w:themeColor="text1"/>
              </w:rPr>
            </w:pPr>
            <w:r w:rsidRPr="00D42EFF">
              <w:rPr>
                <w:color w:val="000000" w:themeColor="text1"/>
                <w:sz w:val="15"/>
                <w:szCs w:val="15"/>
              </w:rPr>
              <w:t>Vitamin D GRS associated</w:t>
            </w:r>
            <w:r w:rsidRPr="00D42EFF">
              <w:rPr>
                <w:color w:val="000000" w:themeColor="text1"/>
                <w:sz w:val="15"/>
                <w:szCs w:val="15"/>
              </w:rPr>
              <w:t xml:space="preserve"> with higher serum 25(OH)D decreased POMS odds: OR 0.72 (95% CI 0.55–0.94), p = 0.02. Mendelian randomisation design strengthens causal inference</w:t>
            </w:r>
          </w:p>
        </w:tc>
        <w:tc>
          <w:tcPr>
            <w:tcW w:w="1200" w:type="dxa"/>
            <w:shd w:val="clear" w:color="auto" w:fill="D9D9D9"/>
            <w:tcMar>
              <w:top w:w="35" w:type="dxa"/>
              <w:left w:w="60" w:type="dxa"/>
              <w:bottom w:w="35" w:type="dxa"/>
              <w:right w:w="60" w:type="dxa"/>
            </w:tcMar>
          </w:tcPr>
          <w:p w14:paraId="5E37B67D" w14:textId="77777777" w:rsidR="0022120C" w:rsidRPr="00D42EFF" w:rsidRDefault="00D42EFF">
            <w:pPr>
              <w:spacing w:line="210" w:lineRule="auto"/>
              <w:jc w:val="center"/>
              <w:rPr>
                <w:color w:val="000000" w:themeColor="text1"/>
              </w:rPr>
            </w:pPr>
            <w:r w:rsidRPr="00D42EFF">
              <w:rPr>
                <w:color w:val="000000" w:themeColor="text1"/>
                <w:sz w:val="15"/>
                <w:szCs w:val="15"/>
              </w:rPr>
              <w:t>C</w:t>
            </w:r>
          </w:p>
        </w:tc>
      </w:tr>
      <w:tr w:rsidR="00D42EFF" w:rsidRPr="00D42EFF" w14:paraId="61FBE8CE" w14:textId="77777777">
        <w:tc>
          <w:tcPr>
            <w:tcW w:w="2050" w:type="dxa"/>
            <w:tcMar>
              <w:top w:w="35" w:type="dxa"/>
              <w:left w:w="60" w:type="dxa"/>
              <w:bottom w:w="35" w:type="dxa"/>
              <w:right w:w="60" w:type="dxa"/>
            </w:tcMar>
          </w:tcPr>
          <w:p w14:paraId="0C2B0005" w14:textId="77777777" w:rsidR="0022120C" w:rsidRPr="00D42EFF" w:rsidRDefault="00D42EFF">
            <w:pPr>
              <w:spacing w:line="210" w:lineRule="auto"/>
              <w:rPr>
                <w:color w:val="000000" w:themeColor="text1"/>
              </w:rPr>
            </w:pPr>
            <w:r w:rsidRPr="00D42EFF">
              <w:rPr>
                <w:b/>
                <w:bCs/>
                <w:color w:val="000000" w:themeColor="text1"/>
                <w:sz w:val="15"/>
                <w:szCs w:val="15"/>
              </w:rPr>
              <w:t>Vitamin D status after diagnosis</w:t>
            </w:r>
          </w:p>
        </w:tc>
        <w:tc>
          <w:tcPr>
            <w:tcW w:w="1750" w:type="dxa"/>
            <w:tcMar>
              <w:top w:w="35" w:type="dxa"/>
              <w:left w:w="60" w:type="dxa"/>
              <w:bottom w:w="35" w:type="dxa"/>
              <w:right w:w="60" w:type="dxa"/>
            </w:tcMar>
          </w:tcPr>
          <w:p w14:paraId="68AC6AAC" w14:textId="77777777" w:rsidR="0022120C" w:rsidRPr="00D42EFF" w:rsidRDefault="00D42EFF">
            <w:pPr>
              <w:spacing w:line="210" w:lineRule="auto"/>
              <w:rPr>
                <w:color w:val="000000" w:themeColor="text1"/>
              </w:rPr>
            </w:pPr>
            <w:r w:rsidRPr="00D42EFF">
              <w:rPr>
                <w:color w:val="000000" w:themeColor="text1"/>
                <w:sz w:val="15"/>
                <w:szCs w:val="15"/>
              </w:rPr>
              <w:t>Mowry 2010 [43]; Graves 2020 [42]</w:t>
            </w:r>
          </w:p>
        </w:tc>
        <w:tc>
          <w:tcPr>
            <w:tcW w:w="1700" w:type="dxa"/>
            <w:tcMar>
              <w:top w:w="35" w:type="dxa"/>
              <w:left w:w="60" w:type="dxa"/>
              <w:bottom w:w="35" w:type="dxa"/>
              <w:right w:w="60" w:type="dxa"/>
            </w:tcMar>
          </w:tcPr>
          <w:p w14:paraId="398544CB" w14:textId="77777777" w:rsidR="0022120C" w:rsidRPr="00D42EFF" w:rsidRDefault="00D42EFF">
            <w:pPr>
              <w:spacing w:line="210" w:lineRule="auto"/>
              <w:rPr>
                <w:color w:val="000000" w:themeColor="text1"/>
              </w:rPr>
            </w:pPr>
            <w:r w:rsidRPr="00D42EFF">
              <w:rPr>
                <w:color w:val="000000" w:themeColor="text1"/>
                <w:sz w:val="15"/>
                <w:szCs w:val="15"/>
              </w:rPr>
              <w:t>Observational cohorts; POMS</w:t>
            </w:r>
          </w:p>
        </w:tc>
        <w:tc>
          <w:tcPr>
            <w:tcW w:w="1350" w:type="dxa"/>
            <w:tcMar>
              <w:top w:w="35" w:type="dxa"/>
              <w:left w:w="60" w:type="dxa"/>
              <w:bottom w:w="35" w:type="dxa"/>
              <w:right w:w="60" w:type="dxa"/>
            </w:tcMar>
          </w:tcPr>
          <w:p w14:paraId="48ACE056"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tcMar>
              <w:top w:w="35" w:type="dxa"/>
              <w:left w:w="60" w:type="dxa"/>
              <w:bottom w:w="35" w:type="dxa"/>
              <w:right w:w="60" w:type="dxa"/>
            </w:tcMar>
          </w:tcPr>
          <w:p w14:paraId="2B270CC0" w14:textId="77777777" w:rsidR="0022120C" w:rsidRPr="00D42EFF" w:rsidRDefault="00D42EFF">
            <w:pPr>
              <w:spacing w:line="210" w:lineRule="auto"/>
              <w:rPr>
                <w:color w:val="000000" w:themeColor="text1"/>
              </w:rPr>
            </w:pPr>
            <w:r w:rsidRPr="00D42EFF">
              <w:rPr>
                <w:color w:val="000000" w:themeColor="text1"/>
                <w:sz w:val="15"/>
                <w:szCs w:val="15"/>
              </w:rPr>
              <w:t>Re</w:t>
            </w:r>
            <w:r w:rsidRPr="00D42EFF">
              <w:rPr>
                <w:color w:val="000000" w:themeColor="text1"/>
                <w:sz w:val="15"/>
                <w:szCs w:val="15"/>
              </w:rPr>
              <w:t>lapse rate</w:t>
            </w:r>
          </w:p>
        </w:tc>
        <w:tc>
          <w:tcPr>
            <w:tcW w:w="3450" w:type="dxa"/>
            <w:tcMar>
              <w:top w:w="35" w:type="dxa"/>
              <w:left w:w="60" w:type="dxa"/>
              <w:bottom w:w="35" w:type="dxa"/>
              <w:right w:w="60" w:type="dxa"/>
            </w:tcMar>
          </w:tcPr>
          <w:p w14:paraId="1420DC7F" w14:textId="77777777" w:rsidR="0022120C" w:rsidRPr="00D42EFF" w:rsidRDefault="00D42EFF">
            <w:pPr>
              <w:spacing w:line="210" w:lineRule="auto"/>
              <w:rPr>
                <w:color w:val="000000" w:themeColor="text1"/>
              </w:rPr>
            </w:pPr>
            <w:r w:rsidRPr="00D42EFF">
              <w:rPr>
                <w:color w:val="000000" w:themeColor="text1"/>
                <w:sz w:val="15"/>
                <w:szCs w:val="15"/>
              </w:rPr>
              <w:t>Lower 25(OH)D associated with higher relapse rate in established POMS [43]; vitamin D pathway genes influence relapses [42]. Association, not causation; interventional data lacking</w:t>
            </w:r>
          </w:p>
        </w:tc>
        <w:tc>
          <w:tcPr>
            <w:tcW w:w="1200" w:type="dxa"/>
            <w:shd w:val="clear" w:color="auto" w:fill="FFE699"/>
            <w:tcMar>
              <w:top w:w="35" w:type="dxa"/>
              <w:left w:w="60" w:type="dxa"/>
              <w:bottom w:w="35" w:type="dxa"/>
              <w:right w:w="60" w:type="dxa"/>
            </w:tcMar>
          </w:tcPr>
          <w:p w14:paraId="4BB7B732"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r w:rsidR="00D42EFF" w:rsidRPr="00D42EFF" w14:paraId="1696123F" w14:textId="77777777">
        <w:tc>
          <w:tcPr>
            <w:tcW w:w="2050" w:type="dxa"/>
            <w:shd w:val="clear" w:color="auto" w:fill="F2F2F2"/>
            <w:tcMar>
              <w:top w:w="35" w:type="dxa"/>
              <w:left w:w="60" w:type="dxa"/>
              <w:bottom w:w="35" w:type="dxa"/>
              <w:right w:w="60" w:type="dxa"/>
            </w:tcMar>
          </w:tcPr>
          <w:p w14:paraId="181F1967" w14:textId="77777777" w:rsidR="0022120C" w:rsidRPr="00D42EFF" w:rsidRDefault="00D42EFF">
            <w:pPr>
              <w:spacing w:line="210" w:lineRule="auto"/>
              <w:rPr>
                <w:color w:val="000000" w:themeColor="text1"/>
              </w:rPr>
            </w:pPr>
            <w:r w:rsidRPr="00D42EFF">
              <w:rPr>
                <w:b/>
                <w:bCs/>
                <w:color w:val="000000" w:themeColor="text1"/>
                <w:sz w:val="15"/>
                <w:szCs w:val="15"/>
              </w:rPr>
              <w:t>Dietary intake (fat; saturated fat; vegetables)</w:t>
            </w:r>
          </w:p>
        </w:tc>
        <w:tc>
          <w:tcPr>
            <w:tcW w:w="1750" w:type="dxa"/>
            <w:shd w:val="clear" w:color="auto" w:fill="F2F2F2"/>
            <w:tcMar>
              <w:top w:w="35" w:type="dxa"/>
              <w:left w:w="60" w:type="dxa"/>
              <w:bottom w:w="35" w:type="dxa"/>
              <w:right w:w="60" w:type="dxa"/>
            </w:tcMar>
          </w:tcPr>
          <w:p w14:paraId="7C1E53D7" w14:textId="77777777" w:rsidR="0022120C" w:rsidRPr="00D42EFF" w:rsidRDefault="00D42EFF">
            <w:pPr>
              <w:spacing w:line="210" w:lineRule="auto"/>
              <w:rPr>
                <w:color w:val="000000" w:themeColor="text1"/>
              </w:rPr>
            </w:pPr>
            <w:r w:rsidRPr="00D42EFF">
              <w:rPr>
                <w:color w:val="000000" w:themeColor="text1"/>
                <w:sz w:val="15"/>
                <w:szCs w:val="15"/>
              </w:rPr>
              <w:t>Azary</w:t>
            </w:r>
            <w:r w:rsidRPr="00D42EFF">
              <w:rPr>
                <w:color w:val="000000" w:themeColor="text1"/>
                <w:sz w:val="15"/>
                <w:szCs w:val="15"/>
              </w:rPr>
              <w:t xml:space="preserve"> 2018 [40]</w:t>
            </w:r>
          </w:p>
        </w:tc>
        <w:tc>
          <w:tcPr>
            <w:tcW w:w="1700" w:type="dxa"/>
            <w:shd w:val="clear" w:color="auto" w:fill="F2F2F2"/>
            <w:tcMar>
              <w:top w:w="35" w:type="dxa"/>
              <w:left w:w="60" w:type="dxa"/>
              <w:bottom w:w="35" w:type="dxa"/>
              <w:right w:w="60" w:type="dxa"/>
            </w:tcMar>
          </w:tcPr>
          <w:p w14:paraId="32834DA0" w14:textId="77777777" w:rsidR="0022120C" w:rsidRPr="00D42EFF" w:rsidRDefault="00D42EFF">
            <w:pPr>
              <w:spacing w:line="210" w:lineRule="auto"/>
              <w:rPr>
                <w:color w:val="000000" w:themeColor="text1"/>
              </w:rPr>
            </w:pPr>
            <w:r w:rsidRPr="00D42EFF">
              <w:rPr>
                <w:color w:val="000000" w:themeColor="text1"/>
                <w:sz w:val="15"/>
                <w:szCs w:val="15"/>
              </w:rPr>
              <w:t>Multicentre cohort; 219 POMS / pediatric CIS</w:t>
            </w:r>
          </w:p>
        </w:tc>
        <w:tc>
          <w:tcPr>
            <w:tcW w:w="1350" w:type="dxa"/>
            <w:shd w:val="clear" w:color="auto" w:fill="F2F2F2"/>
            <w:tcMar>
              <w:top w:w="35" w:type="dxa"/>
              <w:left w:w="60" w:type="dxa"/>
              <w:bottom w:w="35" w:type="dxa"/>
              <w:right w:w="60" w:type="dxa"/>
            </w:tcMar>
          </w:tcPr>
          <w:p w14:paraId="7245C9F7"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7A61F692" w14:textId="77777777" w:rsidR="0022120C" w:rsidRPr="00D42EFF" w:rsidRDefault="00D42EFF">
            <w:pPr>
              <w:spacing w:line="210" w:lineRule="auto"/>
              <w:rPr>
                <w:color w:val="000000" w:themeColor="text1"/>
              </w:rPr>
            </w:pPr>
            <w:r w:rsidRPr="00D42EFF">
              <w:rPr>
                <w:color w:val="000000" w:themeColor="text1"/>
                <w:sz w:val="15"/>
                <w:szCs w:val="15"/>
              </w:rPr>
              <w:t>Relapse rate</w:t>
            </w:r>
          </w:p>
        </w:tc>
        <w:tc>
          <w:tcPr>
            <w:tcW w:w="3450" w:type="dxa"/>
            <w:shd w:val="clear" w:color="auto" w:fill="F2F2F2"/>
            <w:tcMar>
              <w:top w:w="35" w:type="dxa"/>
              <w:left w:w="60" w:type="dxa"/>
              <w:bottom w:w="35" w:type="dxa"/>
              <w:right w:w="60" w:type="dxa"/>
            </w:tcMar>
          </w:tcPr>
          <w:p w14:paraId="1B3D4A55" w14:textId="77777777" w:rsidR="0022120C" w:rsidRPr="00D42EFF" w:rsidRDefault="00D42EFF">
            <w:pPr>
              <w:spacing w:line="210" w:lineRule="auto"/>
              <w:rPr>
                <w:color w:val="000000" w:themeColor="text1"/>
              </w:rPr>
            </w:pPr>
            <w:sdt>
              <w:sdtPr>
                <w:rPr>
                  <w:color w:val="000000" w:themeColor="text1"/>
                </w:rPr>
                <w:tag w:val="goog_rdk_15"/>
                <w:id w:val="706490501"/>
              </w:sdtPr>
              <w:sdtEndPr/>
              <w:sdtContent>
                <w:r w:rsidRPr="00D42EFF">
                  <w:rPr>
                    <w:rFonts w:ascii="Gungsuh" w:eastAsia="Gungsuh" w:hAnsi="Gungsuh" w:cs="Gungsuh"/>
                    <w:color w:val="000000" w:themeColor="text1"/>
                    <w:sz w:val="15"/>
                    <w:szCs w:val="15"/>
                  </w:rPr>
                  <w:t xml:space="preserve">Each +10% energy from fat: +56% relapse risk. Each +10% saturated fat: threefold relapse risk. Each +1 cup-equivalent vegetable intake: −50% relapse risk. Self-reported intake, </w:t>
                </w:r>
                <w:r w:rsidRPr="00D42EFF">
                  <w:rPr>
                    <w:rFonts w:ascii="Gungsuh" w:eastAsia="Gungsuh" w:hAnsi="Gungsuh" w:cs="Gungsuh"/>
                    <w:color w:val="000000" w:themeColor="text1"/>
                    <w:sz w:val="15"/>
                    <w:szCs w:val="15"/>
                  </w:rPr>
                  <w:t>single cohort</w:t>
                </w:r>
              </w:sdtContent>
            </w:sdt>
          </w:p>
        </w:tc>
        <w:tc>
          <w:tcPr>
            <w:tcW w:w="1200" w:type="dxa"/>
            <w:shd w:val="clear" w:color="auto" w:fill="FFE699"/>
            <w:tcMar>
              <w:top w:w="35" w:type="dxa"/>
              <w:left w:w="60" w:type="dxa"/>
              <w:bottom w:w="35" w:type="dxa"/>
              <w:right w:w="60" w:type="dxa"/>
            </w:tcMar>
          </w:tcPr>
          <w:p w14:paraId="19596C22"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r w:rsidR="00D42EFF" w:rsidRPr="00D42EFF" w14:paraId="582556A6" w14:textId="77777777">
        <w:tc>
          <w:tcPr>
            <w:tcW w:w="2050" w:type="dxa"/>
            <w:tcMar>
              <w:top w:w="35" w:type="dxa"/>
              <w:left w:w="60" w:type="dxa"/>
              <w:bottom w:w="35" w:type="dxa"/>
              <w:right w:w="60" w:type="dxa"/>
            </w:tcMar>
          </w:tcPr>
          <w:p w14:paraId="1646AFB7" w14:textId="77777777" w:rsidR="0022120C" w:rsidRPr="00D42EFF" w:rsidRDefault="00D42EFF">
            <w:pPr>
              <w:spacing w:line="210" w:lineRule="auto"/>
              <w:rPr>
                <w:color w:val="000000" w:themeColor="text1"/>
              </w:rPr>
            </w:pPr>
            <w:r w:rsidRPr="00D42EFF">
              <w:rPr>
                <w:b/>
                <w:bCs/>
                <w:color w:val="000000" w:themeColor="text1"/>
                <w:sz w:val="15"/>
                <w:szCs w:val="15"/>
              </w:rPr>
              <w:t>Dietary factors (case-control)</w:t>
            </w:r>
          </w:p>
        </w:tc>
        <w:tc>
          <w:tcPr>
            <w:tcW w:w="1750" w:type="dxa"/>
            <w:tcMar>
              <w:top w:w="35" w:type="dxa"/>
              <w:left w:w="60" w:type="dxa"/>
              <w:bottom w:w="35" w:type="dxa"/>
              <w:right w:w="60" w:type="dxa"/>
            </w:tcMar>
          </w:tcPr>
          <w:p w14:paraId="30CFB521" w14:textId="77777777" w:rsidR="0022120C" w:rsidRPr="00D42EFF" w:rsidRDefault="00D42EFF">
            <w:pPr>
              <w:spacing w:line="210" w:lineRule="auto"/>
              <w:rPr>
                <w:color w:val="000000" w:themeColor="text1"/>
              </w:rPr>
            </w:pPr>
            <w:r w:rsidRPr="00D42EFF">
              <w:rPr>
                <w:color w:val="000000" w:themeColor="text1"/>
                <w:sz w:val="15"/>
                <w:szCs w:val="15"/>
              </w:rPr>
              <w:t>Pakpoor 2018 [39]</w:t>
            </w:r>
          </w:p>
        </w:tc>
        <w:tc>
          <w:tcPr>
            <w:tcW w:w="1700" w:type="dxa"/>
            <w:tcMar>
              <w:top w:w="35" w:type="dxa"/>
              <w:left w:w="60" w:type="dxa"/>
              <w:bottom w:w="35" w:type="dxa"/>
              <w:right w:w="60" w:type="dxa"/>
            </w:tcMar>
          </w:tcPr>
          <w:p w14:paraId="2B648EED" w14:textId="77777777" w:rsidR="0022120C" w:rsidRPr="00D42EFF" w:rsidRDefault="00D42EFF">
            <w:pPr>
              <w:spacing w:line="210" w:lineRule="auto"/>
              <w:rPr>
                <w:color w:val="000000" w:themeColor="text1"/>
              </w:rPr>
            </w:pPr>
            <w:r w:rsidRPr="00D42EFF">
              <w:rPr>
                <w:color w:val="000000" w:themeColor="text1"/>
                <w:sz w:val="15"/>
                <w:szCs w:val="15"/>
              </w:rPr>
              <w:t>Multicentre case-control</w:t>
            </w:r>
          </w:p>
        </w:tc>
        <w:tc>
          <w:tcPr>
            <w:tcW w:w="1350" w:type="dxa"/>
            <w:tcMar>
              <w:top w:w="35" w:type="dxa"/>
              <w:left w:w="60" w:type="dxa"/>
              <w:bottom w:w="35" w:type="dxa"/>
              <w:right w:w="60" w:type="dxa"/>
            </w:tcMar>
          </w:tcPr>
          <w:p w14:paraId="4BCBEF11" w14:textId="77777777" w:rsidR="0022120C" w:rsidRPr="00D42EFF" w:rsidRDefault="00D42EFF">
            <w:pPr>
              <w:spacing w:line="210" w:lineRule="auto"/>
              <w:jc w:val="center"/>
              <w:rPr>
                <w:color w:val="000000" w:themeColor="text1"/>
              </w:rPr>
            </w:pPr>
            <w:r w:rsidRPr="00D42EFF">
              <w:rPr>
                <w:color w:val="000000" w:themeColor="text1"/>
                <w:sz w:val="15"/>
                <w:szCs w:val="15"/>
              </w:rPr>
              <w:t>Susceptibility</w:t>
            </w:r>
          </w:p>
        </w:tc>
        <w:tc>
          <w:tcPr>
            <w:tcW w:w="1900" w:type="dxa"/>
            <w:tcMar>
              <w:top w:w="35" w:type="dxa"/>
              <w:left w:w="60" w:type="dxa"/>
              <w:bottom w:w="35" w:type="dxa"/>
              <w:right w:w="60" w:type="dxa"/>
            </w:tcMar>
          </w:tcPr>
          <w:p w14:paraId="699F3843" w14:textId="77777777" w:rsidR="0022120C" w:rsidRPr="00D42EFF" w:rsidRDefault="00D42EFF">
            <w:pPr>
              <w:spacing w:line="210" w:lineRule="auto"/>
              <w:rPr>
                <w:color w:val="000000" w:themeColor="text1"/>
              </w:rPr>
            </w:pPr>
            <w:r w:rsidRPr="00D42EFF">
              <w:rPr>
                <w:color w:val="000000" w:themeColor="text1"/>
                <w:sz w:val="15"/>
                <w:szCs w:val="15"/>
              </w:rPr>
              <w:t>Risk of POMS</w:t>
            </w:r>
          </w:p>
        </w:tc>
        <w:tc>
          <w:tcPr>
            <w:tcW w:w="3450" w:type="dxa"/>
            <w:tcMar>
              <w:top w:w="35" w:type="dxa"/>
              <w:left w:w="60" w:type="dxa"/>
              <w:bottom w:w="35" w:type="dxa"/>
              <w:right w:w="60" w:type="dxa"/>
            </w:tcMar>
          </w:tcPr>
          <w:p w14:paraId="1C3E616C" w14:textId="77777777" w:rsidR="0022120C" w:rsidRPr="00D42EFF" w:rsidRDefault="00D42EFF">
            <w:pPr>
              <w:spacing w:line="210" w:lineRule="auto"/>
              <w:rPr>
                <w:color w:val="000000" w:themeColor="text1"/>
              </w:rPr>
            </w:pPr>
            <w:r w:rsidRPr="00D42EFF">
              <w:rPr>
                <w:color w:val="000000" w:themeColor="text1"/>
                <w:sz w:val="15"/>
                <w:szCs w:val="15"/>
              </w:rPr>
              <w:t xml:space="preserve">Dietary factors associated with POMS risk. Note: the earlier claim regarding iron intake was not supported by these studies and has </w:t>
            </w:r>
            <w:r w:rsidRPr="00D42EFF">
              <w:rPr>
                <w:color w:val="000000" w:themeColor="text1"/>
                <w:sz w:val="15"/>
                <w:szCs w:val="15"/>
              </w:rPr>
              <w:t>been removed from the main text</w:t>
            </w:r>
          </w:p>
        </w:tc>
        <w:tc>
          <w:tcPr>
            <w:tcW w:w="1200" w:type="dxa"/>
            <w:shd w:val="clear" w:color="auto" w:fill="D9D9D9"/>
            <w:tcMar>
              <w:top w:w="35" w:type="dxa"/>
              <w:left w:w="60" w:type="dxa"/>
              <w:bottom w:w="35" w:type="dxa"/>
              <w:right w:w="60" w:type="dxa"/>
            </w:tcMar>
          </w:tcPr>
          <w:p w14:paraId="202C221C" w14:textId="77777777" w:rsidR="0022120C" w:rsidRPr="00D42EFF" w:rsidRDefault="00D42EFF">
            <w:pPr>
              <w:spacing w:line="210" w:lineRule="auto"/>
              <w:jc w:val="center"/>
              <w:rPr>
                <w:color w:val="000000" w:themeColor="text1"/>
              </w:rPr>
            </w:pPr>
            <w:r w:rsidRPr="00D42EFF">
              <w:rPr>
                <w:color w:val="000000" w:themeColor="text1"/>
                <w:sz w:val="15"/>
                <w:szCs w:val="15"/>
              </w:rPr>
              <w:t>C</w:t>
            </w:r>
          </w:p>
        </w:tc>
      </w:tr>
      <w:tr w:rsidR="00D42EFF" w:rsidRPr="00D42EFF" w14:paraId="3D496FD5" w14:textId="77777777">
        <w:tc>
          <w:tcPr>
            <w:tcW w:w="2050" w:type="dxa"/>
            <w:shd w:val="clear" w:color="auto" w:fill="F2F2F2"/>
            <w:tcMar>
              <w:top w:w="35" w:type="dxa"/>
              <w:left w:w="60" w:type="dxa"/>
              <w:bottom w:w="35" w:type="dxa"/>
              <w:right w:w="60" w:type="dxa"/>
            </w:tcMar>
          </w:tcPr>
          <w:p w14:paraId="2B7A0D46" w14:textId="77777777" w:rsidR="0022120C" w:rsidRPr="00D42EFF" w:rsidRDefault="00D42EFF">
            <w:pPr>
              <w:spacing w:line="210" w:lineRule="auto"/>
              <w:rPr>
                <w:color w:val="000000" w:themeColor="text1"/>
              </w:rPr>
            </w:pPr>
            <w:r w:rsidRPr="00D42EFF">
              <w:rPr>
                <w:b/>
                <w:bCs/>
                <w:color w:val="000000" w:themeColor="text1"/>
                <w:sz w:val="15"/>
                <w:szCs w:val="15"/>
              </w:rPr>
              <w:t>Physical activity (lower)</w:t>
            </w:r>
          </w:p>
        </w:tc>
        <w:tc>
          <w:tcPr>
            <w:tcW w:w="1750" w:type="dxa"/>
            <w:shd w:val="clear" w:color="auto" w:fill="F2F2F2"/>
            <w:tcMar>
              <w:top w:w="35" w:type="dxa"/>
              <w:left w:w="60" w:type="dxa"/>
              <w:bottom w:w="35" w:type="dxa"/>
              <w:right w:w="60" w:type="dxa"/>
            </w:tcMar>
          </w:tcPr>
          <w:p w14:paraId="045C10A6" w14:textId="77777777" w:rsidR="0022120C" w:rsidRPr="00D42EFF" w:rsidRDefault="00D42EFF">
            <w:pPr>
              <w:spacing w:line="210" w:lineRule="auto"/>
              <w:rPr>
                <w:color w:val="000000" w:themeColor="text1"/>
              </w:rPr>
            </w:pPr>
            <w:r w:rsidRPr="00D42EFF">
              <w:rPr>
                <w:color w:val="000000" w:themeColor="text1"/>
                <w:sz w:val="15"/>
                <w:szCs w:val="15"/>
              </w:rPr>
              <w:t>Grover 2015 [41]</w:t>
            </w:r>
          </w:p>
        </w:tc>
        <w:tc>
          <w:tcPr>
            <w:tcW w:w="1700" w:type="dxa"/>
            <w:shd w:val="clear" w:color="auto" w:fill="F2F2F2"/>
            <w:tcMar>
              <w:top w:w="35" w:type="dxa"/>
              <w:left w:w="60" w:type="dxa"/>
              <w:bottom w:w="35" w:type="dxa"/>
              <w:right w:w="60" w:type="dxa"/>
            </w:tcMar>
          </w:tcPr>
          <w:p w14:paraId="5AF75817" w14:textId="77777777" w:rsidR="0022120C" w:rsidRPr="00D42EFF" w:rsidRDefault="00D42EFF">
            <w:pPr>
              <w:spacing w:line="210" w:lineRule="auto"/>
              <w:rPr>
                <w:color w:val="000000" w:themeColor="text1"/>
              </w:rPr>
            </w:pPr>
            <w:r w:rsidRPr="00D42EFF">
              <w:rPr>
                <w:color w:val="000000" w:themeColor="text1"/>
                <w:sz w:val="15"/>
                <w:szCs w:val="15"/>
              </w:rPr>
              <w:t>Observational; POMS</w:t>
            </w:r>
          </w:p>
        </w:tc>
        <w:tc>
          <w:tcPr>
            <w:tcW w:w="1350" w:type="dxa"/>
            <w:shd w:val="clear" w:color="auto" w:fill="F2F2F2"/>
            <w:tcMar>
              <w:top w:w="35" w:type="dxa"/>
              <w:left w:w="60" w:type="dxa"/>
              <w:bottom w:w="35" w:type="dxa"/>
              <w:right w:w="60" w:type="dxa"/>
            </w:tcMar>
          </w:tcPr>
          <w:p w14:paraId="5DFB5580" w14:textId="77777777" w:rsidR="0022120C" w:rsidRPr="00D42EFF" w:rsidRDefault="00D42EFF">
            <w:pPr>
              <w:spacing w:line="210" w:lineRule="auto"/>
              <w:jc w:val="center"/>
              <w:rPr>
                <w:color w:val="000000" w:themeColor="text1"/>
              </w:rPr>
            </w:pPr>
            <w:r w:rsidRPr="00D42EFF">
              <w:rPr>
                <w:color w:val="000000" w:themeColor="text1"/>
                <w:sz w:val="15"/>
                <w:szCs w:val="15"/>
              </w:rPr>
              <w:t>Prognosis</w:t>
            </w:r>
          </w:p>
        </w:tc>
        <w:tc>
          <w:tcPr>
            <w:tcW w:w="1900" w:type="dxa"/>
            <w:shd w:val="clear" w:color="auto" w:fill="F2F2F2"/>
            <w:tcMar>
              <w:top w:w="35" w:type="dxa"/>
              <w:left w:w="60" w:type="dxa"/>
              <w:bottom w:w="35" w:type="dxa"/>
              <w:right w:w="60" w:type="dxa"/>
            </w:tcMar>
          </w:tcPr>
          <w:p w14:paraId="0E0C05F7" w14:textId="77777777" w:rsidR="0022120C" w:rsidRPr="00D42EFF" w:rsidRDefault="00D42EFF">
            <w:pPr>
              <w:spacing w:line="210" w:lineRule="auto"/>
              <w:rPr>
                <w:color w:val="000000" w:themeColor="text1"/>
              </w:rPr>
            </w:pPr>
            <w:r w:rsidRPr="00D42EFF">
              <w:rPr>
                <w:color w:val="000000" w:themeColor="text1"/>
                <w:sz w:val="15"/>
                <w:szCs w:val="15"/>
              </w:rPr>
              <w:t>Disease burden; lesion volume; relapse frequency</w:t>
            </w:r>
          </w:p>
        </w:tc>
        <w:tc>
          <w:tcPr>
            <w:tcW w:w="3450" w:type="dxa"/>
            <w:shd w:val="clear" w:color="auto" w:fill="F2F2F2"/>
            <w:tcMar>
              <w:top w:w="35" w:type="dxa"/>
              <w:left w:w="60" w:type="dxa"/>
              <w:bottom w:w="35" w:type="dxa"/>
              <w:right w:w="60" w:type="dxa"/>
            </w:tcMar>
          </w:tcPr>
          <w:p w14:paraId="7E4D8EDF" w14:textId="77777777" w:rsidR="0022120C" w:rsidRPr="00D42EFF" w:rsidRDefault="00D42EFF">
            <w:pPr>
              <w:spacing w:line="210" w:lineRule="auto"/>
              <w:rPr>
                <w:color w:val="000000" w:themeColor="text1"/>
              </w:rPr>
            </w:pPr>
            <w:r w:rsidRPr="00D42EFF">
              <w:rPr>
                <w:color w:val="000000" w:themeColor="text1"/>
                <w:sz w:val="15"/>
                <w:szCs w:val="15"/>
              </w:rPr>
              <w:t>Lower physical activity associated with higher disease burden</w:t>
            </w:r>
          </w:p>
        </w:tc>
        <w:tc>
          <w:tcPr>
            <w:tcW w:w="1200" w:type="dxa"/>
            <w:shd w:val="clear" w:color="auto" w:fill="FFE699"/>
            <w:tcMar>
              <w:top w:w="35" w:type="dxa"/>
              <w:left w:w="60" w:type="dxa"/>
              <w:bottom w:w="35" w:type="dxa"/>
              <w:right w:w="60" w:type="dxa"/>
            </w:tcMar>
          </w:tcPr>
          <w:p w14:paraId="006EFF6C" w14:textId="77777777" w:rsidR="0022120C" w:rsidRPr="00D42EFF" w:rsidRDefault="00D42EFF">
            <w:pPr>
              <w:spacing w:line="210" w:lineRule="auto"/>
              <w:jc w:val="center"/>
              <w:rPr>
                <w:color w:val="000000" w:themeColor="text1"/>
              </w:rPr>
            </w:pPr>
            <w:r w:rsidRPr="00D42EFF">
              <w:rPr>
                <w:color w:val="000000" w:themeColor="text1"/>
                <w:sz w:val="15"/>
                <w:szCs w:val="15"/>
              </w:rPr>
              <w:t>B</w:t>
            </w:r>
          </w:p>
        </w:tc>
      </w:tr>
      <w:tr w:rsidR="00D42EFF" w:rsidRPr="00D42EFF" w14:paraId="4DD026A0" w14:textId="77777777">
        <w:tc>
          <w:tcPr>
            <w:tcW w:w="2050" w:type="dxa"/>
            <w:tcMar>
              <w:top w:w="35" w:type="dxa"/>
              <w:left w:w="60" w:type="dxa"/>
              <w:bottom w:w="35" w:type="dxa"/>
              <w:right w:w="60" w:type="dxa"/>
            </w:tcMar>
          </w:tcPr>
          <w:p w14:paraId="45540E8E" w14:textId="77777777" w:rsidR="0022120C" w:rsidRPr="00D42EFF" w:rsidRDefault="00D42EFF">
            <w:pPr>
              <w:spacing w:line="210" w:lineRule="auto"/>
              <w:rPr>
                <w:color w:val="000000" w:themeColor="text1"/>
              </w:rPr>
            </w:pPr>
            <w:r w:rsidRPr="00D42EFF">
              <w:rPr>
                <w:b/>
                <w:bCs/>
                <w:color w:val="000000" w:themeColor="text1"/>
                <w:sz w:val="15"/>
                <w:szCs w:val="15"/>
              </w:rPr>
              <w:t>Passive smoke exposure</w:t>
            </w:r>
          </w:p>
        </w:tc>
        <w:tc>
          <w:tcPr>
            <w:tcW w:w="1750" w:type="dxa"/>
            <w:tcMar>
              <w:top w:w="35" w:type="dxa"/>
              <w:left w:w="60" w:type="dxa"/>
              <w:bottom w:w="35" w:type="dxa"/>
              <w:right w:w="60" w:type="dxa"/>
            </w:tcMar>
          </w:tcPr>
          <w:p w14:paraId="44BF2A2A" w14:textId="77777777" w:rsidR="0022120C" w:rsidRPr="00D42EFF" w:rsidRDefault="00D42EFF">
            <w:pPr>
              <w:spacing w:line="210" w:lineRule="auto"/>
              <w:rPr>
                <w:color w:val="000000" w:themeColor="text1"/>
              </w:rPr>
            </w:pPr>
            <w:r w:rsidRPr="00D42EFF">
              <w:rPr>
                <w:color w:val="000000" w:themeColor="text1"/>
                <w:sz w:val="15"/>
                <w:szCs w:val="15"/>
              </w:rPr>
              <w:t xml:space="preserve">Mikaeloff </w:t>
            </w:r>
            <w:r w:rsidRPr="00D42EFF">
              <w:rPr>
                <w:color w:val="000000" w:themeColor="text1"/>
                <w:sz w:val="15"/>
                <w:szCs w:val="15"/>
              </w:rPr>
              <w:t>2007 [45]; Lavery 2019 [46]; Pilotto 2026 [44]</w:t>
            </w:r>
          </w:p>
        </w:tc>
        <w:tc>
          <w:tcPr>
            <w:tcW w:w="1700" w:type="dxa"/>
            <w:tcMar>
              <w:top w:w="35" w:type="dxa"/>
              <w:left w:w="60" w:type="dxa"/>
              <w:bottom w:w="35" w:type="dxa"/>
              <w:right w:w="60" w:type="dxa"/>
            </w:tcMar>
          </w:tcPr>
          <w:p w14:paraId="74C15928" w14:textId="77777777" w:rsidR="0022120C" w:rsidRPr="00D42EFF" w:rsidRDefault="00D42EFF">
            <w:pPr>
              <w:spacing w:line="210" w:lineRule="auto"/>
              <w:rPr>
                <w:color w:val="000000" w:themeColor="text1"/>
              </w:rPr>
            </w:pPr>
            <w:r w:rsidRPr="00D42EFF">
              <w:rPr>
                <w:color w:val="000000" w:themeColor="text1"/>
                <w:sz w:val="15"/>
                <w:szCs w:val="15"/>
              </w:rPr>
              <w:t>Case-control and cohort studies (incl. PEDIGREE)</w:t>
            </w:r>
          </w:p>
        </w:tc>
        <w:tc>
          <w:tcPr>
            <w:tcW w:w="1350" w:type="dxa"/>
            <w:tcMar>
              <w:top w:w="35" w:type="dxa"/>
              <w:left w:w="60" w:type="dxa"/>
              <w:bottom w:w="35" w:type="dxa"/>
              <w:right w:w="60" w:type="dxa"/>
            </w:tcMar>
          </w:tcPr>
          <w:p w14:paraId="388653CF" w14:textId="77777777" w:rsidR="0022120C" w:rsidRPr="00D42EFF" w:rsidRDefault="00D42EFF">
            <w:pPr>
              <w:spacing w:line="210" w:lineRule="auto"/>
              <w:jc w:val="center"/>
              <w:rPr>
                <w:color w:val="000000" w:themeColor="text1"/>
              </w:rPr>
            </w:pPr>
            <w:r w:rsidRPr="00D42EFF">
              <w:rPr>
                <w:color w:val="000000" w:themeColor="text1"/>
                <w:sz w:val="15"/>
                <w:szCs w:val="15"/>
              </w:rPr>
              <w:t>Susceptibility</w:t>
            </w:r>
          </w:p>
        </w:tc>
        <w:tc>
          <w:tcPr>
            <w:tcW w:w="1900" w:type="dxa"/>
            <w:tcMar>
              <w:top w:w="35" w:type="dxa"/>
              <w:left w:w="60" w:type="dxa"/>
              <w:bottom w:w="35" w:type="dxa"/>
              <w:right w:w="60" w:type="dxa"/>
            </w:tcMar>
          </w:tcPr>
          <w:p w14:paraId="144A04D8" w14:textId="77777777" w:rsidR="0022120C" w:rsidRPr="00D42EFF" w:rsidRDefault="00D42EFF">
            <w:pPr>
              <w:spacing w:line="210" w:lineRule="auto"/>
              <w:rPr>
                <w:color w:val="000000" w:themeColor="text1"/>
              </w:rPr>
            </w:pPr>
            <w:r w:rsidRPr="00D42EFF">
              <w:rPr>
                <w:color w:val="000000" w:themeColor="text1"/>
                <w:sz w:val="15"/>
                <w:szCs w:val="15"/>
              </w:rPr>
              <w:t>Risk of POMS</w:t>
            </w:r>
          </w:p>
        </w:tc>
        <w:tc>
          <w:tcPr>
            <w:tcW w:w="3450" w:type="dxa"/>
            <w:tcMar>
              <w:top w:w="35" w:type="dxa"/>
              <w:left w:w="60" w:type="dxa"/>
              <w:bottom w:w="35" w:type="dxa"/>
              <w:right w:w="60" w:type="dxa"/>
            </w:tcMar>
          </w:tcPr>
          <w:p w14:paraId="76A8815F" w14:textId="77777777" w:rsidR="0022120C" w:rsidRPr="00D42EFF" w:rsidRDefault="00D42EFF">
            <w:pPr>
              <w:spacing w:line="210" w:lineRule="auto"/>
              <w:rPr>
                <w:color w:val="000000" w:themeColor="text1"/>
              </w:rPr>
            </w:pPr>
            <w:r w:rsidRPr="00D42EFF">
              <w:rPr>
                <w:color w:val="000000" w:themeColor="text1"/>
                <w:sz w:val="15"/>
                <w:szCs w:val="15"/>
              </w:rPr>
              <w:t>Father smoking: crude OR 1.94 (95% CI 1.10–3.40). Both parents smoking pre-pregnancy: crude OR 10.79 (95% CI 1.30–89.54). Risk ampli</w:t>
            </w:r>
            <w:r w:rsidRPr="00D42EFF">
              <w:rPr>
                <w:color w:val="000000" w:themeColor="text1"/>
                <w:sz w:val="15"/>
                <w:szCs w:val="15"/>
              </w:rPr>
              <w:t>fied in HLA-DRB1*15-positive children</w:t>
            </w:r>
          </w:p>
        </w:tc>
        <w:tc>
          <w:tcPr>
            <w:tcW w:w="1200" w:type="dxa"/>
            <w:shd w:val="clear" w:color="auto" w:fill="D9D9D9"/>
            <w:tcMar>
              <w:top w:w="35" w:type="dxa"/>
              <w:left w:w="60" w:type="dxa"/>
              <w:bottom w:w="35" w:type="dxa"/>
              <w:right w:w="60" w:type="dxa"/>
            </w:tcMar>
          </w:tcPr>
          <w:p w14:paraId="39780E7A" w14:textId="77777777" w:rsidR="0022120C" w:rsidRPr="00D42EFF" w:rsidRDefault="00D42EFF">
            <w:pPr>
              <w:spacing w:line="210" w:lineRule="auto"/>
              <w:jc w:val="center"/>
              <w:rPr>
                <w:color w:val="000000" w:themeColor="text1"/>
              </w:rPr>
            </w:pPr>
            <w:r w:rsidRPr="00D42EFF">
              <w:rPr>
                <w:color w:val="000000" w:themeColor="text1"/>
                <w:sz w:val="15"/>
                <w:szCs w:val="15"/>
              </w:rPr>
              <w:t>C</w:t>
            </w:r>
          </w:p>
        </w:tc>
      </w:tr>
      <w:tr w:rsidR="00D42EFF" w:rsidRPr="00D42EFF" w14:paraId="45B7A184" w14:textId="77777777">
        <w:tc>
          <w:tcPr>
            <w:tcW w:w="2050" w:type="dxa"/>
            <w:shd w:val="clear" w:color="auto" w:fill="F2F2F2"/>
            <w:tcMar>
              <w:top w:w="35" w:type="dxa"/>
              <w:left w:w="60" w:type="dxa"/>
              <w:bottom w:w="35" w:type="dxa"/>
              <w:right w:w="60" w:type="dxa"/>
            </w:tcMar>
          </w:tcPr>
          <w:p w14:paraId="4566ACD4" w14:textId="77777777" w:rsidR="0022120C" w:rsidRPr="00D42EFF" w:rsidRDefault="00D42EFF">
            <w:pPr>
              <w:spacing w:line="210" w:lineRule="auto"/>
              <w:rPr>
                <w:color w:val="000000" w:themeColor="text1"/>
              </w:rPr>
            </w:pPr>
            <w:r w:rsidRPr="00D42EFF">
              <w:rPr>
                <w:b/>
                <w:bCs/>
                <w:color w:val="000000" w:themeColor="text1"/>
                <w:sz w:val="15"/>
                <w:szCs w:val="15"/>
              </w:rPr>
              <w:t>HLA-DRB1*15 allele</w:t>
            </w:r>
          </w:p>
        </w:tc>
        <w:tc>
          <w:tcPr>
            <w:tcW w:w="1750" w:type="dxa"/>
            <w:shd w:val="clear" w:color="auto" w:fill="F2F2F2"/>
            <w:tcMar>
              <w:top w:w="35" w:type="dxa"/>
              <w:left w:w="60" w:type="dxa"/>
              <w:bottom w:w="35" w:type="dxa"/>
              <w:right w:w="60" w:type="dxa"/>
            </w:tcMar>
          </w:tcPr>
          <w:p w14:paraId="0F011FA7" w14:textId="77777777" w:rsidR="0022120C" w:rsidRPr="00D42EFF" w:rsidRDefault="00D42EFF">
            <w:pPr>
              <w:spacing w:line="210" w:lineRule="auto"/>
              <w:rPr>
                <w:color w:val="000000" w:themeColor="text1"/>
              </w:rPr>
            </w:pPr>
            <w:r w:rsidRPr="00D42EFF">
              <w:rPr>
                <w:color w:val="000000" w:themeColor="text1"/>
                <w:sz w:val="15"/>
                <w:szCs w:val="15"/>
              </w:rPr>
              <w:t>Banwell 2011 [50]</w:t>
            </w:r>
          </w:p>
        </w:tc>
        <w:tc>
          <w:tcPr>
            <w:tcW w:w="1700" w:type="dxa"/>
            <w:shd w:val="clear" w:color="auto" w:fill="F2F2F2"/>
            <w:tcMar>
              <w:top w:w="35" w:type="dxa"/>
              <w:left w:w="60" w:type="dxa"/>
              <w:bottom w:w="35" w:type="dxa"/>
              <w:right w:w="60" w:type="dxa"/>
            </w:tcMar>
          </w:tcPr>
          <w:p w14:paraId="39280CF4" w14:textId="77777777" w:rsidR="0022120C" w:rsidRPr="00D42EFF" w:rsidRDefault="00D42EFF">
            <w:pPr>
              <w:spacing w:line="210" w:lineRule="auto"/>
              <w:rPr>
                <w:color w:val="000000" w:themeColor="text1"/>
              </w:rPr>
            </w:pPr>
            <w:r w:rsidRPr="00D42EFF">
              <w:rPr>
                <w:color w:val="000000" w:themeColor="text1"/>
                <w:sz w:val="15"/>
                <w:szCs w:val="15"/>
              </w:rPr>
              <w:t>Prospective national cohort; 332 children with acute demyelination</w:t>
            </w:r>
          </w:p>
        </w:tc>
        <w:tc>
          <w:tcPr>
            <w:tcW w:w="1350" w:type="dxa"/>
            <w:shd w:val="clear" w:color="auto" w:fill="F2F2F2"/>
            <w:tcMar>
              <w:top w:w="35" w:type="dxa"/>
              <w:left w:w="60" w:type="dxa"/>
              <w:bottom w:w="35" w:type="dxa"/>
              <w:right w:w="60" w:type="dxa"/>
            </w:tcMar>
          </w:tcPr>
          <w:p w14:paraId="5085CAD3" w14:textId="77777777" w:rsidR="0022120C" w:rsidRPr="00D42EFF" w:rsidRDefault="00D42EFF">
            <w:pPr>
              <w:spacing w:line="210" w:lineRule="auto"/>
              <w:jc w:val="center"/>
              <w:rPr>
                <w:color w:val="000000" w:themeColor="text1"/>
              </w:rPr>
            </w:pPr>
            <w:r w:rsidRPr="00D42EFF">
              <w:rPr>
                <w:color w:val="000000" w:themeColor="text1"/>
                <w:sz w:val="15"/>
                <w:szCs w:val="15"/>
              </w:rPr>
              <w:t>Susceptibility</w:t>
            </w:r>
          </w:p>
        </w:tc>
        <w:tc>
          <w:tcPr>
            <w:tcW w:w="1900" w:type="dxa"/>
            <w:shd w:val="clear" w:color="auto" w:fill="F2F2F2"/>
            <w:tcMar>
              <w:top w:w="35" w:type="dxa"/>
              <w:left w:w="60" w:type="dxa"/>
              <w:bottom w:w="35" w:type="dxa"/>
              <w:right w:w="60" w:type="dxa"/>
            </w:tcMar>
          </w:tcPr>
          <w:p w14:paraId="37C2E6DB" w14:textId="77777777" w:rsidR="0022120C" w:rsidRPr="00D42EFF" w:rsidRDefault="00D42EFF">
            <w:pPr>
              <w:spacing w:line="210" w:lineRule="auto"/>
              <w:rPr>
                <w:color w:val="000000" w:themeColor="text1"/>
              </w:rPr>
            </w:pPr>
            <w:r w:rsidRPr="00D42EFF">
              <w:rPr>
                <w:color w:val="000000" w:themeColor="text1"/>
                <w:sz w:val="15"/>
                <w:szCs w:val="15"/>
              </w:rPr>
              <w:t>Risk of MS diagnosis</w:t>
            </w:r>
          </w:p>
        </w:tc>
        <w:tc>
          <w:tcPr>
            <w:tcW w:w="3450" w:type="dxa"/>
            <w:shd w:val="clear" w:color="auto" w:fill="F2F2F2"/>
            <w:tcMar>
              <w:top w:w="35" w:type="dxa"/>
              <w:left w:w="60" w:type="dxa"/>
              <w:bottom w:w="35" w:type="dxa"/>
              <w:right w:w="60" w:type="dxa"/>
            </w:tcMar>
          </w:tcPr>
          <w:p w14:paraId="4B1F301B" w14:textId="77777777" w:rsidR="0022120C" w:rsidRPr="00D42EFF" w:rsidRDefault="00D42EFF">
            <w:pPr>
              <w:spacing w:line="210" w:lineRule="auto"/>
              <w:rPr>
                <w:color w:val="000000" w:themeColor="text1"/>
              </w:rPr>
            </w:pPr>
            <w:r w:rsidRPr="00D42EFF">
              <w:rPr>
                <w:color w:val="000000" w:themeColor="text1"/>
                <w:sz w:val="15"/>
                <w:szCs w:val="15"/>
              </w:rPr>
              <w:t>HR 2.32 (95% CI 1.25–4.30)</w:t>
            </w:r>
          </w:p>
        </w:tc>
        <w:tc>
          <w:tcPr>
            <w:tcW w:w="1200" w:type="dxa"/>
            <w:shd w:val="clear" w:color="auto" w:fill="D9D9D9"/>
            <w:tcMar>
              <w:top w:w="35" w:type="dxa"/>
              <w:left w:w="60" w:type="dxa"/>
              <w:bottom w:w="35" w:type="dxa"/>
              <w:right w:w="60" w:type="dxa"/>
            </w:tcMar>
          </w:tcPr>
          <w:p w14:paraId="06855FC4" w14:textId="77777777" w:rsidR="0022120C" w:rsidRPr="00D42EFF" w:rsidRDefault="00D42EFF">
            <w:pPr>
              <w:spacing w:line="210" w:lineRule="auto"/>
              <w:jc w:val="center"/>
              <w:rPr>
                <w:color w:val="000000" w:themeColor="text1"/>
              </w:rPr>
            </w:pPr>
            <w:r w:rsidRPr="00D42EFF">
              <w:rPr>
                <w:color w:val="000000" w:themeColor="text1"/>
                <w:sz w:val="15"/>
                <w:szCs w:val="15"/>
              </w:rPr>
              <w:t>C</w:t>
            </w:r>
          </w:p>
        </w:tc>
      </w:tr>
      <w:tr w:rsidR="00D42EFF" w:rsidRPr="00D42EFF" w14:paraId="519E8AE9" w14:textId="77777777">
        <w:tc>
          <w:tcPr>
            <w:tcW w:w="2050" w:type="dxa"/>
            <w:tcMar>
              <w:top w:w="35" w:type="dxa"/>
              <w:left w:w="60" w:type="dxa"/>
              <w:bottom w:w="35" w:type="dxa"/>
              <w:right w:w="60" w:type="dxa"/>
            </w:tcMar>
          </w:tcPr>
          <w:p w14:paraId="30BC3173" w14:textId="77777777" w:rsidR="0022120C" w:rsidRPr="00D42EFF" w:rsidRDefault="00D42EFF">
            <w:pPr>
              <w:spacing w:line="210" w:lineRule="auto"/>
              <w:rPr>
                <w:color w:val="000000" w:themeColor="text1"/>
              </w:rPr>
            </w:pPr>
            <w:r w:rsidRPr="00D42EFF">
              <w:rPr>
                <w:b/>
                <w:bCs/>
                <w:color w:val="000000" w:themeColor="text1"/>
                <w:sz w:val="15"/>
                <w:szCs w:val="15"/>
              </w:rPr>
              <w:t>EBV and HSV-1 seropositivity</w:t>
            </w:r>
          </w:p>
        </w:tc>
        <w:tc>
          <w:tcPr>
            <w:tcW w:w="1750" w:type="dxa"/>
            <w:tcMar>
              <w:top w:w="35" w:type="dxa"/>
              <w:left w:w="60" w:type="dxa"/>
              <w:bottom w:w="35" w:type="dxa"/>
              <w:right w:w="60" w:type="dxa"/>
            </w:tcMar>
          </w:tcPr>
          <w:p w14:paraId="3EC1E337" w14:textId="77777777" w:rsidR="0022120C" w:rsidRPr="00D42EFF" w:rsidRDefault="00D42EFF">
            <w:pPr>
              <w:spacing w:line="210" w:lineRule="auto"/>
              <w:rPr>
                <w:color w:val="000000" w:themeColor="text1"/>
              </w:rPr>
            </w:pPr>
            <w:r w:rsidRPr="00D42EFF">
              <w:rPr>
                <w:color w:val="000000" w:themeColor="text1"/>
                <w:sz w:val="15"/>
                <w:szCs w:val="15"/>
              </w:rPr>
              <w:t xml:space="preserve">Nourbakhsh 2018 </w:t>
            </w:r>
            <w:r w:rsidRPr="00D42EFF">
              <w:rPr>
                <w:color w:val="000000" w:themeColor="text1"/>
                <w:sz w:val="15"/>
                <w:szCs w:val="15"/>
              </w:rPr>
              <w:t>[47]; Banwell 2011 [50]</w:t>
            </w:r>
          </w:p>
        </w:tc>
        <w:tc>
          <w:tcPr>
            <w:tcW w:w="1700" w:type="dxa"/>
            <w:tcMar>
              <w:top w:w="35" w:type="dxa"/>
              <w:left w:w="60" w:type="dxa"/>
              <w:bottom w:w="35" w:type="dxa"/>
              <w:right w:w="60" w:type="dxa"/>
            </w:tcMar>
          </w:tcPr>
          <w:p w14:paraId="2F369809" w14:textId="77777777" w:rsidR="0022120C" w:rsidRPr="00D42EFF" w:rsidRDefault="00D42EFF">
            <w:pPr>
              <w:spacing w:line="210" w:lineRule="auto"/>
              <w:rPr>
                <w:color w:val="000000" w:themeColor="text1"/>
              </w:rPr>
            </w:pPr>
            <w:r w:rsidRPr="00D42EFF">
              <w:rPr>
                <w:color w:val="000000" w:themeColor="text1"/>
                <w:sz w:val="15"/>
                <w:szCs w:val="15"/>
              </w:rPr>
              <w:t>Observational and prospective cohorts</w:t>
            </w:r>
          </w:p>
        </w:tc>
        <w:tc>
          <w:tcPr>
            <w:tcW w:w="1350" w:type="dxa"/>
            <w:tcMar>
              <w:top w:w="35" w:type="dxa"/>
              <w:left w:w="60" w:type="dxa"/>
              <w:bottom w:w="35" w:type="dxa"/>
              <w:right w:w="60" w:type="dxa"/>
            </w:tcMar>
          </w:tcPr>
          <w:p w14:paraId="5C73700D" w14:textId="77777777" w:rsidR="0022120C" w:rsidRPr="00D42EFF" w:rsidRDefault="00D42EFF">
            <w:pPr>
              <w:spacing w:line="210" w:lineRule="auto"/>
              <w:jc w:val="center"/>
              <w:rPr>
                <w:color w:val="000000" w:themeColor="text1"/>
              </w:rPr>
            </w:pPr>
            <w:r w:rsidRPr="00D42EFF">
              <w:rPr>
                <w:color w:val="000000" w:themeColor="text1"/>
                <w:sz w:val="15"/>
                <w:szCs w:val="15"/>
              </w:rPr>
              <w:t>Susceptibility</w:t>
            </w:r>
          </w:p>
        </w:tc>
        <w:tc>
          <w:tcPr>
            <w:tcW w:w="1900" w:type="dxa"/>
            <w:tcMar>
              <w:top w:w="35" w:type="dxa"/>
              <w:left w:w="60" w:type="dxa"/>
              <w:bottom w:w="35" w:type="dxa"/>
              <w:right w:w="60" w:type="dxa"/>
            </w:tcMar>
          </w:tcPr>
          <w:p w14:paraId="539E9A4F" w14:textId="77777777" w:rsidR="0022120C" w:rsidRPr="00D42EFF" w:rsidRDefault="00D42EFF">
            <w:pPr>
              <w:spacing w:line="210" w:lineRule="auto"/>
              <w:rPr>
                <w:color w:val="000000" w:themeColor="text1"/>
              </w:rPr>
            </w:pPr>
            <w:r w:rsidRPr="00D42EFF">
              <w:rPr>
                <w:color w:val="000000" w:themeColor="text1"/>
                <w:sz w:val="15"/>
                <w:szCs w:val="15"/>
              </w:rPr>
              <w:t>Risk of POMS</w:t>
            </w:r>
          </w:p>
        </w:tc>
        <w:tc>
          <w:tcPr>
            <w:tcW w:w="3450" w:type="dxa"/>
            <w:tcMar>
              <w:top w:w="35" w:type="dxa"/>
              <w:left w:w="60" w:type="dxa"/>
              <w:bottom w:w="35" w:type="dxa"/>
              <w:right w:w="60" w:type="dxa"/>
            </w:tcMar>
          </w:tcPr>
          <w:p w14:paraId="06929EA5" w14:textId="77777777" w:rsidR="0022120C" w:rsidRPr="00D42EFF" w:rsidRDefault="00D42EFF">
            <w:pPr>
              <w:spacing w:line="210" w:lineRule="auto"/>
              <w:rPr>
                <w:color w:val="000000" w:themeColor="text1"/>
              </w:rPr>
            </w:pPr>
            <w:r w:rsidRPr="00D42EFF">
              <w:rPr>
                <w:color w:val="000000" w:themeColor="text1"/>
                <w:sz w:val="15"/>
                <w:szCs w:val="15"/>
              </w:rPr>
              <w:t>Prior EBV infection: HR 2.04 (95% CI 0.99–4.20) [50]; heterogeneous associations of remote herpesvirus infections [47]</w:t>
            </w:r>
          </w:p>
        </w:tc>
        <w:tc>
          <w:tcPr>
            <w:tcW w:w="1200" w:type="dxa"/>
            <w:shd w:val="clear" w:color="auto" w:fill="D9D9D9"/>
            <w:tcMar>
              <w:top w:w="35" w:type="dxa"/>
              <w:left w:w="60" w:type="dxa"/>
              <w:bottom w:w="35" w:type="dxa"/>
              <w:right w:w="60" w:type="dxa"/>
            </w:tcMar>
          </w:tcPr>
          <w:p w14:paraId="41DCE088" w14:textId="77777777" w:rsidR="0022120C" w:rsidRPr="00D42EFF" w:rsidRDefault="00D42EFF">
            <w:pPr>
              <w:spacing w:line="210" w:lineRule="auto"/>
              <w:jc w:val="center"/>
              <w:rPr>
                <w:color w:val="000000" w:themeColor="text1"/>
              </w:rPr>
            </w:pPr>
            <w:r w:rsidRPr="00D42EFF">
              <w:rPr>
                <w:color w:val="000000" w:themeColor="text1"/>
                <w:sz w:val="15"/>
                <w:szCs w:val="15"/>
              </w:rPr>
              <w:t>C</w:t>
            </w:r>
          </w:p>
        </w:tc>
      </w:tr>
      <w:tr w:rsidR="00D42EFF" w:rsidRPr="00D42EFF" w14:paraId="73DF2F52" w14:textId="77777777">
        <w:tc>
          <w:tcPr>
            <w:tcW w:w="2050" w:type="dxa"/>
            <w:shd w:val="clear" w:color="auto" w:fill="F2F2F2"/>
            <w:tcMar>
              <w:top w:w="35" w:type="dxa"/>
              <w:left w:w="60" w:type="dxa"/>
              <w:bottom w:w="35" w:type="dxa"/>
              <w:right w:w="60" w:type="dxa"/>
            </w:tcMar>
          </w:tcPr>
          <w:p w14:paraId="4A43EDC0" w14:textId="77777777" w:rsidR="0022120C" w:rsidRPr="00D42EFF" w:rsidRDefault="00D42EFF">
            <w:pPr>
              <w:spacing w:line="210" w:lineRule="auto"/>
              <w:rPr>
                <w:color w:val="000000" w:themeColor="text1"/>
              </w:rPr>
            </w:pPr>
            <w:r w:rsidRPr="00D42EFF">
              <w:rPr>
                <w:b/>
                <w:bCs/>
                <w:color w:val="000000" w:themeColor="text1"/>
                <w:sz w:val="15"/>
                <w:szCs w:val="15"/>
              </w:rPr>
              <w:t>Lack of breastfeeding</w:t>
            </w:r>
          </w:p>
        </w:tc>
        <w:tc>
          <w:tcPr>
            <w:tcW w:w="1750" w:type="dxa"/>
            <w:shd w:val="clear" w:color="auto" w:fill="F2F2F2"/>
            <w:tcMar>
              <w:top w:w="35" w:type="dxa"/>
              <w:left w:w="60" w:type="dxa"/>
              <w:bottom w:w="35" w:type="dxa"/>
              <w:right w:w="60" w:type="dxa"/>
            </w:tcMar>
          </w:tcPr>
          <w:p w14:paraId="2B04C82D" w14:textId="77777777" w:rsidR="0022120C" w:rsidRPr="00D42EFF" w:rsidRDefault="00D42EFF">
            <w:pPr>
              <w:spacing w:line="210" w:lineRule="auto"/>
              <w:rPr>
                <w:color w:val="000000" w:themeColor="text1"/>
              </w:rPr>
            </w:pPr>
            <w:r w:rsidRPr="00D42EFF">
              <w:rPr>
                <w:color w:val="000000" w:themeColor="text1"/>
                <w:sz w:val="15"/>
                <w:szCs w:val="15"/>
              </w:rPr>
              <w:t>Brenton 2017 [48]</w:t>
            </w:r>
          </w:p>
        </w:tc>
        <w:tc>
          <w:tcPr>
            <w:tcW w:w="1700" w:type="dxa"/>
            <w:shd w:val="clear" w:color="auto" w:fill="F2F2F2"/>
            <w:tcMar>
              <w:top w:w="35" w:type="dxa"/>
              <w:left w:w="60" w:type="dxa"/>
              <w:bottom w:w="35" w:type="dxa"/>
              <w:right w:w="60" w:type="dxa"/>
            </w:tcMar>
          </w:tcPr>
          <w:p w14:paraId="71802FA0" w14:textId="77777777" w:rsidR="0022120C" w:rsidRPr="00D42EFF" w:rsidRDefault="00D42EFF">
            <w:pPr>
              <w:spacing w:line="210" w:lineRule="auto"/>
              <w:rPr>
                <w:color w:val="000000" w:themeColor="text1"/>
              </w:rPr>
            </w:pPr>
            <w:r w:rsidRPr="00D42EFF">
              <w:rPr>
                <w:color w:val="000000" w:themeColor="text1"/>
                <w:sz w:val="15"/>
                <w:szCs w:val="15"/>
              </w:rPr>
              <w:t>Cross-sectional case-control; 36 POMS</w:t>
            </w:r>
          </w:p>
        </w:tc>
        <w:tc>
          <w:tcPr>
            <w:tcW w:w="1350" w:type="dxa"/>
            <w:shd w:val="clear" w:color="auto" w:fill="F2F2F2"/>
            <w:tcMar>
              <w:top w:w="35" w:type="dxa"/>
              <w:left w:w="60" w:type="dxa"/>
              <w:bottom w:w="35" w:type="dxa"/>
              <w:right w:w="60" w:type="dxa"/>
            </w:tcMar>
          </w:tcPr>
          <w:p w14:paraId="5DAFFFB0" w14:textId="77777777" w:rsidR="0022120C" w:rsidRPr="00D42EFF" w:rsidRDefault="00D42EFF">
            <w:pPr>
              <w:spacing w:line="210" w:lineRule="auto"/>
              <w:jc w:val="center"/>
              <w:rPr>
                <w:color w:val="000000" w:themeColor="text1"/>
              </w:rPr>
            </w:pPr>
            <w:r w:rsidRPr="00D42EFF">
              <w:rPr>
                <w:color w:val="000000" w:themeColor="text1"/>
                <w:sz w:val="15"/>
                <w:szCs w:val="15"/>
              </w:rPr>
              <w:t>Susceptibility</w:t>
            </w:r>
          </w:p>
        </w:tc>
        <w:tc>
          <w:tcPr>
            <w:tcW w:w="1900" w:type="dxa"/>
            <w:shd w:val="clear" w:color="auto" w:fill="F2F2F2"/>
            <w:tcMar>
              <w:top w:w="35" w:type="dxa"/>
              <w:left w:w="60" w:type="dxa"/>
              <w:bottom w:w="35" w:type="dxa"/>
              <w:right w:w="60" w:type="dxa"/>
            </w:tcMar>
          </w:tcPr>
          <w:p w14:paraId="43F0F8CD" w14:textId="77777777" w:rsidR="0022120C" w:rsidRPr="00D42EFF" w:rsidRDefault="00D42EFF">
            <w:pPr>
              <w:spacing w:line="210" w:lineRule="auto"/>
              <w:rPr>
                <w:color w:val="000000" w:themeColor="text1"/>
              </w:rPr>
            </w:pPr>
            <w:r w:rsidRPr="00D42EFF">
              <w:rPr>
                <w:color w:val="000000" w:themeColor="text1"/>
                <w:sz w:val="15"/>
                <w:szCs w:val="15"/>
              </w:rPr>
              <w:t>Risk of POMS</w:t>
            </w:r>
          </w:p>
        </w:tc>
        <w:tc>
          <w:tcPr>
            <w:tcW w:w="3450" w:type="dxa"/>
            <w:shd w:val="clear" w:color="auto" w:fill="F2F2F2"/>
            <w:tcMar>
              <w:top w:w="35" w:type="dxa"/>
              <w:left w:w="60" w:type="dxa"/>
              <w:bottom w:w="35" w:type="dxa"/>
              <w:right w:w="60" w:type="dxa"/>
            </w:tcMar>
          </w:tcPr>
          <w:p w14:paraId="0E859F9A" w14:textId="77777777" w:rsidR="0022120C" w:rsidRPr="00D42EFF" w:rsidRDefault="00D42EFF">
            <w:pPr>
              <w:spacing w:line="210" w:lineRule="auto"/>
              <w:rPr>
                <w:color w:val="000000" w:themeColor="text1"/>
              </w:rPr>
            </w:pPr>
            <w:r w:rsidRPr="00D42EFF">
              <w:rPr>
                <w:color w:val="000000" w:themeColor="text1"/>
                <w:sz w:val="15"/>
                <w:szCs w:val="15"/>
              </w:rPr>
              <w:t>Non-breastfed vs breastfed: OR range 1.68–11.71, p = 0.003</w:t>
            </w:r>
          </w:p>
        </w:tc>
        <w:tc>
          <w:tcPr>
            <w:tcW w:w="1200" w:type="dxa"/>
            <w:shd w:val="clear" w:color="auto" w:fill="D9D9D9"/>
            <w:tcMar>
              <w:top w:w="35" w:type="dxa"/>
              <w:left w:w="60" w:type="dxa"/>
              <w:bottom w:w="35" w:type="dxa"/>
              <w:right w:w="60" w:type="dxa"/>
            </w:tcMar>
          </w:tcPr>
          <w:p w14:paraId="3748833B" w14:textId="77777777" w:rsidR="0022120C" w:rsidRPr="00D42EFF" w:rsidRDefault="00D42EFF">
            <w:pPr>
              <w:spacing w:line="210" w:lineRule="auto"/>
              <w:jc w:val="center"/>
              <w:rPr>
                <w:color w:val="000000" w:themeColor="text1"/>
              </w:rPr>
            </w:pPr>
            <w:r w:rsidRPr="00D42EFF">
              <w:rPr>
                <w:color w:val="000000" w:themeColor="text1"/>
                <w:sz w:val="15"/>
                <w:szCs w:val="15"/>
              </w:rPr>
              <w:t>C</w:t>
            </w:r>
          </w:p>
        </w:tc>
      </w:tr>
      <w:tr w:rsidR="00D42EFF" w:rsidRPr="00D42EFF" w14:paraId="5149A4FC" w14:textId="77777777">
        <w:tc>
          <w:tcPr>
            <w:tcW w:w="2050" w:type="dxa"/>
            <w:tcMar>
              <w:top w:w="35" w:type="dxa"/>
              <w:left w:w="60" w:type="dxa"/>
              <w:bottom w:w="35" w:type="dxa"/>
              <w:right w:w="60" w:type="dxa"/>
            </w:tcMar>
          </w:tcPr>
          <w:p w14:paraId="5427422B" w14:textId="77777777" w:rsidR="0022120C" w:rsidRPr="00D42EFF" w:rsidRDefault="00D42EFF">
            <w:pPr>
              <w:spacing w:line="210" w:lineRule="auto"/>
              <w:rPr>
                <w:color w:val="000000" w:themeColor="text1"/>
              </w:rPr>
            </w:pPr>
            <w:r w:rsidRPr="00D42EFF">
              <w:rPr>
                <w:b/>
                <w:bCs/>
                <w:color w:val="000000" w:themeColor="text1"/>
                <w:sz w:val="15"/>
                <w:szCs w:val="15"/>
              </w:rPr>
              <w:t>Caesarean delivery</w:t>
            </w:r>
          </w:p>
        </w:tc>
        <w:tc>
          <w:tcPr>
            <w:tcW w:w="1750" w:type="dxa"/>
            <w:tcMar>
              <w:top w:w="35" w:type="dxa"/>
              <w:left w:w="60" w:type="dxa"/>
              <w:bottom w:w="35" w:type="dxa"/>
              <w:right w:w="60" w:type="dxa"/>
            </w:tcMar>
          </w:tcPr>
          <w:p w14:paraId="01223C53" w14:textId="77777777" w:rsidR="0022120C" w:rsidRPr="00D42EFF" w:rsidRDefault="00D42EFF">
            <w:pPr>
              <w:spacing w:line="210" w:lineRule="auto"/>
              <w:rPr>
                <w:color w:val="000000" w:themeColor="text1"/>
              </w:rPr>
            </w:pPr>
            <w:r w:rsidRPr="00D42EFF">
              <w:rPr>
                <w:color w:val="000000" w:themeColor="text1"/>
                <w:sz w:val="15"/>
                <w:szCs w:val="15"/>
              </w:rPr>
              <w:t>Graves 2017 [49]</w:t>
            </w:r>
          </w:p>
        </w:tc>
        <w:tc>
          <w:tcPr>
            <w:tcW w:w="1700" w:type="dxa"/>
            <w:tcMar>
              <w:top w:w="35" w:type="dxa"/>
              <w:left w:w="60" w:type="dxa"/>
              <w:bottom w:w="35" w:type="dxa"/>
              <w:right w:w="60" w:type="dxa"/>
            </w:tcMar>
          </w:tcPr>
          <w:p w14:paraId="1970E152" w14:textId="77777777" w:rsidR="0022120C" w:rsidRPr="00D42EFF" w:rsidRDefault="00D42EFF">
            <w:pPr>
              <w:spacing w:line="210" w:lineRule="auto"/>
              <w:rPr>
                <w:color w:val="000000" w:themeColor="text1"/>
              </w:rPr>
            </w:pPr>
            <w:r w:rsidRPr="00D42EFF">
              <w:rPr>
                <w:color w:val="000000" w:themeColor="text1"/>
                <w:sz w:val="15"/>
                <w:szCs w:val="15"/>
              </w:rPr>
              <w:t>Case-control; 265 POMS</w:t>
            </w:r>
          </w:p>
        </w:tc>
        <w:tc>
          <w:tcPr>
            <w:tcW w:w="1350" w:type="dxa"/>
            <w:tcMar>
              <w:top w:w="35" w:type="dxa"/>
              <w:left w:w="60" w:type="dxa"/>
              <w:bottom w:w="35" w:type="dxa"/>
              <w:right w:w="60" w:type="dxa"/>
            </w:tcMar>
          </w:tcPr>
          <w:p w14:paraId="1A80BDDD" w14:textId="77777777" w:rsidR="0022120C" w:rsidRPr="00D42EFF" w:rsidRDefault="00D42EFF">
            <w:pPr>
              <w:spacing w:line="210" w:lineRule="auto"/>
              <w:jc w:val="center"/>
              <w:rPr>
                <w:color w:val="000000" w:themeColor="text1"/>
              </w:rPr>
            </w:pPr>
            <w:r w:rsidRPr="00D42EFF">
              <w:rPr>
                <w:color w:val="000000" w:themeColor="text1"/>
                <w:sz w:val="15"/>
                <w:szCs w:val="15"/>
              </w:rPr>
              <w:t>Susceptibility</w:t>
            </w:r>
          </w:p>
        </w:tc>
        <w:tc>
          <w:tcPr>
            <w:tcW w:w="1900" w:type="dxa"/>
            <w:tcMar>
              <w:top w:w="35" w:type="dxa"/>
              <w:left w:w="60" w:type="dxa"/>
              <w:bottom w:w="35" w:type="dxa"/>
              <w:right w:w="60" w:type="dxa"/>
            </w:tcMar>
          </w:tcPr>
          <w:p w14:paraId="580099AB" w14:textId="77777777" w:rsidR="0022120C" w:rsidRPr="00D42EFF" w:rsidRDefault="00D42EFF">
            <w:pPr>
              <w:spacing w:line="210" w:lineRule="auto"/>
              <w:rPr>
                <w:color w:val="000000" w:themeColor="text1"/>
              </w:rPr>
            </w:pPr>
            <w:r w:rsidRPr="00D42EFF">
              <w:rPr>
                <w:color w:val="000000" w:themeColor="text1"/>
                <w:sz w:val="15"/>
                <w:szCs w:val="15"/>
              </w:rPr>
              <w:t>Risk of POMS</w:t>
            </w:r>
          </w:p>
        </w:tc>
        <w:tc>
          <w:tcPr>
            <w:tcW w:w="3450" w:type="dxa"/>
            <w:tcMar>
              <w:top w:w="35" w:type="dxa"/>
              <w:left w:w="60" w:type="dxa"/>
              <w:bottom w:w="35" w:type="dxa"/>
              <w:right w:w="60" w:type="dxa"/>
            </w:tcMar>
          </w:tcPr>
          <w:p w14:paraId="2A14172B" w14:textId="77777777" w:rsidR="0022120C" w:rsidRPr="00D42EFF" w:rsidRDefault="00D42EFF">
            <w:pPr>
              <w:spacing w:line="210" w:lineRule="auto"/>
              <w:rPr>
                <w:color w:val="000000" w:themeColor="text1"/>
              </w:rPr>
            </w:pPr>
            <w:r w:rsidRPr="00D42EFF">
              <w:rPr>
                <w:color w:val="000000" w:themeColor="text1"/>
                <w:sz w:val="15"/>
                <w:szCs w:val="15"/>
              </w:rPr>
              <w:t>Reported as associated with a lower</w:t>
            </w:r>
            <w:r w:rsidRPr="00D42EFF">
              <w:rPr>
                <w:color w:val="000000" w:themeColor="text1"/>
                <w:sz w:val="15"/>
                <w:szCs w:val="15"/>
              </w:rPr>
              <w:t xml:space="preserve"> risk of POMS. Observational and subject to confounding by indication for delivery; the earlier description as 'protective' overstated the evidence</w:t>
            </w:r>
          </w:p>
        </w:tc>
        <w:tc>
          <w:tcPr>
            <w:tcW w:w="1200" w:type="dxa"/>
            <w:shd w:val="clear" w:color="auto" w:fill="D9D9D9"/>
            <w:tcMar>
              <w:top w:w="35" w:type="dxa"/>
              <w:left w:w="60" w:type="dxa"/>
              <w:bottom w:w="35" w:type="dxa"/>
              <w:right w:w="60" w:type="dxa"/>
            </w:tcMar>
          </w:tcPr>
          <w:p w14:paraId="5FC986EA" w14:textId="77777777" w:rsidR="0022120C" w:rsidRPr="00D42EFF" w:rsidRDefault="00D42EFF">
            <w:pPr>
              <w:spacing w:line="210" w:lineRule="auto"/>
              <w:jc w:val="center"/>
              <w:rPr>
                <w:color w:val="000000" w:themeColor="text1"/>
              </w:rPr>
            </w:pPr>
            <w:r w:rsidRPr="00D42EFF">
              <w:rPr>
                <w:color w:val="000000" w:themeColor="text1"/>
                <w:sz w:val="15"/>
                <w:szCs w:val="15"/>
              </w:rPr>
              <w:t>C</w:t>
            </w:r>
          </w:p>
        </w:tc>
      </w:tr>
      <w:tr w:rsidR="00D42EFF" w:rsidRPr="00D42EFF" w14:paraId="7B884803" w14:textId="77777777">
        <w:tc>
          <w:tcPr>
            <w:tcW w:w="2050" w:type="dxa"/>
            <w:shd w:val="clear" w:color="auto" w:fill="F2F2F2"/>
            <w:tcMar>
              <w:top w:w="35" w:type="dxa"/>
              <w:left w:w="60" w:type="dxa"/>
              <w:bottom w:w="35" w:type="dxa"/>
              <w:right w:w="60" w:type="dxa"/>
            </w:tcMar>
          </w:tcPr>
          <w:p w14:paraId="114B398E" w14:textId="77777777" w:rsidR="0022120C" w:rsidRPr="00D42EFF" w:rsidRDefault="00D42EFF">
            <w:pPr>
              <w:spacing w:line="210" w:lineRule="auto"/>
              <w:rPr>
                <w:color w:val="000000" w:themeColor="text1"/>
              </w:rPr>
            </w:pPr>
            <w:r w:rsidRPr="00D42EFF">
              <w:rPr>
                <w:b/>
                <w:bCs/>
                <w:color w:val="000000" w:themeColor="text1"/>
                <w:sz w:val="15"/>
                <w:szCs w:val="15"/>
              </w:rPr>
              <w:t>Maternal illness during gestation</w:t>
            </w:r>
          </w:p>
        </w:tc>
        <w:tc>
          <w:tcPr>
            <w:tcW w:w="1750" w:type="dxa"/>
            <w:shd w:val="clear" w:color="auto" w:fill="F2F2F2"/>
            <w:tcMar>
              <w:top w:w="35" w:type="dxa"/>
              <w:left w:w="60" w:type="dxa"/>
              <w:bottom w:w="35" w:type="dxa"/>
              <w:right w:w="60" w:type="dxa"/>
            </w:tcMar>
          </w:tcPr>
          <w:p w14:paraId="0DEBC68B" w14:textId="77777777" w:rsidR="0022120C" w:rsidRPr="00D42EFF" w:rsidRDefault="00D42EFF">
            <w:pPr>
              <w:spacing w:line="210" w:lineRule="auto"/>
              <w:rPr>
                <w:color w:val="000000" w:themeColor="text1"/>
              </w:rPr>
            </w:pPr>
            <w:r w:rsidRPr="00D42EFF">
              <w:rPr>
                <w:color w:val="000000" w:themeColor="text1"/>
                <w:sz w:val="15"/>
                <w:szCs w:val="15"/>
              </w:rPr>
              <w:t>Graves 2017 [49]; Banwell 2011 [50]</w:t>
            </w:r>
          </w:p>
        </w:tc>
        <w:tc>
          <w:tcPr>
            <w:tcW w:w="1700" w:type="dxa"/>
            <w:shd w:val="clear" w:color="auto" w:fill="F2F2F2"/>
            <w:tcMar>
              <w:top w:w="35" w:type="dxa"/>
              <w:left w:w="60" w:type="dxa"/>
              <w:bottom w:w="35" w:type="dxa"/>
              <w:right w:w="60" w:type="dxa"/>
            </w:tcMar>
          </w:tcPr>
          <w:p w14:paraId="292C80B0" w14:textId="77777777" w:rsidR="0022120C" w:rsidRPr="00D42EFF" w:rsidRDefault="00D42EFF">
            <w:pPr>
              <w:spacing w:line="210" w:lineRule="auto"/>
              <w:rPr>
                <w:color w:val="000000" w:themeColor="text1"/>
              </w:rPr>
            </w:pPr>
            <w:r w:rsidRPr="00D42EFF">
              <w:rPr>
                <w:color w:val="000000" w:themeColor="text1"/>
                <w:sz w:val="15"/>
                <w:szCs w:val="15"/>
              </w:rPr>
              <w:t xml:space="preserve">Case-control; prospective national </w:t>
            </w:r>
            <w:r w:rsidRPr="00D42EFF">
              <w:rPr>
                <w:color w:val="000000" w:themeColor="text1"/>
                <w:sz w:val="15"/>
                <w:szCs w:val="15"/>
              </w:rPr>
              <w:t>cohort</w:t>
            </w:r>
          </w:p>
        </w:tc>
        <w:tc>
          <w:tcPr>
            <w:tcW w:w="1350" w:type="dxa"/>
            <w:shd w:val="clear" w:color="auto" w:fill="F2F2F2"/>
            <w:tcMar>
              <w:top w:w="35" w:type="dxa"/>
              <w:left w:w="60" w:type="dxa"/>
              <w:bottom w:w="35" w:type="dxa"/>
              <w:right w:w="60" w:type="dxa"/>
            </w:tcMar>
          </w:tcPr>
          <w:p w14:paraId="2B51B0A3" w14:textId="77777777" w:rsidR="0022120C" w:rsidRPr="00D42EFF" w:rsidRDefault="00D42EFF">
            <w:pPr>
              <w:spacing w:line="210" w:lineRule="auto"/>
              <w:jc w:val="center"/>
              <w:rPr>
                <w:color w:val="000000" w:themeColor="text1"/>
              </w:rPr>
            </w:pPr>
            <w:r w:rsidRPr="00D42EFF">
              <w:rPr>
                <w:color w:val="000000" w:themeColor="text1"/>
                <w:sz w:val="15"/>
                <w:szCs w:val="15"/>
              </w:rPr>
              <w:t>Susceptibility</w:t>
            </w:r>
          </w:p>
        </w:tc>
        <w:tc>
          <w:tcPr>
            <w:tcW w:w="1900" w:type="dxa"/>
            <w:shd w:val="clear" w:color="auto" w:fill="F2F2F2"/>
            <w:tcMar>
              <w:top w:w="35" w:type="dxa"/>
              <w:left w:w="60" w:type="dxa"/>
              <w:bottom w:w="35" w:type="dxa"/>
              <w:right w:w="60" w:type="dxa"/>
            </w:tcMar>
          </w:tcPr>
          <w:p w14:paraId="77F228BD" w14:textId="77777777" w:rsidR="0022120C" w:rsidRPr="00D42EFF" w:rsidRDefault="00D42EFF">
            <w:pPr>
              <w:spacing w:line="210" w:lineRule="auto"/>
              <w:rPr>
                <w:color w:val="000000" w:themeColor="text1"/>
              </w:rPr>
            </w:pPr>
            <w:r w:rsidRPr="00D42EFF">
              <w:rPr>
                <w:color w:val="000000" w:themeColor="text1"/>
                <w:sz w:val="15"/>
                <w:szCs w:val="15"/>
              </w:rPr>
              <w:t>Risk of POMS</w:t>
            </w:r>
          </w:p>
        </w:tc>
        <w:tc>
          <w:tcPr>
            <w:tcW w:w="3450" w:type="dxa"/>
            <w:shd w:val="clear" w:color="auto" w:fill="F2F2F2"/>
            <w:tcMar>
              <w:top w:w="35" w:type="dxa"/>
              <w:left w:w="60" w:type="dxa"/>
              <w:bottom w:w="35" w:type="dxa"/>
              <w:right w:w="60" w:type="dxa"/>
            </w:tcMar>
          </w:tcPr>
          <w:p w14:paraId="2011DE76" w14:textId="77777777" w:rsidR="0022120C" w:rsidRPr="00D42EFF" w:rsidRDefault="00D42EFF">
            <w:pPr>
              <w:spacing w:line="210" w:lineRule="auto"/>
              <w:rPr>
                <w:color w:val="000000" w:themeColor="text1"/>
              </w:rPr>
            </w:pPr>
            <w:r w:rsidRPr="00D42EFF">
              <w:rPr>
                <w:color w:val="000000" w:themeColor="text1"/>
                <w:sz w:val="15"/>
                <w:szCs w:val="15"/>
              </w:rPr>
              <w:t>Approximately doubled odds of POMS onset</w:t>
            </w:r>
          </w:p>
        </w:tc>
        <w:tc>
          <w:tcPr>
            <w:tcW w:w="1200" w:type="dxa"/>
            <w:shd w:val="clear" w:color="auto" w:fill="D9D9D9"/>
            <w:tcMar>
              <w:top w:w="35" w:type="dxa"/>
              <w:left w:w="60" w:type="dxa"/>
              <w:bottom w:w="35" w:type="dxa"/>
              <w:right w:w="60" w:type="dxa"/>
            </w:tcMar>
          </w:tcPr>
          <w:p w14:paraId="68901BD2" w14:textId="77777777" w:rsidR="0022120C" w:rsidRPr="00D42EFF" w:rsidRDefault="00D42EFF">
            <w:pPr>
              <w:spacing w:line="210" w:lineRule="auto"/>
              <w:jc w:val="center"/>
              <w:rPr>
                <w:color w:val="000000" w:themeColor="text1"/>
              </w:rPr>
            </w:pPr>
            <w:r w:rsidRPr="00D42EFF">
              <w:rPr>
                <w:color w:val="000000" w:themeColor="text1"/>
                <w:sz w:val="15"/>
                <w:szCs w:val="15"/>
              </w:rPr>
              <w:t>C</w:t>
            </w:r>
          </w:p>
        </w:tc>
      </w:tr>
      <w:tr w:rsidR="00D42EFF" w:rsidRPr="00D42EFF" w14:paraId="3A0BE730" w14:textId="77777777">
        <w:tc>
          <w:tcPr>
            <w:tcW w:w="2050" w:type="dxa"/>
            <w:tcMar>
              <w:top w:w="35" w:type="dxa"/>
              <w:left w:w="60" w:type="dxa"/>
              <w:bottom w:w="35" w:type="dxa"/>
              <w:right w:w="60" w:type="dxa"/>
            </w:tcMar>
          </w:tcPr>
          <w:p w14:paraId="363F9D8A" w14:textId="77777777" w:rsidR="0022120C" w:rsidRPr="00D42EFF" w:rsidRDefault="00D42EFF">
            <w:pPr>
              <w:spacing w:line="210" w:lineRule="auto"/>
              <w:rPr>
                <w:color w:val="000000" w:themeColor="text1"/>
              </w:rPr>
            </w:pPr>
            <w:r w:rsidRPr="00D42EFF">
              <w:rPr>
                <w:b/>
                <w:bCs/>
                <w:color w:val="000000" w:themeColor="text1"/>
                <w:sz w:val="15"/>
                <w:szCs w:val="15"/>
              </w:rPr>
              <w:t>Paternal occupational exposure (gardening, pesticide use)</w:t>
            </w:r>
          </w:p>
        </w:tc>
        <w:tc>
          <w:tcPr>
            <w:tcW w:w="1750" w:type="dxa"/>
            <w:tcMar>
              <w:top w:w="35" w:type="dxa"/>
              <w:left w:w="60" w:type="dxa"/>
              <w:bottom w:w="35" w:type="dxa"/>
              <w:right w:w="60" w:type="dxa"/>
            </w:tcMar>
          </w:tcPr>
          <w:p w14:paraId="418B9A1D" w14:textId="77777777" w:rsidR="0022120C" w:rsidRPr="00D42EFF" w:rsidRDefault="00D42EFF">
            <w:pPr>
              <w:spacing w:line="210" w:lineRule="auto"/>
              <w:rPr>
                <w:color w:val="000000" w:themeColor="text1"/>
              </w:rPr>
            </w:pPr>
            <w:r w:rsidRPr="00D42EFF">
              <w:rPr>
                <w:color w:val="000000" w:themeColor="text1"/>
                <w:sz w:val="15"/>
                <w:szCs w:val="15"/>
              </w:rPr>
              <w:t>Banwell 2011 [50]</w:t>
            </w:r>
          </w:p>
        </w:tc>
        <w:tc>
          <w:tcPr>
            <w:tcW w:w="1700" w:type="dxa"/>
            <w:tcMar>
              <w:top w:w="35" w:type="dxa"/>
              <w:left w:w="60" w:type="dxa"/>
              <w:bottom w:w="35" w:type="dxa"/>
              <w:right w:w="60" w:type="dxa"/>
            </w:tcMar>
          </w:tcPr>
          <w:p w14:paraId="23A4225A" w14:textId="77777777" w:rsidR="0022120C" w:rsidRPr="00D42EFF" w:rsidRDefault="00D42EFF">
            <w:pPr>
              <w:spacing w:line="210" w:lineRule="auto"/>
              <w:rPr>
                <w:color w:val="000000" w:themeColor="text1"/>
              </w:rPr>
            </w:pPr>
            <w:r w:rsidRPr="00D42EFF">
              <w:rPr>
                <w:color w:val="000000" w:themeColor="text1"/>
                <w:sz w:val="15"/>
                <w:szCs w:val="15"/>
              </w:rPr>
              <w:t>Prospective national cohort; 332 POMS</w:t>
            </w:r>
          </w:p>
        </w:tc>
        <w:tc>
          <w:tcPr>
            <w:tcW w:w="1350" w:type="dxa"/>
            <w:tcMar>
              <w:top w:w="35" w:type="dxa"/>
              <w:left w:w="60" w:type="dxa"/>
              <w:bottom w:w="35" w:type="dxa"/>
              <w:right w:w="60" w:type="dxa"/>
            </w:tcMar>
          </w:tcPr>
          <w:p w14:paraId="6AC6AC09" w14:textId="77777777" w:rsidR="0022120C" w:rsidRPr="00D42EFF" w:rsidRDefault="00D42EFF">
            <w:pPr>
              <w:spacing w:line="210" w:lineRule="auto"/>
              <w:jc w:val="center"/>
              <w:rPr>
                <w:color w:val="000000" w:themeColor="text1"/>
              </w:rPr>
            </w:pPr>
            <w:r w:rsidRPr="00D42EFF">
              <w:rPr>
                <w:color w:val="000000" w:themeColor="text1"/>
                <w:sz w:val="15"/>
                <w:szCs w:val="15"/>
              </w:rPr>
              <w:t>Susceptibility</w:t>
            </w:r>
          </w:p>
        </w:tc>
        <w:tc>
          <w:tcPr>
            <w:tcW w:w="1900" w:type="dxa"/>
            <w:tcMar>
              <w:top w:w="35" w:type="dxa"/>
              <w:left w:w="60" w:type="dxa"/>
              <w:bottom w:w="35" w:type="dxa"/>
              <w:right w:w="60" w:type="dxa"/>
            </w:tcMar>
          </w:tcPr>
          <w:p w14:paraId="62C2D133" w14:textId="77777777" w:rsidR="0022120C" w:rsidRPr="00D42EFF" w:rsidRDefault="00D42EFF">
            <w:pPr>
              <w:spacing w:line="210" w:lineRule="auto"/>
              <w:rPr>
                <w:color w:val="000000" w:themeColor="text1"/>
              </w:rPr>
            </w:pPr>
            <w:r w:rsidRPr="00D42EFF">
              <w:rPr>
                <w:color w:val="000000" w:themeColor="text1"/>
                <w:sz w:val="15"/>
                <w:szCs w:val="15"/>
              </w:rPr>
              <w:t>Risk of POMS</w:t>
            </w:r>
          </w:p>
        </w:tc>
        <w:tc>
          <w:tcPr>
            <w:tcW w:w="3450" w:type="dxa"/>
            <w:tcMar>
              <w:top w:w="35" w:type="dxa"/>
              <w:left w:w="60" w:type="dxa"/>
              <w:bottom w:w="35" w:type="dxa"/>
              <w:right w:w="60" w:type="dxa"/>
            </w:tcMar>
          </w:tcPr>
          <w:p w14:paraId="66E07C26" w14:textId="77777777" w:rsidR="0022120C" w:rsidRPr="00D42EFF" w:rsidRDefault="00D42EFF">
            <w:pPr>
              <w:spacing w:line="210" w:lineRule="auto"/>
              <w:rPr>
                <w:color w:val="000000" w:themeColor="text1"/>
              </w:rPr>
            </w:pPr>
            <w:r w:rsidRPr="00D42EFF">
              <w:rPr>
                <w:color w:val="000000" w:themeColor="text1"/>
                <w:sz w:val="15"/>
                <w:szCs w:val="15"/>
              </w:rPr>
              <w:t>Associated with increased disease</w:t>
            </w:r>
            <w:r w:rsidRPr="00D42EFF">
              <w:rPr>
                <w:color w:val="000000" w:themeColor="text1"/>
                <w:sz w:val="15"/>
                <w:szCs w:val="15"/>
              </w:rPr>
              <w:t xml:space="preserve"> risk</w:t>
            </w:r>
          </w:p>
        </w:tc>
        <w:tc>
          <w:tcPr>
            <w:tcW w:w="1200" w:type="dxa"/>
            <w:shd w:val="clear" w:color="auto" w:fill="D9D9D9"/>
            <w:tcMar>
              <w:top w:w="35" w:type="dxa"/>
              <w:left w:w="60" w:type="dxa"/>
              <w:bottom w:w="35" w:type="dxa"/>
              <w:right w:w="60" w:type="dxa"/>
            </w:tcMar>
          </w:tcPr>
          <w:p w14:paraId="4D07A9DA" w14:textId="77777777" w:rsidR="0022120C" w:rsidRPr="00D42EFF" w:rsidRDefault="00D42EFF">
            <w:pPr>
              <w:spacing w:line="210" w:lineRule="auto"/>
              <w:jc w:val="center"/>
              <w:rPr>
                <w:color w:val="000000" w:themeColor="text1"/>
              </w:rPr>
            </w:pPr>
            <w:r w:rsidRPr="00D42EFF">
              <w:rPr>
                <w:color w:val="000000" w:themeColor="text1"/>
                <w:sz w:val="15"/>
                <w:szCs w:val="15"/>
              </w:rPr>
              <w:t>C</w:t>
            </w:r>
          </w:p>
        </w:tc>
      </w:tr>
      <w:tr w:rsidR="00D42EFF" w:rsidRPr="00D42EFF" w14:paraId="0A041C91" w14:textId="77777777">
        <w:tc>
          <w:tcPr>
            <w:tcW w:w="2050" w:type="dxa"/>
            <w:shd w:val="clear" w:color="auto" w:fill="F2F2F2"/>
            <w:tcMar>
              <w:top w:w="35" w:type="dxa"/>
              <w:left w:w="60" w:type="dxa"/>
              <w:bottom w:w="35" w:type="dxa"/>
              <w:right w:w="60" w:type="dxa"/>
            </w:tcMar>
          </w:tcPr>
          <w:p w14:paraId="75B0F1DA" w14:textId="77777777" w:rsidR="0022120C" w:rsidRPr="00D42EFF" w:rsidRDefault="00D42EFF">
            <w:pPr>
              <w:spacing w:line="210" w:lineRule="auto"/>
              <w:rPr>
                <w:color w:val="000000" w:themeColor="text1"/>
              </w:rPr>
            </w:pPr>
            <w:r w:rsidRPr="00D42EFF">
              <w:rPr>
                <w:b/>
                <w:bCs/>
                <w:color w:val="000000" w:themeColor="text1"/>
                <w:sz w:val="15"/>
                <w:szCs w:val="15"/>
              </w:rPr>
              <w:t>Household chemical / pesticide exposure</w:t>
            </w:r>
          </w:p>
        </w:tc>
        <w:tc>
          <w:tcPr>
            <w:tcW w:w="1750" w:type="dxa"/>
            <w:shd w:val="clear" w:color="auto" w:fill="F2F2F2"/>
            <w:tcMar>
              <w:top w:w="35" w:type="dxa"/>
              <w:left w:w="60" w:type="dxa"/>
              <w:bottom w:w="35" w:type="dxa"/>
              <w:right w:w="60" w:type="dxa"/>
            </w:tcMar>
          </w:tcPr>
          <w:p w14:paraId="203B3B19" w14:textId="77777777" w:rsidR="0022120C" w:rsidRPr="00D42EFF" w:rsidRDefault="00D42EFF">
            <w:pPr>
              <w:spacing w:line="210" w:lineRule="auto"/>
              <w:rPr>
                <w:color w:val="000000" w:themeColor="text1"/>
              </w:rPr>
            </w:pPr>
            <w:r w:rsidRPr="00D42EFF">
              <w:rPr>
                <w:color w:val="000000" w:themeColor="text1"/>
                <w:sz w:val="15"/>
                <w:szCs w:val="15"/>
              </w:rPr>
              <w:t>Mar 2018 [51]</w:t>
            </w:r>
          </w:p>
        </w:tc>
        <w:tc>
          <w:tcPr>
            <w:tcW w:w="1700" w:type="dxa"/>
            <w:shd w:val="clear" w:color="auto" w:fill="F2F2F2"/>
            <w:tcMar>
              <w:top w:w="35" w:type="dxa"/>
              <w:left w:w="60" w:type="dxa"/>
              <w:bottom w:w="35" w:type="dxa"/>
              <w:right w:w="60" w:type="dxa"/>
            </w:tcMar>
          </w:tcPr>
          <w:p w14:paraId="1B56EE26" w14:textId="77777777" w:rsidR="0022120C" w:rsidRPr="00D42EFF" w:rsidRDefault="00D42EFF">
            <w:pPr>
              <w:spacing w:line="210" w:lineRule="auto"/>
              <w:rPr>
                <w:color w:val="000000" w:themeColor="text1"/>
              </w:rPr>
            </w:pPr>
            <w:r w:rsidRPr="00D42EFF">
              <w:rPr>
                <w:color w:val="000000" w:themeColor="text1"/>
                <w:sz w:val="15"/>
                <w:szCs w:val="15"/>
              </w:rPr>
              <w:t>Case-control; 312 POMS</w:t>
            </w:r>
          </w:p>
        </w:tc>
        <w:tc>
          <w:tcPr>
            <w:tcW w:w="1350" w:type="dxa"/>
            <w:shd w:val="clear" w:color="auto" w:fill="F2F2F2"/>
            <w:tcMar>
              <w:top w:w="35" w:type="dxa"/>
              <w:left w:w="60" w:type="dxa"/>
              <w:bottom w:w="35" w:type="dxa"/>
              <w:right w:w="60" w:type="dxa"/>
            </w:tcMar>
          </w:tcPr>
          <w:p w14:paraId="70FAE6E4" w14:textId="77777777" w:rsidR="0022120C" w:rsidRPr="00D42EFF" w:rsidRDefault="00D42EFF">
            <w:pPr>
              <w:spacing w:line="210" w:lineRule="auto"/>
              <w:jc w:val="center"/>
              <w:rPr>
                <w:color w:val="000000" w:themeColor="text1"/>
              </w:rPr>
            </w:pPr>
            <w:r w:rsidRPr="00D42EFF">
              <w:rPr>
                <w:color w:val="000000" w:themeColor="text1"/>
                <w:sz w:val="15"/>
                <w:szCs w:val="15"/>
              </w:rPr>
              <w:t>Susceptibility</w:t>
            </w:r>
          </w:p>
        </w:tc>
        <w:tc>
          <w:tcPr>
            <w:tcW w:w="1900" w:type="dxa"/>
            <w:shd w:val="clear" w:color="auto" w:fill="F2F2F2"/>
            <w:tcMar>
              <w:top w:w="35" w:type="dxa"/>
              <w:left w:w="60" w:type="dxa"/>
              <w:bottom w:w="35" w:type="dxa"/>
              <w:right w:w="60" w:type="dxa"/>
            </w:tcMar>
          </w:tcPr>
          <w:p w14:paraId="6478B6C8" w14:textId="77777777" w:rsidR="0022120C" w:rsidRPr="00D42EFF" w:rsidRDefault="00D42EFF">
            <w:pPr>
              <w:spacing w:line="210" w:lineRule="auto"/>
              <w:rPr>
                <w:color w:val="000000" w:themeColor="text1"/>
              </w:rPr>
            </w:pPr>
            <w:r w:rsidRPr="00D42EFF">
              <w:rPr>
                <w:color w:val="000000" w:themeColor="text1"/>
                <w:sz w:val="15"/>
                <w:szCs w:val="15"/>
              </w:rPr>
              <w:t>Risk of POMS</w:t>
            </w:r>
          </w:p>
        </w:tc>
        <w:tc>
          <w:tcPr>
            <w:tcW w:w="3450" w:type="dxa"/>
            <w:shd w:val="clear" w:color="auto" w:fill="F2F2F2"/>
            <w:tcMar>
              <w:top w:w="35" w:type="dxa"/>
              <w:left w:w="60" w:type="dxa"/>
              <w:bottom w:w="35" w:type="dxa"/>
              <w:right w:w="60" w:type="dxa"/>
            </w:tcMar>
          </w:tcPr>
          <w:p w14:paraId="0608FD89" w14:textId="77777777" w:rsidR="0022120C" w:rsidRPr="00D42EFF" w:rsidRDefault="00D42EFF">
            <w:pPr>
              <w:spacing w:line="210" w:lineRule="auto"/>
              <w:rPr>
                <w:color w:val="000000" w:themeColor="text1"/>
              </w:rPr>
            </w:pPr>
            <w:r w:rsidRPr="00D42EFF">
              <w:rPr>
                <w:color w:val="000000" w:themeColor="text1"/>
                <w:sz w:val="15"/>
                <w:szCs w:val="15"/>
              </w:rPr>
              <w:t>Several household chemical exposures associated with increased odds of POMS</w:t>
            </w:r>
          </w:p>
        </w:tc>
        <w:tc>
          <w:tcPr>
            <w:tcW w:w="1200" w:type="dxa"/>
            <w:shd w:val="clear" w:color="auto" w:fill="D9D9D9"/>
            <w:tcMar>
              <w:top w:w="35" w:type="dxa"/>
              <w:left w:w="60" w:type="dxa"/>
              <w:bottom w:w="35" w:type="dxa"/>
              <w:right w:w="60" w:type="dxa"/>
            </w:tcMar>
          </w:tcPr>
          <w:p w14:paraId="21F3334F" w14:textId="77777777" w:rsidR="0022120C" w:rsidRPr="00D42EFF" w:rsidRDefault="00D42EFF">
            <w:pPr>
              <w:spacing w:line="210" w:lineRule="auto"/>
              <w:jc w:val="center"/>
              <w:rPr>
                <w:color w:val="000000" w:themeColor="text1"/>
              </w:rPr>
            </w:pPr>
            <w:r w:rsidRPr="00D42EFF">
              <w:rPr>
                <w:color w:val="000000" w:themeColor="text1"/>
                <w:sz w:val="15"/>
                <w:szCs w:val="15"/>
              </w:rPr>
              <w:t>C</w:t>
            </w:r>
          </w:p>
        </w:tc>
      </w:tr>
      <w:tr w:rsidR="00D42EFF" w:rsidRPr="00D42EFF" w14:paraId="0F314B33" w14:textId="77777777">
        <w:tc>
          <w:tcPr>
            <w:tcW w:w="2050" w:type="dxa"/>
            <w:tcMar>
              <w:top w:w="35" w:type="dxa"/>
              <w:left w:w="60" w:type="dxa"/>
              <w:bottom w:w="35" w:type="dxa"/>
              <w:right w:w="60" w:type="dxa"/>
            </w:tcMar>
          </w:tcPr>
          <w:p w14:paraId="5AC8A95C" w14:textId="77777777" w:rsidR="0022120C" w:rsidRPr="00D42EFF" w:rsidRDefault="00D42EFF">
            <w:pPr>
              <w:spacing w:line="210" w:lineRule="auto"/>
              <w:rPr>
                <w:color w:val="000000" w:themeColor="text1"/>
              </w:rPr>
            </w:pPr>
            <w:r w:rsidRPr="00D42EFF">
              <w:rPr>
                <w:b/>
                <w:bCs/>
                <w:color w:val="000000" w:themeColor="text1"/>
                <w:sz w:val="15"/>
                <w:szCs w:val="15"/>
              </w:rPr>
              <w:t xml:space="preserve">Air pollution (fine particulate matter; sulfur dioxide; lead; </w:t>
            </w:r>
            <w:r w:rsidRPr="00D42EFF">
              <w:rPr>
                <w:b/>
                <w:bCs/>
                <w:color w:val="000000" w:themeColor="text1"/>
                <w:sz w:val="15"/>
                <w:szCs w:val="15"/>
              </w:rPr>
              <w:t>ozone)</w:t>
            </w:r>
          </w:p>
        </w:tc>
        <w:tc>
          <w:tcPr>
            <w:tcW w:w="1750" w:type="dxa"/>
            <w:tcMar>
              <w:top w:w="35" w:type="dxa"/>
              <w:left w:w="60" w:type="dxa"/>
              <w:bottom w:w="35" w:type="dxa"/>
              <w:right w:w="60" w:type="dxa"/>
            </w:tcMar>
          </w:tcPr>
          <w:p w14:paraId="5F162196" w14:textId="77777777" w:rsidR="0022120C" w:rsidRPr="00D42EFF" w:rsidRDefault="00D42EFF">
            <w:pPr>
              <w:spacing w:line="210" w:lineRule="auto"/>
              <w:rPr>
                <w:color w:val="000000" w:themeColor="text1"/>
              </w:rPr>
            </w:pPr>
            <w:r w:rsidRPr="00D42EFF">
              <w:rPr>
                <w:color w:val="000000" w:themeColor="text1"/>
                <w:sz w:val="15"/>
                <w:szCs w:val="15"/>
              </w:rPr>
              <w:t>Mar 2018 [51]; Bergamaschi 2026 [52]</w:t>
            </w:r>
          </w:p>
        </w:tc>
        <w:tc>
          <w:tcPr>
            <w:tcW w:w="1700" w:type="dxa"/>
            <w:tcMar>
              <w:top w:w="35" w:type="dxa"/>
              <w:left w:w="60" w:type="dxa"/>
              <w:bottom w:w="35" w:type="dxa"/>
              <w:right w:w="60" w:type="dxa"/>
            </w:tcMar>
          </w:tcPr>
          <w:p w14:paraId="6F13584C" w14:textId="77777777" w:rsidR="0022120C" w:rsidRPr="00D42EFF" w:rsidRDefault="00D42EFF">
            <w:pPr>
              <w:spacing w:line="210" w:lineRule="auto"/>
              <w:rPr>
                <w:color w:val="000000" w:themeColor="text1"/>
              </w:rPr>
            </w:pPr>
            <w:r w:rsidRPr="00D42EFF">
              <w:rPr>
                <w:color w:val="000000" w:themeColor="text1"/>
                <w:sz w:val="15"/>
                <w:szCs w:val="15"/>
              </w:rPr>
              <w:t>Case-control; PEDIGREE study (113 cases, 117 controls)</w:t>
            </w:r>
          </w:p>
        </w:tc>
        <w:tc>
          <w:tcPr>
            <w:tcW w:w="1350" w:type="dxa"/>
            <w:tcMar>
              <w:top w:w="35" w:type="dxa"/>
              <w:left w:w="60" w:type="dxa"/>
              <w:bottom w:w="35" w:type="dxa"/>
              <w:right w:w="60" w:type="dxa"/>
            </w:tcMar>
          </w:tcPr>
          <w:p w14:paraId="542F4F86" w14:textId="77777777" w:rsidR="0022120C" w:rsidRPr="00D42EFF" w:rsidRDefault="00D42EFF">
            <w:pPr>
              <w:spacing w:line="210" w:lineRule="auto"/>
              <w:jc w:val="center"/>
              <w:rPr>
                <w:color w:val="000000" w:themeColor="text1"/>
              </w:rPr>
            </w:pPr>
            <w:r w:rsidRPr="00D42EFF">
              <w:rPr>
                <w:color w:val="000000" w:themeColor="text1"/>
                <w:sz w:val="15"/>
                <w:szCs w:val="15"/>
              </w:rPr>
              <w:t>Susceptibility</w:t>
            </w:r>
          </w:p>
        </w:tc>
        <w:tc>
          <w:tcPr>
            <w:tcW w:w="1900" w:type="dxa"/>
            <w:tcMar>
              <w:top w:w="35" w:type="dxa"/>
              <w:left w:w="60" w:type="dxa"/>
              <w:bottom w:w="35" w:type="dxa"/>
              <w:right w:w="60" w:type="dxa"/>
            </w:tcMar>
          </w:tcPr>
          <w:p w14:paraId="360AA185" w14:textId="77777777" w:rsidR="0022120C" w:rsidRPr="00D42EFF" w:rsidRDefault="00D42EFF">
            <w:pPr>
              <w:spacing w:line="210" w:lineRule="auto"/>
              <w:rPr>
                <w:color w:val="000000" w:themeColor="text1"/>
              </w:rPr>
            </w:pPr>
            <w:r w:rsidRPr="00D42EFF">
              <w:rPr>
                <w:color w:val="000000" w:themeColor="text1"/>
                <w:sz w:val="15"/>
                <w:szCs w:val="15"/>
              </w:rPr>
              <w:t>Risk of POMS</w:t>
            </w:r>
          </w:p>
        </w:tc>
        <w:tc>
          <w:tcPr>
            <w:tcW w:w="3450" w:type="dxa"/>
            <w:tcMar>
              <w:top w:w="35" w:type="dxa"/>
              <w:left w:w="60" w:type="dxa"/>
              <w:bottom w:w="35" w:type="dxa"/>
              <w:right w:w="60" w:type="dxa"/>
            </w:tcMar>
          </w:tcPr>
          <w:p w14:paraId="50E33CFD" w14:textId="77777777" w:rsidR="0022120C" w:rsidRPr="00D42EFF" w:rsidRDefault="00D42EFF">
            <w:pPr>
              <w:spacing w:line="210" w:lineRule="auto"/>
              <w:rPr>
                <w:color w:val="000000" w:themeColor="text1"/>
              </w:rPr>
            </w:pPr>
            <w:r w:rsidRPr="00D42EFF">
              <w:rPr>
                <w:color w:val="000000" w:themeColor="text1"/>
                <w:sz w:val="15"/>
                <w:szCs w:val="15"/>
              </w:rPr>
              <w:t>Associated with increased odds of POMS. Ozone (O3) exposure: OR 1.11 (95% CI 1.03–1.19) in the first year before onset [52]</w:t>
            </w:r>
          </w:p>
        </w:tc>
        <w:tc>
          <w:tcPr>
            <w:tcW w:w="1200" w:type="dxa"/>
            <w:shd w:val="clear" w:color="auto" w:fill="D9D9D9"/>
            <w:tcMar>
              <w:top w:w="35" w:type="dxa"/>
              <w:left w:w="60" w:type="dxa"/>
              <w:bottom w:w="35" w:type="dxa"/>
              <w:right w:w="60" w:type="dxa"/>
            </w:tcMar>
          </w:tcPr>
          <w:p w14:paraId="38A78F4D" w14:textId="77777777" w:rsidR="0022120C" w:rsidRPr="00D42EFF" w:rsidRDefault="00D42EFF">
            <w:pPr>
              <w:spacing w:line="210" w:lineRule="auto"/>
              <w:jc w:val="center"/>
              <w:rPr>
                <w:color w:val="000000" w:themeColor="text1"/>
              </w:rPr>
            </w:pPr>
            <w:r w:rsidRPr="00D42EFF">
              <w:rPr>
                <w:color w:val="000000" w:themeColor="text1"/>
                <w:sz w:val="15"/>
                <w:szCs w:val="15"/>
              </w:rPr>
              <w:t>C</w:t>
            </w:r>
          </w:p>
        </w:tc>
      </w:tr>
      <w:tr w:rsidR="00D42EFF" w:rsidRPr="00D42EFF" w14:paraId="52C7F7CB" w14:textId="77777777">
        <w:tc>
          <w:tcPr>
            <w:tcW w:w="2050" w:type="dxa"/>
            <w:shd w:val="clear" w:color="auto" w:fill="F2F2F2"/>
            <w:tcMar>
              <w:top w:w="35" w:type="dxa"/>
              <w:left w:w="60" w:type="dxa"/>
              <w:bottom w:w="35" w:type="dxa"/>
              <w:right w:w="60" w:type="dxa"/>
            </w:tcMar>
          </w:tcPr>
          <w:p w14:paraId="711EAF47" w14:textId="77777777" w:rsidR="0022120C" w:rsidRPr="00D42EFF" w:rsidRDefault="00D42EFF">
            <w:pPr>
              <w:spacing w:line="210" w:lineRule="auto"/>
              <w:rPr>
                <w:color w:val="000000" w:themeColor="text1"/>
              </w:rPr>
            </w:pPr>
            <w:r w:rsidRPr="00D42EFF">
              <w:rPr>
                <w:b/>
                <w:bCs/>
                <w:color w:val="000000" w:themeColor="text1"/>
                <w:sz w:val="15"/>
                <w:szCs w:val="15"/>
              </w:rPr>
              <w:t>Gut microbiota alterations</w:t>
            </w:r>
          </w:p>
        </w:tc>
        <w:tc>
          <w:tcPr>
            <w:tcW w:w="1750" w:type="dxa"/>
            <w:shd w:val="clear" w:color="auto" w:fill="F2F2F2"/>
            <w:tcMar>
              <w:top w:w="35" w:type="dxa"/>
              <w:left w:w="60" w:type="dxa"/>
              <w:bottom w:w="35" w:type="dxa"/>
              <w:right w:w="60" w:type="dxa"/>
            </w:tcMar>
          </w:tcPr>
          <w:p w14:paraId="41372922" w14:textId="77777777" w:rsidR="0022120C" w:rsidRPr="00D42EFF" w:rsidRDefault="00D42EFF">
            <w:pPr>
              <w:spacing w:line="210" w:lineRule="auto"/>
              <w:rPr>
                <w:color w:val="000000" w:themeColor="text1"/>
              </w:rPr>
            </w:pPr>
            <w:r w:rsidRPr="00D42EFF">
              <w:rPr>
                <w:color w:val="000000" w:themeColor="text1"/>
                <w:sz w:val="15"/>
                <w:szCs w:val="15"/>
              </w:rPr>
              <w:t>Tremlett 2016 [53]; Horton 2021 [54]</w:t>
            </w:r>
          </w:p>
        </w:tc>
        <w:tc>
          <w:tcPr>
            <w:tcW w:w="1700" w:type="dxa"/>
            <w:shd w:val="clear" w:color="auto" w:fill="F2F2F2"/>
            <w:tcMar>
              <w:top w:w="35" w:type="dxa"/>
              <w:left w:w="60" w:type="dxa"/>
              <w:bottom w:w="35" w:type="dxa"/>
              <w:right w:w="60" w:type="dxa"/>
            </w:tcMar>
          </w:tcPr>
          <w:p w14:paraId="7C31DE61" w14:textId="77777777" w:rsidR="0022120C" w:rsidRPr="00D42EFF" w:rsidRDefault="00D42EFF">
            <w:pPr>
              <w:spacing w:line="210" w:lineRule="auto"/>
              <w:rPr>
                <w:color w:val="000000" w:themeColor="text1"/>
              </w:rPr>
            </w:pPr>
            <w:r w:rsidRPr="00D42EFF">
              <w:rPr>
                <w:color w:val="000000" w:themeColor="text1"/>
                <w:sz w:val="15"/>
                <w:szCs w:val="15"/>
              </w:rPr>
              <w:t>Pilot and observational studies; POMS</w:t>
            </w:r>
          </w:p>
        </w:tc>
        <w:tc>
          <w:tcPr>
            <w:tcW w:w="1350" w:type="dxa"/>
            <w:shd w:val="clear" w:color="auto" w:fill="F2F2F2"/>
            <w:tcMar>
              <w:top w:w="35" w:type="dxa"/>
              <w:left w:w="60" w:type="dxa"/>
              <w:bottom w:w="35" w:type="dxa"/>
              <w:right w:w="60" w:type="dxa"/>
            </w:tcMar>
          </w:tcPr>
          <w:p w14:paraId="202D380F" w14:textId="77777777" w:rsidR="0022120C" w:rsidRPr="00D42EFF" w:rsidRDefault="00D42EFF">
            <w:pPr>
              <w:spacing w:line="210" w:lineRule="auto"/>
              <w:jc w:val="center"/>
              <w:rPr>
                <w:color w:val="000000" w:themeColor="text1"/>
              </w:rPr>
            </w:pPr>
            <w:r w:rsidRPr="00D42EFF">
              <w:rPr>
                <w:color w:val="000000" w:themeColor="text1"/>
                <w:sz w:val="15"/>
                <w:szCs w:val="15"/>
              </w:rPr>
              <w:t>Susceptibility / exploratory</w:t>
            </w:r>
          </w:p>
        </w:tc>
        <w:tc>
          <w:tcPr>
            <w:tcW w:w="1900" w:type="dxa"/>
            <w:shd w:val="clear" w:color="auto" w:fill="F2F2F2"/>
            <w:tcMar>
              <w:top w:w="35" w:type="dxa"/>
              <w:left w:w="60" w:type="dxa"/>
              <w:bottom w:w="35" w:type="dxa"/>
              <w:right w:w="60" w:type="dxa"/>
            </w:tcMar>
          </w:tcPr>
          <w:p w14:paraId="01CC6501" w14:textId="77777777" w:rsidR="0022120C" w:rsidRPr="00D42EFF" w:rsidRDefault="00D42EFF">
            <w:pPr>
              <w:spacing w:line="210" w:lineRule="auto"/>
              <w:rPr>
                <w:color w:val="000000" w:themeColor="text1"/>
              </w:rPr>
            </w:pPr>
            <w:r w:rsidRPr="00D42EFF">
              <w:rPr>
                <w:color w:val="000000" w:themeColor="text1"/>
                <w:sz w:val="15"/>
                <w:szCs w:val="15"/>
              </w:rPr>
              <w:t>Immune activation; MS activity</w:t>
            </w:r>
          </w:p>
        </w:tc>
        <w:tc>
          <w:tcPr>
            <w:tcW w:w="3450" w:type="dxa"/>
            <w:shd w:val="clear" w:color="auto" w:fill="F2F2F2"/>
            <w:tcMar>
              <w:top w:w="35" w:type="dxa"/>
              <w:left w:w="60" w:type="dxa"/>
              <w:bottom w:w="35" w:type="dxa"/>
              <w:right w:w="60" w:type="dxa"/>
            </w:tcMar>
          </w:tcPr>
          <w:p w14:paraId="194B8AC4" w14:textId="77777777" w:rsidR="0022120C" w:rsidRPr="00D42EFF" w:rsidRDefault="00D42EFF">
            <w:pPr>
              <w:spacing w:line="210" w:lineRule="auto"/>
              <w:rPr>
                <w:color w:val="000000" w:themeColor="text1"/>
              </w:rPr>
            </w:pPr>
            <w:r w:rsidRPr="00D42EFF">
              <w:rPr>
                <w:color w:val="000000" w:themeColor="text1"/>
                <w:sz w:val="15"/>
                <w:szCs w:val="15"/>
              </w:rPr>
              <w:t>Associated with immune activation and MS activity in children. Evidence largely cross-sectiona</w:t>
            </w:r>
            <w:r w:rsidRPr="00D42EFF">
              <w:rPr>
                <w:color w:val="000000" w:themeColor="text1"/>
                <w:sz w:val="15"/>
                <w:szCs w:val="15"/>
              </w:rPr>
              <w:t>l and exploratory; a consistent correlation with disease activity is not established</w:t>
            </w:r>
          </w:p>
        </w:tc>
        <w:tc>
          <w:tcPr>
            <w:tcW w:w="1200" w:type="dxa"/>
            <w:shd w:val="clear" w:color="auto" w:fill="D9D9D9"/>
            <w:tcMar>
              <w:top w:w="35" w:type="dxa"/>
              <w:left w:w="60" w:type="dxa"/>
              <w:bottom w:w="35" w:type="dxa"/>
              <w:right w:w="60" w:type="dxa"/>
            </w:tcMar>
          </w:tcPr>
          <w:p w14:paraId="02174BEA" w14:textId="77777777" w:rsidR="0022120C" w:rsidRPr="00D42EFF" w:rsidRDefault="00D42EFF">
            <w:pPr>
              <w:spacing w:line="210" w:lineRule="auto"/>
              <w:jc w:val="center"/>
              <w:rPr>
                <w:color w:val="000000" w:themeColor="text1"/>
              </w:rPr>
            </w:pPr>
            <w:r w:rsidRPr="00D42EFF">
              <w:rPr>
                <w:color w:val="000000" w:themeColor="text1"/>
                <w:sz w:val="15"/>
                <w:szCs w:val="15"/>
              </w:rPr>
              <w:t>C</w:t>
            </w:r>
          </w:p>
        </w:tc>
      </w:tr>
    </w:tbl>
    <w:p w14:paraId="5C7A11E5" w14:textId="77777777" w:rsidR="0022120C" w:rsidRPr="00D42EFF" w:rsidRDefault="00D42EFF">
      <w:pPr>
        <w:spacing w:after="160" w:line="220" w:lineRule="auto"/>
        <w:jc w:val="both"/>
        <w:rPr>
          <w:color w:val="000000" w:themeColor="text1"/>
        </w:rPr>
      </w:pPr>
      <w:r w:rsidRPr="00D42EFF">
        <w:rPr>
          <w:i/>
          <w:iCs/>
          <w:color w:val="000000" w:themeColor="text1"/>
          <w:sz w:val="15"/>
          <w:szCs w:val="15"/>
        </w:rPr>
        <w:t>BMI, body mass index; CIS, clinically isolated syndrome; EBV, Epstein-Barr virus; GRS, genetic risk score; HLA, human leukocyte antigen</w:t>
      </w:r>
      <w:r w:rsidRPr="00D42EFF">
        <w:rPr>
          <w:i/>
          <w:iCs/>
          <w:color w:val="000000" w:themeColor="text1"/>
          <w:sz w:val="15"/>
          <w:szCs w:val="15"/>
        </w:rPr>
        <w:t>; HR, hazard ratio; HSV-1, herpes simplex virus type 1; OR, odds ratio; POMS, pediatric-onset multiple sclerosis; SPMS, secondary progressive multiple sclerosis.</w:t>
      </w:r>
    </w:p>
    <w:p w14:paraId="520D654B" w14:textId="77777777" w:rsidR="0022120C" w:rsidRPr="00D42EFF" w:rsidRDefault="0022120C">
      <w:pPr>
        <w:spacing w:after="100"/>
        <w:jc w:val="both"/>
        <w:rPr>
          <w:b/>
          <w:bCs/>
          <w:color w:val="000000" w:themeColor="text1"/>
          <w:sz w:val="24"/>
          <w:szCs w:val="24"/>
        </w:rPr>
      </w:pPr>
    </w:p>
    <w:p w14:paraId="1391A7A6" w14:textId="77777777" w:rsidR="0022120C" w:rsidRPr="00D42EFF" w:rsidRDefault="0022120C">
      <w:pPr>
        <w:spacing w:after="100"/>
        <w:jc w:val="both"/>
        <w:rPr>
          <w:color w:val="000000" w:themeColor="text1"/>
        </w:rPr>
      </w:pPr>
      <w:bookmarkStart w:id="0" w:name="_GoBack"/>
      <w:bookmarkEnd w:id="0"/>
    </w:p>
    <w:sectPr w:rsidR="0022120C" w:rsidRPr="00D42EFF" w:rsidSect="00D42EFF">
      <w:footerReference w:type="default" r:id="rId7"/>
      <w:pgSz w:w="16838" w:h="11906" w:orient="landscape"/>
      <w:pgMar w:top="1000" w:right="1000" w:bottom="1000" w:left="1000" w:header="708" w:footer="708"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FEB97F" w14:textId="77777777" w:rsidR="00E821CD" w:rsidRDefault="00E821CD">
      <w:r>
        <w:separator/>
      </w:r>
    </w:p>
  </w:endnote>
  <w:endnote w:type="continuationSeparator" w:id="0">
    <w:p w14:paraId="269EF38E" w14:textId="77777777" w:rsidR="00E821CD" w:rsidRDefault="00E82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06200B7-8D6B-4378-A505-89E3CF04D112}"/>
  </w:font>
  <w:font w:name="Gungsuh">
    <w:charset w:val="81"/>
    <w:family w:val="roman"/>
    <w:pitch w:val="variable"/>
    <w:sig w:usb0="B00002AF" w:usb1="69D77CFB" w:usb2="00000030" w:usb3="00000000" w:csb0="0008009F" w:csb1="00000000"/>
    <w:embedRegular r:id="rId2" w:subsetted="1" w:fontKey="{ADD19EB4-6960-4BDB-9CA7-ADAF9CADFA6A}"/>
    <w:embedBold r:id="rId3" w:subsetted="1" w:fontKey="{B2B03E27-F3B6-445E-A5D9-4CC6B7F5959D}"/>
  </w:font>
  <w:font w:name="Cardo">
    <w:charset w:val="00"/>
    <w:family w:val="auto"/>
    <w:pitch w:val="default"/>
    <w:embedRegular r:id="rId4" w:fontKey="{B0BC3629-6614-42D2-BE3F-B78F322B0E64}"/>
  </w:font>
  <w:font w:name="Calibri">
    <w:panose1 w:val="020F0502020204030204"/>
    <w:charset w:val="00"/>
    <w:family w:val="swiss"/>
    <w:pitch w:val="variable"/>
    <w:sig w:usb0="E4002EFF" w:usb1="C200247B" w:usb2="00000009" w:usb3="00000000" w:csb0="000001FF" w:csb1="00000000"/>
    <w:embedRegular r:id="rId5" w:fontKey="{2F2A97CC-2694-40A9-B0C3-D7E623242164}"/>
  </w:font>
  <w:font w:name="Cambria">
    <w:panose1 w:val="02040503050406030204"/>
    <w:charset w:val="00"/>
    <w:family w:val="roman"/>
    <w:pitch w:val="variable"/>
    <w:sig w:usb0="E00006FF" w:usb1="420024FF" w:usb2="02000000" w:usb3="00000000" w:csb0="0000019F" w:csb1="00000000"/>
    <w:embedRegular r:id="rId6" w:fontKey="{2D25CFDC-0A6E-4721-A23B-43DB987379C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3515FC" w14:textId="77777777" w:rsidR="0022120C" w:rsidRDefault="00D42EFF">
    <w:pPr>
      <w:jc w:val="center"/>
    </w:pPr>
    <w:r>
      <w:rPr>
        <w:sz w:val="18"/>
        <w:szCs w:val="18"/>
      </w:rPr>
      <w:fldChar w:fldCharType="begin"/>
    </w:r>
    <w:r>
      <w:rPr>
        <w:sz w:val="18"/>
        <w:szCs w:val="18"/>
      </w:rPr>
      <w:instrText>PAGE</w:instrText>
    </w:r>
    <w:r>
      <w:rPr>
        <w:sz w:val="18"/>
        <w:szCs w:val="18"/>
      </w:rPr>
      <w:fldChar w:fldCharType="separate"/>
    </w:r>
    <w:r>
      <w:rPr>
        <w:noProof/>
        <w:sz w:val="18"/>
        <w:szCs w:val="18"/>
      </w:rPr>
      <w:t>4</w:t>
    </w:r>
    <w:r>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CD976E" w14:textId="77777777" w:rsidR="00E821CD" w:rsidRDefault="00E821CD">
      <w:r>
        <w:separator/>
      </w:r>
    </w:p>
  </w:footnote>
  <w:footnote w:type="continuationSeparator" w:id="0">
    <w:p w14:paraId="57378217" w14:textId="77777777" w:rsidR="00E821CD" w:rsidRDefault="00E821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20C"/>
    <w:rsid w:val="0022120C"/>
    <w:rsid w:val="00336754"/>
    <w:rsid w:val="00D42EFF"/>
    <w:rsid w:val="00E821CD"/>
    <w:rsid w:val="00F516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3AD32"/>
  <w15:docId w15:val="{0A39BE72-3FC0-4F81-B3A7-38F1ABF14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SzU9jSHO+j9VO+XtLAKXwB0JCw==">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3447</Words>
  <Characters>19652</Characters>
  <Application>Microsoft Office Word</Application>
  <DocSecurity>0</DocSecurity>
  <Lines>163</Lines>
  <Paragraphs>46</Paragraphs>
  <ScaleCrop>false</ScaleCrop>
  <Company/>
  <LinksUpToDate>false</LinksUpToDate>
  <CharactersWithSpaces>23053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Chelladurai Sudalaimani</cp:lastModifiedBy>
  <cp:revision>3</cp:revision>
  <dcterms:created xsi:type="dcterms:W3CDTF">2026-07-17T08:51:00Z</dcterms:created>
  <dcterms:modified xsi:type="dcterms:W3CDTF">2026-07-23T06:07:00Z</dcterms:modified>
</cp:coreProperties>
</file>