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A86EE" w14:textId="77777777" w:rsidR="005602ED" w:rsidRPr="00B93502" w:rsidRDefault="005602ED" w:rsidP="00B93502">
      <w:pPr>
        <w:pStyle w:val="SMTitle"/>
        <w:spacing w:after="0" w:line="480" w:lineRule="auto"/>
        <w:rPr>
          <w:rFonts w:ascii="Times New Roman" w:eastAsia="Times New Roman" w:hAnsi="Times New Roman" w:cs="Times New Roman"/>
          <w:bCs/>
          <w:color w:val="auto"/>
          <w:kern w:val="0"/>
          <w:sz w:val="24"/>
          <w:lang w:val="en-GB" w:eastAsia="it-IT"/>
          <w14:ligatures w14:val="none"/>
        </w:rPr>
      </w:pPr>
      <w:r w:rsidRPr="00B93502">
        <w:rPr>
          <w:rFonts w:ascii="Times New Roman" w:eastAsia="Times New Roman" w:hAnsi="Times New Roman" w:cs="Times New Roman"/>
          <w:bCs/>
          <w:color w:val="auto"/>
          <w:kern w:val="0"/>
          <w:sz w:val="24"/>
          <w:lang w:val="en-GB" w:eastAsia="it-IT"/>
          <w14:ligatures w14:val="none"/>
        </w:rPr>
        <w:t>Supplementary Material 1. Flow-cytometry panel and representative gating strategy</w:t>
      </w:r>
    </w:p>
    <w:p w14:paraId="7FFE1F7B" w14:textId="77777777" w:rsidR="00A96321" w:rsidRPr="00B93502" w:rsidRDefault="00A96321" w:rsidP="00B93502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3E2AF1B4" w14:textId="4C3817EF" w:rsidR="005602ED" w:rsidRPr="00B93502" w:rsidRDefault="005602ED" w:rsidP="00B93502">
      <w:pPr>
        <w:pStyle w:val="SMCaption"/>
        <w:spacing w:before="0" w:after="0" w:line="480" w:lineRule="auto"/>
        <w:rPr>
          <w:rFonts w:ascii="Times New Roman" w:hAnsi="Times New Roman" w:cs="Times New Roman"/>
          <w:i w:val="0"/>
          <w:color w:val="auto"/>
          <w:sz w:val="24"/>
          <w:lang w:val="en-GB"/>
        </w:rPr>
      </w:pPr>
      <w:r w:rsidRPr="00B93502">
        <w:rPr>
          <w:rFonts w:ascii="Times New Roman" w:hAnsi="Times New Roman" w:cs="Times New Roman"/>
          <w:i w:val="0"/>
          <w:color w:val="auto"/>
          <w:sz w:val="24"/>
          <w:lang w:val="en-GB"/>
        </w:rPr>
        <w:t>For the immunophenotypic characterization, fluorochrome-conjugated monoclonal antibodies were used. Each fluorochrome has specific excitation and emission spectra and was selected according to its compatibility with the lasers and optical filters of the flow-cytometry system. The immunophenotyping panel is presented below with antigen target followed by the conjugated fluorochrome and detection channels.</w:t>
      </w:r>
    </w:p>
    <w:p w14:paraId="0050B867" w14:textId="77777777" w:rsidR="005602ED" w:rsidRPr="00B93502" w:rsidRDefault="005602ED" w:rsidP="00B93502">
      <w:pPr>
        <w:spacing w:after="0" w:line="480" w:lineRule="auto"/>
        <w:rPr>
          <w:rFonts w:ascii="Times New Roman" w:hAnsi="Times New Roman" w:cs="Times New Roman"/>
          <w:lang w:val="en-GB"/>
        </w:rPr>
      </w:pPr>
    </w:p>
    <w:tbl>
      <w:tblPr>
        <w:tblStyle w:val="Grigliatabella"/>
        <w:tblpPr w:leftFromText="141" w:rightFromText="141" w:vertAnchor="text" w:horzAnchor="margin" w:tblpY="222"/>
        <w:tblW w:w="10208" w:type="dxa"/>
        <w:tblLook w:val="04A0" w:firstRow="1" w:lastRow="0" w:firstColumn="1" w:lastColumn="0" w:noHBand="0" w:noVBand="1"/>
      </w:tblPr>
      <w:tblGrid>
        <w:gridCol w:w="1499"/>
        <w:gridCol w:w="1033"/>
        <w:gridCol w:w="967"/>
        <w:gridCol w:w="1080"/>
        <w:gridCol w:w="1026"/>
        <w:gridCol w:w="1031"/>
        <w:gridCol w:w="1223"/>
        <w:gridCol w:w="1208"/>
        <w:gridCol w:w="1141"/>
      </w:tblGrid>
      <w:tr w:rsidR="005602ED" w:rsidRPr="00B93502" w14:paraId="0D14BD80" w14:textId="77777777" w:rsidTr="002F7C7C">
        <w:tc>
          <w:tcPr>
            <w:tcW w:w="1499" w:type="dxa"/>
          </w:tcPr>
          <w:p w14:paraId="740C644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  <w:t>Fluorochrome</w:t>
            </w:r>
          </w:p>
        </w:tc>
        <w:tc>
          <w:tcPr>
            <w:tcW w:w="1033" w:type="dxa"/>
          </w:tcPr>
          <w:p w14:paraId="1A6F5328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FITC</w:t>
            </w:r>
          </w:p>
        </w:tc>
        <w:tc>
          <w:tcPr>
            <w:tcW w:w="967" w:type="dxa"/>
          </w:tcPr>
          <w:p w14:paraId="3BD5DFE7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PE</w:t>
            </w:r>
          </w:p>
        </w:tc>
        <w:tc>
          <w:tcPr>
            <w:tcW w:w="1080" w:type="dxa"/>
          </w:tcPr>
          <w:p w14:paraId="16FB6781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PeCy5</w:t>
            </w:r>
          </w:p>
        </w:tc>
        <w:tc>
          <w:tcPr>
            <w:tcW w:w="1026" w:type="dxa"/>
          </w:tcPr>
          <w:p w14:paraId="45BE776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PE-Cy7</w:t>
            </w:r>
          </w:p>
        </w:tc>
        <w:tc>
          <w:tcPr>
            <w:tcW w:w="1031" w:type="dxa"/>
          </w:tcPr>
          <w:p w14:paraId="36F6DB4B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APC</w:t>
            </w:r>
          </w:p>
        </w:tc>
        <w:tc>
          <w:tcPr>
            <w:tcW w:w="1223" w:type="dxa"/>
          </w:tcPr>
          <w:p w14:paraId="3747AD47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APC CY7</w:t>
            </w:r>
          </w:p>
        </w:tc>
        <w:tc>
          <w:tcPr>
            <w:tcW w:w="1208" w:type="dxa"/>
          </w:tcPr>
          <w:p w14:paraId="53CF5F3F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HV450</w:t>
            </w:r>
          </w:p>
        </w:tc>
        <w:tc>
          <w:tcPr>
            <w:tcW w:w="1141" w:type="dxa"/>
          </w:tcPr>
          <w:p w14:paraId="5585E7A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HV500</w:t>
            </w:r>
          </w:p>
        </w:tc>
      </w:tr>
      <w:tr w:rsidR="005602ED" w:rsidRPr="00B93502" w14:paraId="2E247EEE" w14:textId="77777777" w:rsidTr="002F7C7C">
        <w:tc>
          <w:tcPr>
            <w:tcW w:w="1499" w:type="dxa"/>
          </w:tcPr>
          <w:p w14:paraId="6FB68414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  <w:t>Antigen target</w:t>
            </w:r>
          </w:p>
        </w:tc>
        <w:tc>
          <w:tcPr>
            <w:tcW w:w="1033" w:type="dxa"/>
          </w:tcPr>
          <w:p w14:paraId="47F5F664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CD20</w:t>
            </w:r>
          </w:p>
        </w:tc>
        <w:tc>
          <w:tcPr>
            <w:tcW w:w="967" w:type="dxa"/>
          </w:tcPr>
          <w:p w14:paraId="41FA2F5F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CD4</w:t>
            </w:r>
          </w:p>
        </w:tc>
        <w:tc>
          <w:tcPr>
            <w:tcW w:w="1080" w:type="dxa"/>
          </w:tcPr>
          <w:p w14:paraId="35F82F92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CD45</w:t>
            </w:r>
          </w:p>
        </w:tc>
        <w:tc>
          <w:tcPr>
            <w:tcW w:w="1026" w:type="dxa"/>
          </w:tcPr>
          <w:p w14:paraId="0D45C8A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CD56</w:t>
            </w:r>
          </w:p>
        </w:tc>
        <w:tc>
          <w:tcPr>
            <w:tcW w:w="1031" w:type="dxa"/>
          </w:tcPr>
          <w:p w14:paraId="492ECB7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CD19</w:t>
            </w:r>
          </w:p>
        </w:tc>
        <w:tc>
          <w:tcPr>
            <w:tcW w:w="1223" w:type="dxa"/>
          </w:tcPr>
          <w:p w14:paraId="23405B31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CD8</w:t>
            </w:r>
          </w:p>
        </w:tc>
        <w:tc>
          <w:tcPr>
            <w:tcW w:w="1208" w:type="dxa"/>
          </w:tcPr>
          <w:p w14:paraId="76F71ACC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CD3</w:t>
            </w:r>
          </w:p>
        </w:tc>
        <w:tc>
          <w:tcPr>
            <w:tcW w:w="1141" w:type="dxa"/>
          </w:tcPr>
          <w:p w14:paraId="00CC0690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CD27</w:t>
            </w:r>
          </w:p>
        </w:tc>
      </w:tr>
      <w:tr w:rsidR="005602ED" w:rsidRPr="00B93502" w14:paraId="3CA0579A" w14:textId="77777777" w:rsidTr="002F7C7C">
        <w:tc>
          <w:tcPr>
            <w:tcW w:w="1499" w:type="dxa"/>
          </w:tcPr>
          <w:p w14:paraId="49264847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  <w:t>Excitation laser</w:t>
            </w:r>
          </w:p>
        </w:tc>
        <w:tc>
          <w:tcPr>
            <w:tcW w:w="1033" w:type="dxa"/>
          </w:tcPr>
          <w:p w14:paraId="5CAFACA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488 nm (blue)</w:t>
            </w:r>
          </w:p>
        </w:tc>
        <w:tc>
          <w:tcPr>
            <w:tcW w:w="967" w:type="dxa"/>
          </w:tcPr>
          <w:p w14:paraId="5A7ECD78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488 nm (blue)</w:t>
            </w:r>
          </w:p>
          <w:p w14:paraId="4D9D4FC8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</w:tcPr>
          <w:p w14:paraId="270A87AC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488 nm (blue)</w:t>
            </w:r>
          </w:p>
          <w:p w14:paraId="5A03870F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26" w:type="dxa"/>
          </w:tcPr>
          <w:p w14:paraId="54611F6B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488 nm (blue)</w:t>
            </w:r>
          </w:p>
          <w:p w14:paraId="2CFF24F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</w:tcPr>
          <w:p w14:paraId="5339CA15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638 nm (red)</w:t>
            </w:r>
          </w:p>
          <w:p w14:paraId="6B0A63DD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23" w:type="dxa"/>
          </w:tcPr>
          <w:p w14:paraId="08A60622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638 nm (red)</w:t>
            </w:r>
          </w:p>
          <w:p w14:paraId="6445E8BE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08" w:type="dxa"/>
          </w:tcPr>
          <w:p w14:paraId="68FEA92C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405 nm (violet)</w:t>
            </w:r>
          </w:p>
          <w:p w14:paraId="0CACE942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14:paraId="607D4E82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405 nm (violet)</w:t>
            </w:r>
          </w:p>
          <w:p w14:paraId="4239C0A5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</w:tr>
      <w:tr w:rsidR="005602ED" w:rsidRPr="00B93502" w14:paraId="40F108F8" w14:textId="77777777" w:rsidTr="002F7C7C">
        <w:tc>
          <w:tcPr>
            <w:tcW w:w="1499" w:type="dxa"/>
          </w:tcPr>
          <w:p w14:paraId="6E4D8ABB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  <w:t>Peak emission (nm)</w:t>
            </w:r>
          </w:p>
        </w:tc>
        <w:tc>
          <w:tcPr>
            <w:tcW w:w="1033" w:type="dxa"/>
          </w:tcPr>
          <w:p w14:paraId="2FD01555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~519 nm</w:t>
            </w:r>
          </w:p>
        </w:tc>
        <w:tc>
          <w:tcPr>
            <w:tcW w:w="967" w:type="dxa"/>
          </w:tcPr>
          <w:p w14:paraId="5CCF18D9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~578 nm</w:t>
            </w:r>
          </w:p>
          <w:p w14:paraId="0FF914CD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</w:tcPr>
          <w:p w14:paraId="619FB96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~670 nm</w:t>
            </w:r>
          </w:p>
          <w:p w14:paraId="4797FEA7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26" w:type="dxa"/>
          </w:tcPr>
          <w:p w14:paraId="2D1137E4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~780 nm</w:t>
            </w:r>
          </w:p>
          <w:p w14:paraId="0899FCE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</w:tcPr>
          <w:p w14:paraId="1687B995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~660 nm</w:t>
            </w:r>
          </w:p>
          <w:p w14:paraId="6FE73B2E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23" w:type="dxa"/>
          </w:tcPr>
          <w:p w14:paraId="14D63A71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~780 nm</w:t>
            </w:r>
          </w:p>
          <w:p w14:paraId="798CB5B9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08" w:type="dxa"/>
          </w:tcPr>
          <w:p w14:paraId="26246EA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~448 nm</w:t>
            </w:r>
          </w:p>
          <w:p w14:paraId="5EB59445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141" w:type="dxa"/>
          </w:tcPr>
          <w:p w14:paraId="7705FD38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~510 nm</w:t>
            </w:r>
          </w:p>
          <w:p w14:paraId="3BD04B99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</w:tr>
      <w:tr w:rsidR="005602ED" w:rsidRPr="00B93502" w14:paraId="3B5CA353" w14:textId="77777777" w:rsidTr="002F7C7C">
        <w:tc>
          <w:tcPr>
            <w:tcW w:w="1499" w:type="dxa"/>
          </w:tcPr>
          <w:p w14:paraId="79F1EA82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b/>
                <w:bCs/>
                <w:i w:val="0"/>
                <w:color w:val="auto"/>
                <w:sz w:val="20"/>
                <w:szCs w:val="20"/>
                <w:lang w:val="en-GB"/>
              </w:rPr>
              <w:t>Emission colour</w:t>
            </w:r>
          </w:p>
        </w:tc>
        <w:tc>
          <w:tcPr>
            <w:tcW w:w="1033" w:type="dxa"/>
          </w:tcPr>
          <w:p w14:paraId="50BE63F4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Green</w:t>
            </w:r>
          </w:p>
          <w:p w14:paraId="330D62AE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967" w:type="dxa"/>
          </w:tcPr>
          <w:p w14:paraId="238F7B4A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proofErr w:type="gramStart"/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Yellow–orange</w:t>
            </w:r>
            <w:proofErr w:type="gramEnd"/>
          </w:p>
        </w:tc>
        <w:tc>
          <w:tcPr>
            <w:tcW w:w="1080" w:type="dxa"/>
          </w:tcPr>
          <w:p w14:paraId="527983B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Violet–red</w:t>
            </w:r>
          </w:p>
          <w:p w14:paraId="1ABE3E40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26" w:type="dxa"/>
          </w:tcPr>
          <w:p w14:paraId="0F66D70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Dark red</w:t>
            </w:r>
          </w:p>
          <w:p w14:paraId="7753B660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031" w:type="dxa"/>
          </w:tcPr>
          <w:p w14:paraId="61887FBA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Red</w:t>
            </w:r>
          </w:p>
          <w:p w14:paraId="4C98F057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23" w:type="dxa"/>
          </w:tcPr>
          <w:p w14:paraId="2249176B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Far red</w:t>
            </w:r>
          </w:p>
          <w:p w14:paraId="6914273B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208" w:type="dxa"/>
          </w:tcPr>
          <w:p w14:paraId="4531E796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proofErr w:type="gramStart"/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Blue–violet</w:t>
            </w:r>
            <w:proofErr w:type="gramEnd"/>
          </w:p>
        </w:tc>
        <w:tc>
          <w:tcPr>
            <w:tcW w:w="1141" w:type="dxa"/>
          </w:tcPr>
          <w:p w14:paraId="268E4793" w14:textId="77777777" w:rsidR="005602ED" w:rsidRPr="00B93502" w:rsidRDefault="005602ED" w:rsidP="00B93502">
            <w:pPr>
              <w:pStyle w:val="SMCaption"/>
              <w:spacing w:before="0" w:after="0" w:line="480" w:lineRule="auto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</w:pPr>
            <w:r w:rsidRPr="00B93502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en-GB"/>
              </w:rPr>
              <w:t>Cyan–green</w:t>
            </w:r>
          </w:p>
        </w:tc>
      </w:tr>
    </w:tbl>
    <w:p w14:paraId="677C57F8" w14:textId="77777777" w:rsidR="005602ED" w:rsidRPr="00B93502" w:rsidRDefault="005602ED" w:rsidP="00B93502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5FD11B2D" w14:textId="5F2EE78B" w:rsidR="005602ED" w:rsidRPr="00921444" w:rsidRDefault="005602ED" w:rsidP="00B93502">
      <w:pPr>
        <w:spacing w:after="0" w:line="480" w:lineRule="auto"/>
        <w:rPr>
          <w:rFonts w:ascii="Times New Roman" w:hAnsi="Times New Roman" w:cs="Times New Roman"/>
          <w:b/>
          <w:bCs/>
          <w:sz w:val="24"/>
          <w:lang w:val="en-GB"/>
        </w:rPr>
      </w:pPr>
      <w:r w:rsidRPr="00921444">
        <w:rPr>
          <w:rFonts w:ascii="Times New Roman" w:hAnsi="Times New Roman" w:cs="Times New Roman"/>
          <w:b/>
          <w:bCs/>
          <w:sz w:val="24"/>
          <w:lang w:val="en-GB"/>
        </w:rPr>
        <w:t>Gating strategy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09"/>
        <w:gridCol w:w="6119"/>
      </w:tblGrid>
      <w:tr w:rsidR="005602ED" w:rsidRPr="00B93502" w14:paraId="342C4423" w14:textId="77777777" w:rsidTr="005602ED">
        <w:tc>
          <w:tcPr>
            <w:tcW w:w="3509" w:type="dxa"/>
          </w:tcPr>
          <w:p w14:paraId="55FCDD65" w14:textId="36C7D32B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21444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Initial gate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 based on physical parameters (</w:t>
            </w:r>
            <w:r w:rsidRPr="00921444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FSC versus SSC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). This step focuses the analysis on the main leukocyte region and excludes obvious debris and extreme events. </w:t>
            </w:r>
          </w:p>
        </w:tc>
        <w:tc>
          <w:tcPr>
            <w:tcW w:w="6119" w:type="dxa"/>
          </w:tcPr>
          <w:p w14:paraId="60C65809" w14:textId="0DD18F90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lang w:val="en-GB"/>
              </w:rPr>
              <w:drawing>
                <wp:inline distT="0" distB="0" distL="0" distR="0" wp14:anchorId="3B7D437B" wp14:editId="4F929A0D">
                  <wp:extent cx="3291840" cy="2353310"/>
                  <wp:effectExtent l="0" t="0" r="3810" b="8890"/>
                  <wp:docPr id="161992207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353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025C96E0" w14:textId="77777777" w:rsidTr="005602ED">
        <w:tc>
          <w:tcPr>
            <w:tcW w:w="3509" w:type="dxa"/>
          </w:tcPr>
          <w:p w14:paraId="213EB7A7" w14:textId="31AF6F1F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921444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lastRenderedPageBreak/>
              <w:t>Lymphocyte gate (CD45 versus SSC).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 Lymphocytes are identified by bright CD45 expression and low side scatter, reflecting low internal complexity; this separates them from </w:t>
            </w:r>
            <w:r w:rsidR="0057666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other circulating cells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6119" w:type="dxa"/>
          </w:tcPr>
          <w:p w14:paraId="7E183956" w14:textId="1B246630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5E7110E2" wp14:editId="32A198F3">
                  <wp:extent cx="3748730" cy="2318657"/>
                  <wp:effectExtent l="0" t="0" r="0" b="5715"/>
                  <wp:docPr id="4102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933BCE8-8CD4-C756-2CE4-EC1E6E1A02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2" name="Picture 6">
                            <a:extLst>
                              <a:ext uri="{FF2B5EF4-FFF2-40B4-BE49-F238E27FC236}">
                                <a16:creationId xmlns:a16="http://schemas.microsoft.com/office/drawing/2014/main" id="{4933BCE8-8CD4-C756-2CE4-EC1E6E1A022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954" cy="2566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4E559C5A" w14:textId="77777777" w:rsidTr="005602ED">
        <w:tc>
          <w:tcPr>
            <w:tcW w:w="3509" w:type="dxa"/>
          </w:tcPr>
          <w:p w14:paraId="3514C1F4" w14:textId="46D87C70" w:rsidR="005602ED" w:rsidRPr="00576663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Total T cells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 xml:space="preserve"> (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CD3+ lymphocytes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)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6119" w:type="dxa"/>
          </w:tcPr>
          <w:p w14:paraId="7861786B" w14:textId="1281886B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0E5B315A" wp14:editId="5B80F591">
                  <wp:extent cx="2781932" cy="2245179"/>
                  <wp:effectExtent l="0" t="0" r="0" b="3175"/>
                  <wp:docPr id="4103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DC7B7AA-FA1A-AFD6-F539-9DC93F1236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3" name="Picture 7">
                            <a:extLst>
                              <a:ext uri="{FF2B5EF4-FFF2-40B4-BE49-F238E27FC236}">
                                <a16:creationId xmlns:a16="http://schemas.microsoft.com/office/drawing/2014/main" id="{8DC7B7AA-FA1A-AFD6-F539-9DC93F1236B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452" cy="2394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1A917C33" w14:textId="77777777" w:rsidTr="005602ED">
        <w:tc>
          <w:tcPr>
            <w:tcW w:w="3509" w:type="dxa"/>
          </w:tcPr>
          <w:p w14:paraId="455C0FB9" w14:textId="658E7F62" w:rsidR="005602ED" w:rsidRPr="00576663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Major T-cell subsets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 xml:space="preserve"> (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CD3+CD4+ cells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)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6119" w:type="dxa"/>
          </w:tcPr>
          <w:p w14:paraId="77D3FCAD" w14:textId="441764D8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sz w:val="24"/>
                <w:lang w:val="en-GB"/>
              </w:rPr>
              <w:drawing>
                <wp:inline distT="0" distB="0" distL="0" distR="0" wp14:anchorId="50847BD3" wp14:editId="058F20D4">
                  <wp:extent cx="2629126" cy="2122714"/>
                  <wp:effectExtent l="0" t="0" r="0" b="0"/>
                  <wp:docPr id="4105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1F040F5-3F6F-3846-9D8F-40F3006943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5" name="Picture 9">
                            <a:extLst>
                              <a:ext uri="{FF2B5EF4-FFF2-40B4-BE49-F238E27FC236}">
                                <a16:creationId xmlns:a16="http://schemas.microsoft.com/office/drawing/2014/main" id="{71F040F5-3F6F-3846-9D8F-40F30069437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538" cy="223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663" w:rsidRPr="00B93502" w14:paraId="5C195342" w14:textId="77777777" w:rsidTr="005602ED">
        <w:tc>
          <w:tcPr>
            <w:tcW w:w="3509" w:type="dxa"/>
          </w:tcPr>
          <w:p w14:paraId="5A567409" w14:textId="34314A9E" w:rsidR="00576663" w:rsidRPr="00921444" w:rsidRDefault="00576663" w:rsidP="00576663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lastRenderedPageBreak/>
              <w:t>Major T-cell subsets (CD3+CD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8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+ cells).</w:t>
            </w:r>
          </w:p>
        </w:tc>
        <w:tc>
          <w:tcPr>
            <w:tcW w:w="6119" w:type="dxa"/>
          </w:tcPr>
          <w:p w14:paraId="41AE705C" w14:textId="0C67AF46" w:rsidR="00576663" w:rsidRPr="00B93502" w:rsidRDefault="00576663" w:rsidP="00576663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sz w:val="24"/>
                <w:lang w:val="en-GB"/>
              </w:rPr>
              <w:drawing>
                <wp:inline distT="0" distB="0" distL="0" distR="0" wp14:anchorId="00BBBA9E" wp14:editId="3CF2FCFD">
                  <wp:extent cx="2717800" cy="2220686"/>
                  <wp:effectExtent l="0" t="0" r="0" b="1905"/>
                  <wp:docPr id="5124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990E6D-2AF7-19AB-79B8-3FB21B4F34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Picture 4">
                            <a:extLst>
                              <a:ext uri="{FF2B5EF4-FFF2-40B4-BE49-F238E27FC236}">
                                <a16:creationId xmlns:a16="http://schemas.microsoft.com/office/drawing/2014/main" id="{88990E6D-2AF7-19AB-79B8-3FB21B4F343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561" cy="2358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2FF133E9" w14:textId="77777777" w:rsidTr="005602ED">
        <w:tc>
          <w:tcPr>
            <w:tcW w:w="3509" w:type="dxa"/>
          </w:tcPr>
          <w:p w14:paraId="529C0303" w14:textId="193030C8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B cells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 xml:space="preserve"> (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CD19+CD20+ lymphocytes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).</w:t>
            </w:r>
            <w:r w:rsidR="0057666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 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Plot shows a patient with a detectable circulating B-cell population.</w:t>
            </w:r>
          </w:p>
        </w:tc>
        <w:tc>
          <w:tcPr>
            <w:tcW w:w="6119" w:type="dxa"/>
          </w:tcPr>
          <w:p w14:paraId="462C637B" w14:textId="33BD1536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77E37BE6" wp14:editId="6D152B1A">
                  <wp:extent cx="2523581" cy="2164130"/>
                  <wp:effectExtent l="0" t="0" r="3810" b="0"/>
                  <wp:docPr id="8205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D34953-D8E9-364D-B5D8-C3037A1E23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5" name="Picture 13">
                            <a:extLst>
                              <a:ext uri="{FF2B5EF4-FFF2-40B4-BE49-F238E27FC236}">
                                <a16:creationId xmlns:a16="http://schemas.microsoft.com/office/drawing/2014/main" id="{3FD34953-D8E9-364D-B5D8-C3037A1E239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4065" cy="2173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63216027" w14:textId="77777777" w:rsidTr="005602ED">
        <w:tc>
          <w:tcPr>
            <w:tcW w:w="3509" w:type="dxa"/>
          </w:tcPr>
          <w:p w14:paraId="50670A54" w14:textId="38A1DFA8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B cells: CD19+CD20+ lymphocytes.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 Plot shows </w:t>
            </w:r>
            <w:r w:rsidR="00576663"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treatment-associated peripheral B-cell depletion </w:t>
            </w:r>
            <w:r w:rsidR="0057666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in 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a patient receiving </w:t>
            </w:r>
            <w:r w:rsidR="00497723"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ofatumumab 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therapy.</w:t>
            </w:r>
          </w:p>
        </w:tc>
        <w:tc>
          <w:tcPr>
            <w:tcW w:w="6119" w:type="dxa"/>
          </w:tcPr>
          <w:p w14:paraId="1C041188" w14:textId="2F5B913E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66DFC8D2" wp14:editId="3227FD34">
                  <wp:extent cx="2500925" cy="2147208"/>
                  <wp:effectExtent l="0" t="0" r="1270" b="0"/>
                  <wp:docPr id="5128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BD3F4D-B9AC-D0BD-F9EF-8DC676B2F83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8" name="Picture 8">
                            <a:extLst>
                              <a:ext uri="{FF2B5EF4-FFF2-40B4-BE49-F238E27FC236}">
                                <a16:creationId xmlns:a16="http://schemas.microsoft.com/office/drawing/2014/main" id="{07BD3F4D-B9AC-D0BD-F9EF-8DC676B2F83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342" cy="2187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7A85816E" w14:textId="77777777" w:rsidTr="005602ED">
        <w:tc>
          <w:tcPr>
            <w:tcW w:w="3509" w:type="dxa"/>
          </w:tcPr>
          <w:p w14:paraId="5B00A6EE" w14:textId="46BB755E" w:rsidR="005602ED" w:rsidRPr="00576663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lastRenderedPageBreak/>
              <w:t>NK cells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 xml:space="preserve"> (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CD56+CD3− lymphocytes</w:t>
            </w:r>
            <w:r w:rsidR="00576663"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)</w:t>
            </w: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6119" w:type="dxa"/>
          </w:tcPr>
          <w:p w14:paraId="4310E748" w14:textId="3A4E50F0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6983CED1" wp14:editId="00A21AA5">
                  <wp:extent cx="2620736" cy="2003433"/>
                  <wp:effectExtent l="0" t="0" r="0" b="3175"/>
                  <wp:docPr id="5126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C42274-9E25-DC1B-C938-12B1C080812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6" name="Picture 6">
                            <a:extLst>
                              <a:ext uri="{FF2B5EF4-FFF2-40B4-BE49-F238E27FC236}">
                                <a16:creationId xmlns:a16="http://schemas.microsoft.com/office/drawing/2014/main" id="{34C42274-9E25-DC1B-C938-12B1C080812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0199" cy="204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119C071C" w14:textId="77777777" w:rsidTr="005602ED">
        <w:tc>
          <w:tcPr>
            <w:tcW w:w="3509" w:type="dxa"/>
          </w:tcPr>
          <w:p w14:paraId="0DBB69D4" w14:textId="2BF17800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CD27+CD45+ lymphocytes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. This gate measures total CD27-expressing leukocytes within the lymphocyte region.</w:t>
            </w:r>
          </w:p>
        </w:tc>
        <w:tc>
          <w:tcPr>
            <w:tcW w:w="6119" w:type="dxa"/>
          </w:tcPr>
          <w:p w14:paraId="69D7A9DA" w14:textId="4FF2CB4E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306E5D42" wp14:editId="14FC725D">
                  <wp:extent cx="2465614" cy="2058035"/>
                  <wp:effectExtent l="0" t="0" r="0" b="0"/>
                  <wp:docPr id="5129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D202E8-85CC-6879-6EB1-BD8E9C3365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9" name="Picture 9">
                            <a:extLst>
                              <a:ext uri="{FF2B5EF4-FFF2-40B4-BE49-F238E27FC236}">
                                <a16:creationId xmlns:a16="http://schemas.microsoft.com/office/drawing/2014/main" id="{5BD202E8-85CC-6879-6EB1-BD8E9C33651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145" cy="2117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40ADA309" w14:textId="77777777" w:rsidTr="005602ED">
        <w:tc>
          <w:tcPr>
            <w:tcW w:w="3509" w:type="dxa"/>
          </w:tcPr>
          <w:p w14:paraId="4E246473" w14:textId="266EF037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7666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CD27+CD3+ cells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. CD27 is found on naïve and central-memory T cells and on other subsets</w:t>
            </w:r>
            <w:r w:rsidR="00243376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.</w:t>
            </w:r>
          </w:p>
        </w:tc>
        <w:tc>
          <w:tcPr>
            <w:tcW w:w="6119" w:type="dxa"/>
          </w:tcPr>
          <w:p w14:paraId="652E6A37" w14:textId="1C83AB7C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02567E61" wp14:editId="4B3B09E8">
                  <wp:extent cx="2441121" cy="2418004"/>
                  <wp:effectExtent l="0" t="0" r="0" b="0"/>
                  <wp:docPr id="6159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D52AC2A-892D-1DA4-4D31-40EFB1F35A4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9" name="Picture 15">
                            <a:extLst>
                              <a:ext uri="{FF2B5EF4-FFF2-40B4-BE49-F238E27FC236}">
                                <a16:creationId xmlns:a16="http://schemas.microsoft.com/office/drawing/2014/main" id="{BD52AC2A-892D-1DA4-4D31-40EFB1F35A4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639" cy="247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62E7BA0F" w14:textId="77777777" w:rsidTr="005602ED">
        <w:tc>
          <w:tcPr>
            <w:tcW w:w="3509" w:type="dxa"/>
          </w:tcPr>
          <w:p w14:paraId="6F7DD5A4" w14:textId="38F51593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4337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lastRenderedPageBreak/>
              <w:t>CD27+CD19+ B cells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. </w:t>
            </w:r>
            <w:r w:rsidR="00243376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P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lot shows detectable CD19+ B cells, including a CD27-expressing B-cell fraction.</w:t>
            </w:r>
          </w:p>
        </w:tc>
        <w:tc>
          <w:tcPr>
            <w:tcW w:w="6119" w:type="dxa"/>
          </w:tcPr>
          <w:p w14:paraId="4979DB88" w14:textId="4AF0C1FC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114EBDD6" wp14:editId="14D573B1">
                  <wp:extent cx="2457395" cy="2083707"/>
                  <wp:effectExtent l="0" t="0" r="0" b="0"/>
                  <wp:docPr id="7173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0E3656-807B-B341-2093-36AA82B990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3" name="Picture 5">
                            <a:extLst>
                              <a:ext uri="{FF2B5EF4-FFF2-40B4-BE49-F238E27FC236}">
                                <a16:creationId xmlns:a16="http://schemas.microsoft.com/office/drawing/2014/main" id="{2E0E3656-807B-B341-2093-36AA82B990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241" cy="2113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02ED" w:rsidRPr="00B93502" w14:paraId="74486B6D" w14:textId="77777777" w:rsidTr="005602ED">
        <w:tc>
          <w:tcPr>
            <w:tcW w:w="3509" w:type="dxa"/>
          </w:tcPr>
          <w:p w14:paraId="02A2D94F" w14:textId="59BE5FE5" w:rsidR="00497723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</w:pPr>
            <w:r w:rsidRPr="00497723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</w:rPr>
              <w:t>CD27+CD19+ B cells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. </w:t>
            </w:r>
            <w:r w:rsidR="0049772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P</w:t>
            </w:r>
            <w:r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lot shows </w:t>
            </w:r>
            <w:r w:rsidR="00497723"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treatment-associated peripheral CD27+CD19+ cell depletion </w:t>
            </w:r>
            <w:r w:rsidR="0049772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 xml:space="preserve">in </w:t>
            </w:r>
            <w:r w:rsidR="00497723" w:rsidRPr="0092144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a patient receiving ofatumumab therapy</w:t>
            </w:r>
            <w:r w:rsidR="00497723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.</w:t>
            </w:r>
          </w:p>
          <w:p w14:paraId="383EBB1C" w14:textId="7771BF09" w:rsidR="005602ED" w:rsidRPr="00921444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119" w:type="dxa"/>
          </w:tcPr>
          <w:p w14:paraId="599CED4C" w14:textId="7ABA7965" w:rsidR="005602ED" w:rsidRPr="00B93502" w:rsidRDefault="005602ED" w:rsidP="00B93502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B93502">
              <w:rPr>
                <w:rFonts w:ascii="Times New Roman" w:hAnsi="Times New Roman" w:cs="Times New Roman"/>
                <w:noProof/>
                <w:kern w:val="0"/>
                <w:sz w:val="24"/>
                <w:lang w:val="en-GB"/>
              </w:rPr>
              <w:drawing>
                <wp:inline distT="0" distB="0" distL="0" distR="0" wp14:anchorId="5ED01FE9" wp14:editId="7165102C">
                  <wp:extent cx="2383971" cy="2082800"/>
                  <wp:effectExtent l="0" t="0" r="3810" b="0"/>
                  <wp:docPr id="6160" name="Pictur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5ABB84-EBFF-3C31-802E-FD6467B0773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0" name="Picture 16">
                            <a:extLst>
                              <a:ext uri="{FF2B5EF4-FFF2-40B4-BE49-F238E27FC236}">
                                <a16:creationId xmlns:a16="http://schemas.microsoft.com/office/drawing/2014/main" id="{415ABB84-EBFF-3C31-802E-FD6467B077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53" r="-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534" cy="2126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2BE58E" w14:textId="77777777" w:rsidR="005602ED" w:rsidRDefault="005602ED" w:rsidP="00B93502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0BA6A443" w14:textId="77777777" w:rsidR="001B6A29" w:rsidRPr="009F3C1B" w:rsidRDefault="001B6A29" w:rsidP="001B6A29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</w:p>
    <w:p w14:paraId="12F86659" w14:textId="77777777" w:rsidR="001B6A29" w:rsidRPr="009F3C1B" w:rsidRDefault="001B6A29" w:rsidP="001B6A29">
      <w:pPr>
        <w:spacing w:after="0" w:line="480" w:lineRule="auto"/>
        <w:rPr>
          <w:rFonts w:ascii="Times New Roman" w:hAnsi="Times New Roman" w:cs="Times New Roman"/>
          <w:sz w:val="24"/>
          <w:lang w:val="en-GB"/>
        </w:rPr>
      </w:pPr>
      <w:r w:rsidRPr="009F3C1B">
        <w:rPr>
          <w:rFonts w:ascii="Times New Roman" w:hAnsi="Times New Roman" w:cs="Times New Roman"/>
          <w:b/>
          <w:bCs/>
          <w:sz w:val="24"/>
        </w:rPr>
        <w:t xml:space="preserve">Figure 1. </w:t>
      </w:r>
      <w:r w:rsidRPr="009F3C1B">
        <w:rPr>
          <w:rFonts w:ascii="Times New Roman" w:hAnsi="Times New Roman" w:cs="Times New Roman"/>
          <w:b/>
          <w:bCs/>
          <w:sz w:val="24"/>
          <w:lang w:val="en-GB"/>
        </w:rPr>
        <w:t>Box</w:t>
      </w:r>
      <w:r w:rsidRPr="009F3C1B">
        <w:rPr>
          <w:rFonts w:ascii="Times New Roman" w:hAnsi="Times New Roman" w:cs="Times New Roman"/>
          <w:b/>
          <w:bCs/>
          <w:sz w:val="24"/>
          <w:lang w:val="en-GB"/>
        </w:rPr>
        <w:noBreakHyphen/>
        <w:t>and</w:t>
      </w:r>
      <w:r w:rsidRPr="009F3C1B">
        <w:rPr>
          <w:rFonts w:ascii="Times New Roman" w:hAnsi="Times New Roman" w:cs="Times New Roman"/>
          <w:b/>
          <w:bCs/>
          <w:sz w:val="24"/>
          <w:lang w:val="en-GB"/>
        </w:rPr>
        <w:noBreakHyphen/>
        <w:t xml:space="preserve">whisker plots of peripheral lymphocyte subsets at baseline and </w:t>
      </w:r>
      <w:r>
        <w:rPr>
          <w:rFonts w:ascii="Times New Roman" w:hAnsi="Times New Roman" w:cs="Times New Roman"/>
          <w:b/>
          <w:bCs/>
          <w:sz w:val="24"/>
          <w:lang w:val="en-GB"/>
        </w:rPr>
        <w:t>during</w:t>
      </w:r>
      <w:r w:rsidRPr="009F3C1B">
        <w:rPr>
          <w:rFonts w:ascii="Times New Roman" w:hAnsi="Times New Roman" w:cs="Times New Roman"/>
          <w:b/>
          <w:bCs/>
          <w:sz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lang w:val="en-GB"/>
        </w:rPr>
        <w:t>treatment with</w:t>
      </w:r>
      <w:r w:rsidRPr="009F3C1B">
        <w:rPr>
          <w:rFonts w:ascii="Times New Roman" w:hAnsi="Times New Roman" w:cs="Times New Roman"/>
          <w:b/>
          <w:bCs/>
          <w:sz w:val="24"/>
          <w:lang w:val="en-GB"/>
        </w:rPr>
        <w:t xml:space="preserve"> ofatumumab</w:t>
      </w:r>
      <w:r w:rsidRPr="009F3C1B">
        <w:rPr>
          <w:rFonts w:ascii="Times New Roman" w:hAnsi="Times New Roman" w:cs="Times New Roman"/>
          <w:i/>
          <w:iCs/>
          <w:sz w:val="24"/>
          <w:lang w:val="en-GB"/>
        </w:rPr>
        <w:t>.</w:t>
      </w:r>
      <w:r w:rsidRPr="009F3C1B">
        <w:rPr>
          <w:rFonts w:ascii="Times New Roman" w:hAnsi="Times New Roman" w:cs="Times New Roman"/>
          <w:sz w:val="24"/>
          <w:lang w:val="en-GB"/>
        </w:rPr>
        <w:t xml:space="preserve"> Box-and-whisker plots represent distribution of different laboratory variables at baseline and follow-up. Statistical estimates are derived from mixed</w:t>
      </w:r>
      <w:r w:rsidRPr="009F3C1B">
        <w:rPr>
          <w:rFonts w:ascii="Times New Roman" w:hAnsi="Times New Roman" w:cs="Times New Roman"/>
          <w:sz w:val="24"/>
          <w:lang w:val="en-GB"/>
        </w:rPr>
        <w:noBreakHyphen/>
        <w:t>effects models.</w:t>
      </w:r>
    </w:p>
    <w:p w14:paraId="3BB78CF0" w14:textId="77777777" w:rsidR="001B6A29" w:rsidRPr="00B93502" w:rsidRDefault="001B6A29" w:rsidP="00B93502">
      <w:pPr>
        <w:spacing w:after="0" w:line="480" w:lineRule="auto"/>
        <w:rPr>
          <w:rFonts w:ascii="Times New Roman" w:hAnsi="Times New Roman" w:cs="Times New Roman"/>
          <w:lang w:val="en-GB"/>
        </w:rPr>
      </w:pPr>
    </w:p>
    <w:sectPr w:rsidR="001B6A29" w:rsidRPr="00B93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C7C26"/>
    <w:multiLevelType w:val="hybridMultilevel"/>
    <w:tmpl w:val="3B7A2102"/>
    <w:lvl w:ilvl="0" w:tplc="0A689F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720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ED"/>
    <w:rsid w:val="001B6A29"/>
    <w:rsid w:val="00243376"/>
    <w:rsid w:val="002F4251"/>
    <w:rsid w:val="00497723"/>
    <w:rsid w:val="005602ED"/>
    <w:rsid w:val="00576663"/>
    <w:rsid w:val="00921444"/>
    <w:rsid w:val="00A96321"/>
    <w:rsid w:val="00B93502"/>
    <w:rsid w:val="00C806E4"/>
    <w:rsid w:val="00D8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ACEA4"/>
  <w15:chartTrackingRefBased/>
  <w15:docId w15:val="{8EF40884-9CD3-4692-842C-A033F6F1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02ED"/>
    <w:pPr>
      <w:spacing w:after="100" w:line="259" w:lineRule="auto"/>
    </w:pPr>
    <w:rPr>
      <w:rFonts w:ascii="Aptos" w:eastAsia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60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60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60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0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60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60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60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60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60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60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60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60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02E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602E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602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602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602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602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0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0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60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60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60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602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602E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602E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60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602E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602ED"/>
    <w:rPr>
      <w:b/>
      <w:bCs/>
      <w:smallCaps/>
      <w:color w:val="0F4761" w:themeColor="accent1" w:themeShade="BF"/>
      <w:spacing w:val="5"/>
    </w:rPr>
  </w:style>
  <w:style w:type="paragraph" w:customStyle="1" w:styleId="SMTitle">
    <w:name w:val="SM Title"/>
    <w:rsid w:val="005602ED"/>
    <w:rPr>
      <w:rFonts w:ascii="Aptos Display" w:hAnsi="Aptos Display"/>
      <w:b/>
      <w:color w:val="1F4E79"/>
      <w:sz w:val="32"/>
    </w:rPr>
  </w:style>
  <w:style w:type="paragraph" w:customStyle="1" w:styleId="SMCaption">
    <w:name w:val="SM Caption"/>
    <w:rsid w:val="005602ED"/>
    <w:pPr>
      <w:spacing w:before="60" w:after="140"/>
    </w:pPr>
    <w:rPr>
      <w:rFonts w:ascii="Aptos" w:hAnsi="Aptos"/>
      <w:i/>
      <w:color w:val="505050"/>
      <w:sz w:val="18"/>
    </w:rPr>
  </w:style>
  <w:style w:type="table" w:styleId="Grigliatabella">
    <w:name w:val="Table Grid"/>
    <w:basedOn w:val="Tabellanormale"/>
    <w:uiPriority w:val="39"/>
    <w:rsid w:val="00560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Spi24</b:Tag>
    <b:SourceType>JournalArticle</b:SourceType>
    <b:Guid>{1308CD62-A1D6-0743-8D65-98AB558B0BFD}</b:Guid>
    <b:Author>
      <b:Author>
        <b:NameList>
          <b:Person>
            <b:Last>Spiezia</b:Last>
            <b:First>Antonio</b:First>
            <b:Middle>Luca et al.</b:Middle>
          </b:Person>
        </b:NameList>
      </b:Author>
    </b:Author>
    <b:Title>Effect of siponimod on lymphocyte subsets in active secondary progressive multiple sclerosis and clinical implications.</b:Title>
    <b:Publisher>Journal of neurology vol. 271,7</b:Publisher>
    <b:Year>2024</b:Year>
    <b:RefOrder>20</b:RefOrder>
  </b:Source>
  <b:Source>
    <b:Tag>Gin18</b:Tag>
    <b:SourceType>JournalArticle</b:SourceType>
    <b:Guid>{031085CF-1517-FB43-81C4-8E70AEB82DC6}</b:Guid>
    <b:Author>
      <b:Author>
        <b:NameList>
          <b:Person>
            <b:Last>Gingele</b:Last>
            <b:First>Stefan</b:First>
            <b:Middle>et al.</b:Middle>
          </b:Person>
        </b:NameList>
      </b:Author>
    </b:Author>
    <b:Title>Ocrelizumab Depletes CD20⁺ T Cells in Multiple Sclerosis Patients.</b:Title>
    <b:Publisher>Cells</b:Publisher>
    <b:Year>2018</b:Year>
    <b:RefOrder>21</b:RefOrder>
  </b:Source>
</b:Sources>
</file>

<file path=customXml/itemProps1.xml><?xml version="1.0" encoding="utf-8"?>
<ds:datastoreItem xmlns:ds="http://schemas.openxmlformats.org/officeDocument/2006/customXml" ds:itemID="{4DCAA45A-2469-4732-8946-08B8E28E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MOCCIA</dc:creator>
  <cp:keywords/>
  <dc:description/>
  <cp:lastModifiedBy>ANTONIO ESPOSITO</cp:lastModifiedBy>
  <cp:revision>7</cp:revision>
  <dcterms:created xsi:type="dcterms:W3CDTF">2026-07-23T07:07:00Z</dcterms:created>
  <dcterms:modified xsi:type="dcterms:W3CDTF">2026-07-25T10:13:00Z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2026-07-23T07:14:05Z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803e60e2-eccb-4b0e-96c2-7706343a7c67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