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D7E9EF" w14:textId="77777777" w:rsidR="000E2FDB" w:rsidRPr="000E2FDB" w:rsidRDefault="000E2FDB" w:rsidP="00B844F8">
      <w:pPr>
        <w:rPr>
          <w:rFonts w:ascii="Arial" w:hAnsi="Arial" w:cs="Arial"/>
          <w:b/>
          <w:bCs/>
          <w:lang w:val="en-GB"/>
        </w:rPr>
      </w:pPr>
      <w:r w:rsidRPr="000E2FDB">
        <w:rPr>
          <w:rFonts w:ascii="Arial" w:hAnsi="Arial" w:cs="Arial"/>
          <w:b/>
          <w:bCs/>
          <w:lang w:val="en-US"/>
        </w:rPr>
        <w:t xml:space="preserve">DELPHI expert consensus-derived factors influencing the early use of monoclonal high-efficacy therapies in </w:t>
      </w:r>
      <w:r w:rsidRPr="000E2FDB">
        <w:rPr>
          <w:rFonts w:ascii="Arial" w:hAnsi="Arial" w:cs="Arial"/>
          <w:b/>
          <w:bCs/>
          <w:lang w:val="en-GB"/>
        </w:rPr>
        <w:t>treatment-naïve patients with relapsing-remitting multiple sclerosis</w:t>
      </w:r>
      <w:r w:rsidRPr="000E2FDB">
        <w:rPr>
          <w:rFonts w:ascii="Arial" w:hAnsi="Arial" w:cs="Arial"/>
          <w:b/>
          <w:bCs/>
          <w:lang w:val="en-GB"/>
        </w:rPr>
        <w:t xml:space="preserve"> </w:t>
      </w:r>
    </w:p>
    <w:p w14:paraId="527D1C1B" w14:textId="681F4CF3" w:rsidR="00B844F8" w:rsidRPr="0080181D" w:rsidRDefault="00B844F8" w:rsidP="00B844F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GB"/>
        </w:rPr>
        <w:t xml:space="preserve">Journal : </w:t>
      </w:r>
      <w:r w:rsidRPr="0080181D">
        <w:rPr>
          <w:rFonts w:ascii="Arial" w:hAnsi="Arial" w:cs="Arial"/>
          <w:lang w:val="en-GB"/>
        </w:rPr>
        <w:t>Journal of Neurology</w:t>
      </w:r>
    </w:p>
    <w:p w14:paraId="24AC1BD7" w14:textId="77777777" w:rsidR="00B844F8" w:rsidRPr="00157AFD" w:rsidRDefault="00B844F8" w:rsidP="00B844F8">
      <w:pPr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lang w:val="en-GB"/>
        </w:rPr>
        <w:t>Bertrand Bourre</w:t>
      </w:r>
      <w:r w:rsidRPr="00157AFD">
        <w:rPr>
          <w:rFonts w:ascii="Arial" w:hAnsi="Arial" w:cs="Arial"/>
          <w:vertAlign w:val="superscript"/>
          <w:lang w:val="en-GB"/>
        </w:rPr>
        <w:t>1</w:t>
      </w:r>
      <w:r w:rsidRPr="00157AFD">
        <w:rPr>
          <w:rFonts w:ascii="Arial" w:hAnsi="Arial" w:cs="Arial"/>
          <w:lang w:val="en-GB"/>
        </w:rPr>
        <w:t>, Olivier Guerrier</w:t>
      </w:r>
      <w:r w:rsidRPr="00157AFD">
        <w:rPr>
          <w:rFonts w:ascii="Arial" w:hAnsi="Arial" w:cs="Arial"/>
          <w:vertAlign w:val="superscript"/>
          <w:lang w:val="en-GB"/>
        </w:rPr>
        <w:t>2</w:t>
      </w:r>
      <w:r w:rsidRPr="00157AFD">
        <w:rPr>
          <w:rFonts w:ascii="Arial" w:hAnsi="Arial" w:cs="Arial"/>
          <w:lang w:val="en-GB"/>
        </w:rPr>
        <w:t>, Xavier Ayrignac</w:t>
      </w:r>
      <w:r w:rsidRPr="00157AFD">
        <w:rPr>
          <w:rFonts w:ascii="Arial" w:hAnsi="Arial" w:cs="Arial"/>
          <w:vertAlign w:val="superscript"/>
          <w:lang w:val="en-GB"/>
        </w:rPr>
        <w:t>3</w:t>
      </w:r>
      <w:r w:rsidRPr="00157AFD">
        <w:rPr>
          <w:rFonts w:ascii="Arial" w:hAnsi="Arial" w:cs="Arial"/>
          <w:lang w:val="en-GB"/>
        </w:rPr>
        <w:t>, Laurent Suchet</w:t>
      </w:r>
      <w:r w:rsidRPr="00157AFD">
        <w:rPr>
          <w:rFonts w:ascii="Arial" w:hAnsi="Arial" w:cs="Arial"/>
          <w:vertAlign w:val="superscript"/>
          <w:lang w:val="en-GB"/>
        </w:rPr>
        <w:t>4</w:t>
      </w:r>
      <w:r w:rsidRPr="00157AFD">
        <w:rPr>
          <w:rFonts w:ascii="Arial" w:hAnsi="Arial" w:cs="Arial"/>
          <w:lang w:val="en-GB"/>
        </w:rPr>
        <w:t>, Jérôme de Seze</w:t>
      </w:r>
      <w:r w:rsidRPr="00157AFD">
        <w:rPr>
          <w:rFonts w:ascii="Arial" w:hAnsi="Arial" w:cs="Arial"/>
          <w:vertAlign w:val="superscript"/>
          <w:lang w:val="en-GB"/>
        </w:rPr>
        <w:t>5</w:t>
      </w:r>
      <w:r w:rsidRPr="00157AFD">
        <w:rPr>
          <w:rFonts w:ascii="Arial" w:hAnsi="Arial" w:cs="Arial"/>
          <w:lang w:val="en-GB"/>
        </w:rPr>
        <w:t>, Ines Masmoudi</w:t>
      </w:r>
      <w:r w:rsidRPr="00157AFD">
        <w:rPr>
          <w:rFonts w:ascii="Arial" w:hAnsi="Arial" w:cs="Arial"/>
          <w:vertAlign w:val="superscript"/>
          <w:lang w:val="en-GB"/>
        </w:rPr>
        <w:t>6</w:t>
      </w:r>
      <w:r w:rsidRPr="00157AFD">
        <w:rPr>
          <w:rFonts w:ascii="Arial" w:hAnsi="Arial" w:cs="Arial"/>
          <w:lang w:val="en-GB"/>
        </w:rPr>
        <w:t>, Vito AG Ricigliano</w:t>
      </w:r>
      <w:r w:rsidRPr="00157AFD">
        <w:rPr>
          <w:rFonts w:ascii="Arial" w:hAnsi="Arial" w:cs="Arial"/>
          <w:vertAlign w:val="superscript"/>
          <w:lang w:val="en-GB"/>
        </w:rPr>
        <w:t>7</w:t>
      </w:r>
      <w:r w:rsidRPr="00157AFD">
        <w:rPr>
          <w:rFonts w:ascii="Arial" w:hAnsi="Arial" w:cs="Arial"/>
          <w:lang w:val="en-GB"/>
        </w:rPr>
        <w:t>, Patrick Vermersch</w:t>
      </w:r>
      <w:r w:rsidRPr="00157AFD">
        <w:rPr>
          <w:rFonts w:ascii="Arial" w:hAnsi="Arial" w:cs="Arial"/>
          <w:vertAlign w:val="superscript"/>
          <w:lang w:val="en-GB"/>
        </w:rPr>
        <w:t>8</w:t>
      </w:r>
      <w:r w:rsidRPr="00157AFD">
        <w:rPr>
          <w:rFonts w:ascii="Arial" w:hAnsi="Arial" w:cs="Arial"/>
          <w:lang w:val="en-GB"/>
        </w:rPr>
        <w:t>, Jonathan Ciron</w:t>
      </w:r>
      <w:r w:rsidRPr="00157AFD">
        <w:rPr>
          <w:rFonts w:ascii="Arial" w:hAnsi="Arial" w:cs="Arial"/>
          <w:vertAlign w:val="superscript"/>
          <w:lang w:val="en-GB"/>
        </w:rPr>
        <w:t>9</w:t>
      </w:r>
      <w:r w:rsidRPr="00157AFD">
        <w:rPr>
          <w:rFonts w:ascii="Arial" w:hAnsi="Arial" w:cs="Arial"/>
          <w:lang w:val="en-GB"/>
        </w:rPr>
        <w:t xml:space="preserve"> on behalf of the CAReSEP working group.</w:t>
      </w:r>
    </w:p>
    <w:p w14:paraId="79B4CD63" w14:textId="77777777" w:rsidR="00B844F8" w:rsidRPr="00157AFD" w:rsidRDefault="00B844F8" w:rsidP="00B844F8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1</w:t>
      </w:r>
      <w:r w:rsidRPr="00157AFD">
        <w:rPr>
          <w:rFonts w:ascii="Arial" w:hAnsi="Arial" w:cs="Arial"/>
          <w:lang w:val="en-GB"/>
        </w:rPr>
        <w:t xml:space="preserve"> </w:t>
      </w:r>
      <w:r w:rsidRPr="00157AFD">
        <w:rPr>
          <w:rFonts w:ascii="Arial" w:hAnsi="Arial" w:cs="Arial"/>
          <w:lang w:val="en-US"/>
        </w:rPr>
        <w:t>CHU Rouen, Department of Neurology and Inserm CIC-CRB 1404, F-76000</w:t>
      </w:r>
      <w:r w:rsidRPr="00157AFD">
        <w:rPr>
          <w:rFonts w:ascii="Arial" w:hAnsi="Arial" w:cs="Arial"/>
          <w:lang w:val="en-GB"/>
        </w:rPr>
        <w:t xml:space="preserve">, Rouen, France </w:t>
      </w:r>
    </w:p>
    <w:p w14:paraId="28383757" w14:textId="77777777" w:rsidR="00B844F8" w:rsidRPr="00157AFD" w:rsidRDefault="00B844F8" w:rsidP="00B844F8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2</w:t>
      </w:r>
      <w:r w:rsidRPr="00157AFD">
        <w:rPr>
          <w:rFonts w:ascii="Arial" w:hAnsi="Arial" w:cs="Arial"/>
          <w:lang w:val="en-GB"/>
        </w:rPr>
        <w:t xml:space="preserve"> Department of Neurology and Neurovascular Unit,</w:t>
      </w:r>
      <w:r w:rsidRPr="00157AFD">
        <w:rPr>
          <w:rFonts w:ascii="Arial" w:hAnsi="Arial" w:cs="Arial"/>
          <w:vertAlign w:val="superscript"/>
          <w:lang w:val="en-GB"/>
        </w:rPr>
        <w:t xml:space="preserve"> </w:t>
      </w:r>
      <w:r w:rsidRPr="00157AFD">
        <w:rPr>
          <w:rFonts w:ascii="Arial" w:hAnsi="Arial" w:cs="Arial"/>
          <w:lang w:val="en-GB"/>
        </w:rPr>
        <w:t>Valence Hospital, Valence, France</w:t>
      </w:r>
    </w:p>
    <w:p w14:paraId="0FAFDF7F" w14:textId="77777777" w:rsidR="00B844F8" w:rsidRPr="00157AFD" w:rsidRDefault="00B844F8" w:rsidP="00B844F8">
      <w:pPr>
        <w:spacing w:line="240" w:lineRule="auto"/>
        <w:rPr>
          <w:rFonts w:ascii="Arial" w:hAnsi="Arial" w:cs="Arial"/>
        </w:rPr>
      </w:pPr>
      <w:r w:rsidRPr="00157AFD">
        <w:rPr>
          <w:rFonts w:ascii="Arial" w:hAnsi="Arial" w:cs="Arial"/>
          <w:vertAlign w:val="superscript"/>
        </w:rPr>
        <w:t>3</w:t>
      </w:r>
      <w:r w:rsidRPr="00157AFD">
        <w:rPr>
          <w:rFonts w:ascii="Arial" w:hAnsi="Arial" w:cs="Arial"/>
        </w:rPr>
        <w:t xml:space="preserve"> </w:t>
      </w:r>
      <w:r w:rsidRPr="00157AFD">
        <w:rPr>
          <w:rFonts w:ascii="Aptos" w:eastAsia="Aptos" w:hAnsi="Aptos" w:cs="Aptos"/>
          <w:color w:val="000000" w:themeColor="text1"/>
        </w:rPr>
        <w:t>Univ Montpellier, INM, INSERM, Département de Neurologie, CRC sclérose en plaques, CRMR LEUKOFRANCE &amp; Centre d’investigation clinique U1411, CHU de Montpellier, Montpellier, France</w:t>
      </w:r>
    </w:p>
    <w:p w14:paraId="691DCB46" w14:textId="77777777" w:rsidR="00B844F8" w:rsidRPr="00157AFD" w:rsidRDefault="00B844F8" w:rsidP="00B844F8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 xml:space="preserve">4 </w:t>
      </w:r>
      <w:r w:rsidRPr="00157AFD">
        <w:rPr>
          <w:rFonts w:ascii="Arial" w:hAnsi="Arial" w:cs="Arial"/>
          <w:lang w:val="en-GB"/>
        </w:rPr>
        <w:t>Department of Neurology, European Hospital of Marseille, Marseille, France</w:t>
      </w:r>
    </w:p>
    <w:p w14:paraId="370C28DA" w14:textId="77777777" w:rsidR="00B844F8" w:rsidRPr="00157AFD" w:rsidRDefault="00B844F8" w:rsidP="00B844F8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5</w:t>
      </w:r>
      <w:r w:rsidRPr="00157AFD">
        <w:rPr>
          <w:rFonts w:ascii="Arial" w:hAnsi="Arial" w:cs="Arial"/>
          <w:lang w:val="en-GB"/>
        </w:rPr>
        <w:t xml:space="preserve"> Department of Neurology and Clinical Investigation Center, Strasbourg University Hospital, Strasbourg, France</w:t>
      </w:r>
    </w:p>
    <w:p w14:paraId="688806AA" w14:textId="77777777" w:rsidR="00B844F8" w:rsidRPr="00157AFD" w:rsidRDefault="00B844F8" w:rsidP="00B844F8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6</w:t>
      </w:r>
      <w:r w:rsidRPr="00157AFD">
        <w:rPr>
          <w:rFonts w:ascii="Arial" w:hAnsi="Arial" w:cs="Arial"/>
          <w:lang w:val="en-GB"/>
        </w:rPr>
        <w:t xml:space="preserve"> Department of Neurology, Amiens University Hospital, Amiens, France</w:t>
      </w:r>
    </w:p>
    <w:p w14:paraId="45748EEF" w14:textId="77777777" w:rsidR="00B844F8" w:rsidRPr="00157AFD" w:rsidRDefault="00B844F8" w:rsidP="00B844F8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 xml:space="preserve">7 </w:t>
      </w:r>
      <w:r w:rsidRPr="00157AFD">
        <w:rPr>
          <w:rFonts w:ascii="Arial" w:eastAsia="Arial" w:hAnsi="Arial" w:cs="Arial"/>
          <w:lang w:val="en-GB"/>
        </w:rPr>
        <w:t>Neurology Unit, GHNE Paris Saclay Hospital, Orsay, France; Université Paris-Saclay, UNIACT, Neurospin – INSERM UMR 1129, CEA, Gif-sur-Yvette, France</w:t>
      </w:r>
    </w:p>
    <w:p w14:paraId="239C453C" w14:textId="77777777" w:rsidR="00B844F8" w:rsidRPr="00157AFD" w:rsidRDefault="00B844F8" w:rsidP="00B844F8">
      <w:pPr>
        <w:spacing w:line="240" w:lineRule="auto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>8</w:t>
      </w:r>
      <w:r w:rsidRPr="00157AFD">
        <w:rPr>
          <w:rFonts w:ascii="Arial" w:hAnsi="Arial" w:cs="Arial"/>
          <w:lang w:val="en-GB"/>
        </w:rPr>
        <w:t xml:space="preserve"> University of Lille, INSERM U1172 LilNCog, Lille University Hospital, FHU Precise, Lille, France</w:t>
      </w:r>
    </w:p>
    <w:p w14:paraId="3D18E38B" w14:textId="77777777" w:rsidR="00B844F8" w:rsidRPr="00157AFD" w:rsidRDefault="00B844F8" w:rsidP="00B844F8">
      <w:pPr>
        <w:spacing w:line="240" w:lineRule="auto"/>
        <w:rPr>
          <w:rFonts w:ascii="Arial" w:hAnsi="Arial" w:cs="Arial"/>
          <w:color w:val="000000" w:themeColor="text1"/>
          <w:lang w:val="en-GB"/>
        </w:rPr>
      </w:pPr>
      <w:r w:rsidRPr="00157AFD">
        <w:rPr>
          <w:rFonts w:ascii="Arial" w:hAnsi="Arial" w:cs="Arial"/>
          <w:vertAlign w:val="superscript"/>
          <w:lang w:val="en-GB"/>
        </w:rPr>
        <w:t xml:space="preserve">9 </w:t>
      </w:r>
      <w:r w:rsidRPr="00157AFD">
        <w:rPr>
          <w:rFonts w:ascii="Arial" w:hAnsi="Arial" w:cs="Arial"/>
          <w:lang w:val="en-GB"/>
        </w:rPr>
        <w:t xml:space="preserve">Department of Neurology, </w:t>
      </w:r>
      <w:r w:rsidRPr="00157AFD">
        <w:rPr>
          <w:rFonts w:ascii="Arial" w:hAnsi="Arial" w:cs="Arial"/>
          <w:color w:val="000000" w:themeColor="text1"/>
          <w:lang w:val="en-GB"/>
        </w:rPr>
        <w:t>CRC-SEP, Toulouse University Hospital, Toulouse, France; INSERM UMR1291 – CNRS UMR5051, INFINITY, University Toulouse III, Toulouse, France</w:t>
      </w:r>
    </w:p>
    <w:p w14:paraId="7EDE0FAD" w14:textId="77777777" w:rsidR="00B844F8" w:rsidRPr="00157AFD" w:rsidRDefault="00B844F8" w:rsidP="00B844F8">
      <w:pPr>
        <w:rPr>
          <w:rFonts w:ascii="Arial" w:hAnsi="Arial" w:cs="Arial"/>
          <w:color w:val="000000" w:themeColor="text1"/>
          <w:lang w:val="en-GB"/>
        </w:rPr>
      </w:pPr>
    </w:p>
    <w:p w14:paraId="280C6B4A" w14:textId="77777777" w:rsidR="00B844F8" w:rsidRPr="00157AFD" w:rsidRDefault="00B844F8" w:rsidP="00B844F8">
      <w:pPr>
        <w:spacing w:line="240" w:lineRule="auto"/>
        <w:rPr>
          <w:rFonts w:ascii="Arial" w:hAnsi="Arial" w:cs="Arial"/>
          <w:b/>
          <w:bCs/>
          <w:lang w:val="en-GB"/>
        </w:rPr>
      </w:pPr>
      <w:r w:rsidRPr="00157AFD">
        <w:rPr>
          <w:rFonts w:ascii="Arial" w:hAnsi="Arial" w:cs="Arial"/>
          <w:b/>
          <w:bCs/>
          <w:lang w:val="en-GB"/>
        </w:rPr>
        <w:t>Corresponding author</w:t>
      </w:r>
      <w:r>
        <w:rPr>
          <w:rFonts w:ascii="Arial" w:hAnsi="Arial" w:cs="Arial"/>
          <w:b/>
          <w:bCs/>
          <w:lang w:val="en-GB"/>
        </w:rPr>
        <w:t>:</w:t>
      </w:r>
    </w:p>
    <w:p w14:paraId="7F7CD111" w14:textId="77777777" w:rsidR="00B844F8" w:rsidRPr="00157AFD" w:rsidRDefault="00B844F8" w:rsidP="00B844F8">
      <w:pPr>
        <w:spacing w:after="0"/>
        <w:rPr>
          <w:rFonts w:ascii="Arial" w:hAnsi="Arial" w:cs="Arial"/>
          <w:lang w:val="en-GB"/>
        </w:rPr>
      </w:pPr>
      <w:r w:rsidRPr="00157AFD">
        <w:rPr>
          <w:rFonts w:ascii="Arial" w:hAnsi="Arial" w:cs="Arial"/>
          <w:lang w:val="en-GB"/>
        </w:rPr>
        <w:t>Jonathan Ciron</w:t>
      </w:r>
    </w:p>
    <w:p w14:paraId="726D7B8C" w14:textId="77777777" w:rsidR="00B844F8" w:rsidRPr="00157AFD" w:rsidRDefault="00B844F8" w:rsidP="00B844F8">
      <w:pPr>
        <w:rPr>
          <w:rFonts w:ascii="Arial" w:hAnsi="Arial" w:cs="Arial"/>
          <w:color w:val="000000" w:themeColor="text1"/>
          <w:lang w:val="en-GB"/>
        </w:rPr>
      </w:pPr>
      <w:hyperlink r:id="rId5" w:history="1">
        <w:r w:rsidRPr="00157AFD">
          <w:rPr>
            <w:rStyle w:val="Lienhypertexte"/>
            <w:rFonts w:ascii="Arial" w:hAnsi="Arial" w:cs="Arial"/>
            <w:color w:val="000000" w:themeColor="text1"/>
            <w:lang w:val="en-GB"/>
          </w:rPr>
          <w:t>ciron.j@chu-toulouse.fr</w:t>
        </w:r>
      </w:hyperlink>
      <w:r w:rsidRPr="00157AFD">
        <w:rPr>
          <w:rFonts w:ascii="Arial" w:hAnsi="Arial" w:cs="Arial"/>
          <w:color w:val="000000" w:themeColor="text1"/>
          <w:lang w:val="en-GB"/>
        </w:rPr>
        <w:t xml:space="preserve">  </w:t>
      </w:r>
    </w:p>
    <w:p w14:paraId="6048EBD2" w14:textId="77777777" w:rsidR="00B844F8" w:rsidRDefault="00B844F8">
      <w:pPr>
        <w:spacing w:after="0" w:line="240" w:lineRule="auto"/>
        <w:rPr>
          <w:rFonts w:ascii="Arial" w:hAnsi="Arial" w:cs="Arial"/>
          <w:b/>
          <w:bCs/>
          <w:sz w:val="16"/>
          <w:szCs w:val="16"/>
          <w:lang w:val="en-GB"/>
        </w:rPr>
      </w:pPr>
      <w:r>
        <w:rPr>
          <w:rFonts w:ascii="Arial" w:hAnsi="Arial" w:cs="Arial"/>
          <w:b/>
          <w:bCs/>
          <w:sz w:val="16"/>
          <w:szCs w:val="16"/>
          <w:lang w:val="en-GB"/>
        </w:rPr>
        <w:br w:type="page"/>
      </w:r>
    </w:p>
    <w:p w14:paraId="4B07E2D0" w14:textId="10246BD1" w:rsidR="00F87C6B" w:rsidRPr="00F87C6B" w:rsidRDefault="00F87C6B" w:rsidP="00F87C6B">
      <w:pPr>
        <w:ind w:left="-567" w:right="-1166" w:hanging="283"/>
        <w:rPr>
          <w:rFonts w:ascii="Arial" w:hAnsi="Arial" w:cs="Arial"/>
          <w:sz w:val="16"/>
          <w:szCs w:val="16"/>
          <w:lang w:val="en-GB"/>
        </w:rPr>
      </w:pPr>
      <w:r w:rsidRPr="009857A3">
        <w:rPr>
          <w:rFonts w:ascii="Arial" w:hAnsi="Arial" w:cs="Arial"/>
          <w:b/>
          <w:bCs/>
          <w:sz w:val="16"/>
          <w:szCs w:val="16"/>
          <w:lang w:val="en-GB"/>
        </w:rPr>
        <w:lastRenderedPageBreak/>
        <w:t xml:space="preserve">Online Resource </w:t>
      </w:r>
      <w:r>
        <w:rPr>
          <w:rFonts w:ascii="Arial" w:hAnsi="Arial" w:cs="Arial"/>
          <w:b/>
          <w:bCs/>
          <w:sz w:val="16"/>
          <w:szCs w:val="16"/>
          <w:lang w:val="en-GB"/>
        </w:rPr>
        <w:t xml:space="preserve">2 </w:t>
      </w:r>
      <w:r w:rsidRPr="00493C6C">
        <w:rPr>
          <w:rFonts w:ascii="Arial" w:hAnsi="Arial" w:cs="Arial"/>
          <w:sz w:val="16"/>
          <w:szCs w:val="16"/>
          <w:lang w:val="en-GB"/>
        </w:rPr>
        <w:t>Round 1 Delphi results used to establish clinical case classification</w:t>
      </w:r>
    </w:p>
    <w:tbl>
      <w:tblPr>
        <w:tblStyle w:val="Grilledutableau1"/>
        <w:tblW w:w="15735" w:type="dxa"/>
        <w:tblInd w:w="-851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985"/>
        <w:gridCol w:w="1718"/>
        <w:gridCol w:w="1719"/>
        <w:gridCol w:w="1719"/>
        <w:gridCol w:w="1719"/>
        <w:gridCol w:w="1718"/>
        <w:gridCol w:w="1719"/>
        <w:gridCol w:w="1719"/>
        <w:gridCol w:w="1719"/>
      </w:tblGrid>
      <w:tr w:rsidR="00F87C6B" w:rsidRPr="00F87C6B" w14:paraId="2EA5ECA8" w14:textId="77777777" w:rsidTr="00F87C6B">
        <w:tc>
          <w:tcPr>
            <w:tcW w:w="1985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1D1D1"/>
            <w:vAlign w:val="center"/>
          </w:tcPr>
          <w:p w14:paraId="37BA2C82" w14:textId="77777777" w:rsidR="00F87C6B" w:rsidRPr="00F87C6B" w:rsidRDefault="00F87C6B" w:rsidP="00F87C6B">
            <w:pPr>
              <w:spacing w:after="0" w:line="240" w:lineRule="auto"/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 xml:space="preserve">Type of profile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1D1D1"/>
            <w:vAlign w:val="center"/>
          </w:tcPr>
          <w:p w14:paraId="7C4A527C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 xml:space="preserve">Not severe </w:t>
            </w:r>
          </w:p>
        </w:tc>
        <w:tc>
          <w:tcPr>
            <w:tcW w:w="5157" w:type="dxa"/>
            <w:gridSpan w:val="3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D1D1D1"/>
            <w:vAlign w:val="center"/>
          </w:tcPr>
          <w:p w14:paraId="4A4B6864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Intermediate</w:t>
            </w:r>
          </w:p>
        </w:tc>
        <w:tc>
          <w:tcPr>
            <w:tcW w:w="6875" w:type="dxa"/>
            <w:gridSpan w:val="4"/>
            <w:tcBorders>
              <w:top w:val="single" w:sz="4" w:space="0" w:color="auto"/>
              <w:left w:val="single" w:sz="2" w:space="0" w:color="auto"/>
              <w:bottom w:val="single" w:sz="18" w:space="0" w:color="auto"/>
            </w:tcBorders>
            <w:shd w:val="clear" w:color="auto" w:fill="D1D1D1"/>
            <w:vAlign w:val="center"/>
          </w:tcPr>
          <w:p w14:paraId="49F09C38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Severe</w:t>
            </w:r>
          </w:p>
        </w:tc>
      </w:tr>
      <w:tr w:rsidR="00F87C6B" w:rsidRPr="000E2FDB" w14:paraId="4F22C52B" w14:textId="77777777" w:rsidTr="00F87C6B">
        <w:tc>
          <w:tcPr>
            <w:tcW w:w="15735" w:type="dxa"/>
            <w:gridSpan w:val="9"/>
            <w:tcBorders>
              <w:top w:val="nil"/>
              <w:bottom w:val="nil"/>
            </w:tcBorders>
            <w:shd w:val="clear" w:color="auto" w:fill="F2F2F2"/>
            <w:vAlign w:val="center"/>
          </w:tcPr>
          <w:p w14:paraId="2E74BA7B" w14:textId="77777777" w:rsidR="00F87C6B" w:rsidRPr="00F87C6B" w:rsidRDefault="00F87C6B" w:rsidP="00F87C6B">
            <w:pPr>
              <w:spacing w:after="0" w:line="240" w:lineRule="auto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Round 1 results: Would you recommend initiating a HET for this patient if presentation upon initial profile?</w:t>
            </w:r>
          </w:p>
        </w:tc>
      </w:tr>
      <w:tr w:rsidR="00F87C6B" w:rsidRPr="00F87C6B" w14:paraId="4E79D342" w14:textId="77777777" w:rsidTr="00F87C6B">
        <w:tc>
          <w:tcPr>
            <w:tcW w:w="1985" w:type="dxa"/>
            <w:tcBorders>
              <w:top w:val="nil"/>
              <w:bottom w:val="nil"/>
              <w:right w:val="single" w:sz="2" w:space="0" w:color="auto"/>
            </w:tcBorders>
            <w:shd w:val="clear" w:color="auto" w:fill="FFFFFF"/>
            <w:vAlign w:val="center"/>
          </w:tcPr>
          <w:p w14:paraId="03F2DD37" w14:textId="77777777" w:rsidR="00F87C6B" w:rsidRPr="00F87C6B" w:rsidRDefault="00F87C6B" w:rsidP="00F87C6B">
            <w:pPr>
              <w:spacing w:after="0" w:line="240" w:lineRule="auto"/>
              <w:ind w:left="248"/>
              <w:contextualSpacing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 xml:space="preserve">% in favour of no HET </w:t>
            </w:r>
          </w:p>
        </w:tc>
        <w:tc>
          <w:tcPr>
            <w:tcW w:w="17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vAlign w:val="center"/>
          </w:tcPr>
          <w:p w14:paraId="171D2B40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86% (consensus)</w:t>
            </w:r>
          </w:p>
        </w:tc>
        <w:tc>
          <w:tcPr>
            <w:tcW w:w="171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10E66E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20%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4DBF0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17%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  <w:vAlign w:val="center"/>
          </w:tcPr>
          <w:p w14:paraId="2C562EBA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3%</w:t>
            </w:r>
          </w:p>
        </w:tc>
        <w:tc>
          <w:tcPr>
            <w:tcW w:w="1718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4B5351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3%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7F150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0%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16E52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0%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36720014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0%</w:t>
            </w:r>
          </w:p>
        </w:tc>
      </w:tr>
      <w:tr w:rsidR="00F87C6B" w:rsidRPr="00F87C6B" w14:paraId="7914D96E" w14:textId="77777777" w:rsidTr="00F87C6B">
        <w:tc>
          <w:tcPr>
            <w:tcW w:w="1985" w:type="dxa"/>
            <w:tcBorders>
              <w:top w:val="nil"/>
              <w:bottom w:val="nil"/>
              <w:right w:val="single" w:sz="2" w:space="0" w:color="auto"/>
            </w:tcBorders>
            <w:shd w:val="clear" w:color="auto" w:fill="F2F2F2"/>
            <w:vAlign w:val="center"/>
          </w:tcPr>
          <w:p w14:paraId="32AA7C92" w14:textId="77777777" w:rsidR="00F87C6B" w:rsidRPr="00F87C6B" w:rsidRDefault="00F87C6B" w:rsidP="00F87C6B">
            <w:pPr>
              <w:spacing w:after="0" w:line="240" w:lineRule="auto"/>
              <w:ind w:left="248"/>
              <w:contextualSpacing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 xml:space="preserve">% in favour of HET </w:t>
            </w:r>
          </w:p>
        </w:tc>
        <w:tc>
          <w:tcPr>
            <w:tcW w:w="17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/>
            <w:vAlign w:val="center"/>
          </w:tcPr>
          <w:p w14:paraId="5179AE9A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0%</w:t>
            </w:r>
          </w:p>
        </w:tc>
        <w:tc>
          <w:tcPr>
            <w:tcW w:w="1719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442C2150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37%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C06CBF5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67%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2F2F2"/>
            <w:vAlign w:val="center"/>
          </w:tcPr>
          <w:p w14:paraId="5BCB644C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47%</w:t>
            </w:r>
          </w:p>
        </w:tc>
        <w:tc>
          <w:tcPr>
            <w:tcW w:w="1718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F2F2F2"/>
            <w:vAlign w:val="center"/>
          </w:tcPr>
          <w:p w14:paraId="24D39FD6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83% (consensus)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5A7A19E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93% (consensus)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AF0122C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97% (consensus)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</w:tcBorders>
            <w:shd w:val="clear" w:color="auto" w:fill="F2F2F2"/>
            <w:vAlign w:val="center"/>
          </w:tcPr>
          <w:p w14:paraId="16F611C8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sz w:val="16"/>
                <w:szCs w:val="16"/>
                <w:lang w:val="en-GB"/>
              </w:rPr>
              <w:t>97% (consensus)</w:t>
            </w:r>
          </w:p>
        </w:tc>
      </w:tr>
      <w:tr w:rsidR="00F87C6B" w:rsidRPr="00F87C6B" w14:paraId="5805AF46" w14:textId="77777777" w:rsidTr="00F87C6B">
        <w:tc>
          <w:tcPr>
            <w:tcW w:w="1985" w:type="dxa"/>
            <w:tcBorders>
              <w:top w:val="nil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E63E82" w14:textId="77777777" w:rsidR="00F87C6B" w:rsidRPr="00F87C6B" w:rsidRDefault="00F87C6B" w:rsidP="00F87C6B">
            <w:pPr>
              <w:spacing w:after="0" w:line="240" w:lineRule="auto"/>
              <w:contextualSpacing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Classification established based on Round 1 results</w:t>
            </w:r>
          </w:p>
        </w:tc>
        <w:tc>
          <w:tcPr>
            <w:tcW w:w="1718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EF8CA48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Clinical case 1</w:t>
            </w:r>
          </w:p>
        </w:tc>
        <w:tc>
          <w:tcPr>
            <w:tcW w:w="1719" w:type="dxa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7509D2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Clinical case 2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0672B7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Clinical case 3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46B9D84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Clinical case 4</w:t>
            </w:r>
          </w:p>
        </w:tc>
        <w:tc>
          <w:tcPr>
            <w:tcW w:w="1718" w:type="dxa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868BEC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Clinical case 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B2B4B2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Clinical case 6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CB1A4F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Clinical case 7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14:paraId="13BD161A" w14:textId="77777777" w:rsidR="00F87C6B" w:rsidRPr="00F87C6B" w:rsidRDefault="00F87C6B" w:rsidP="00F87C6B">
            <w:pPr>
              <w:spacing w:after="0" w:line="240" w:lineRule="auto"/>
              <w:jc w:val="center"/>
              <w:rPr>
                <w:rFonts w:ascii="Arial" w:eastAsia="Aptos" w:hAnsi="Arial" w:cs="Arial"/>
                <w:sz w:val="16"/>
                <w:szCs w:val="16"/>
                <w:lang w:val="en-GB"/>
              </w:rPr>
            </w:pPr>
            <w:r w:rsidRPr="00F87C6B">
              <w:rPr>
                <w:rFonts w:ascii="Arial" w:eastAsia="Aptos" w:hAnsi="Arial" w:cs="Arial"/>
                <w:b/>
                <w:bCs/>
                <w:sz w:val="16"/>
                <w:szCs w:val="16"/>
                <w:lang w:val="en-GB"/>
              </w:rPr>
              <w:t>Clinical case 8</w:t>
            </w:r>
          </w:p>
        </w:tc>
      </w:tr>
    </w:tbl>
    <w:p w14:paraId="4B25C2B4" w14:textId="15004AE9" w:rsidR="00771BDC" w:rsidRPr="00203BF0" w:rsidRDefault="00203BF0" w:rsidP="00203BF0">
      <w:pPr>
        <w:spacing w:before="60"/>
        <w:ind w:left="-851"/>
        <w:rPr>
          <w:rFonts w:ascii="Arial" w:hAnsi="Arial" w:cs="Arial"/>
          <w:sz w:val="16"/>
          <w:szCs w:val="16"/>
          <w:lang w:val="en-GB"/>
        </w:rPr>
      </w:pPr>
      <w:r w:rsidRPr="00493C6C">
        <w:rPr>
          <w:rFonts w:ascii="Arial" w:hAnsi="Arial" w:cs="Arial"/>
          <w:i/>
          <w:iCs/>
          <w:sz w:val="16"/>
          <w:szCs w:val="16"/>
          <w:lang w:val="en-GB"/>
        </w:rPr>
        <w:t>HE</w:t>
      </w:r>
      <w:r>
        <w:rPr>
          <w:rFonts w:ascii="Arial" w:hAnsi="Arial" w:cs="Arial"/>
          <w:i/>
          <w:iCs/>
          <w:sz w:val="16"/>
          <w:szCs w:val="16"/>
          <w:lang w:val="en-GB"/>
        </w:rPr>
        <w:t>T</w:t>
      </w:r>
      <w:r w:rsidRPr="00493C6C">
        <w:rPr>
          <w:rFonts w:ascii="Arial" w:hAnsi="Arial" w:cs="Arial"/>
          <w:i/>
          <w:iCs/>
          <w:sz w:val="16"/>
          <w:szCs w:val="16"/>
          <w:lang w:val="en-GB"/>
        </w:rPr>
        <w:t xml:space="preserve"> </w:t>
      </w:r>
      <w:r>
        <w:rPr>
          <w:rFonts w:ascii="Arial" w:hAnsi="Arial" w:cs="Arial"/>
          <w:sz w:val="16"/>
          <w:szCs w:val="16"/>
          <w:lang w:val="en-GB"/>
        </w:rPr>
        <w:t>hi</w:t>
      </w:r>
      <w:r w:rsidRPr="00493C6C">
        <w:rPr>
          <w:rFonts w:ascii="Arial" w:hAnsi="Arial" w:cs="Arial"/>
          <w:sz w:val="16"/>
          <w:szCs w:val="16"/>
          <w:lang w:val="en-GB"/>
        </w:rPr>
        <w:t xml:space="preserve">gh-efficacy </w:t>
      </w:r>
      <w:r>
        <w:rPr>
          <w:rFonts w:ascii="Arial" w:hAnsi="Arial" w:cs="Arial"/>
          <w:sz w:val="16"/>
          <w:szCs w:val="16"/>
          <w:lang w:val="en-GB"/>
        </w:rPr>
        <w:t>therapy</w:t>
      </w:r>
    </w:p>
    <w:sectPr w:rsidR="00771BDC" w:rsidRPr="00203BF0" w:rsidSect="00F87C6B">
      <w:pgSz w:w="16838" w:h="11906" w:orient="landscape"/>
      <w:pgMar w:top="907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BC"/>
    <w:rsid w:val="000B0081"/>
    <w:rsid w:val="000E2FDB"/>
    <w:rsid w:val="00135F65"/>
    <w:rsid w:val="00203BF0"/>
    <w:rsid w:val="005758D8"/>
    <w:rsid w:val="005C3A3D"/>
    <w:rsid w:val="00621D48"/>
    <w:rsid w:val="00771BDC"/>
    <w:rsid w:val="00891EBC"/>
    <w:rsid w:val="00A43938"/>
    <w:rsid w:val="00B844F8"/>
    <w:rsid w:val="00F8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72F27"/>
  <w15:chartTrackingRefBased/>
  <w15:docId w15:val="{1C9E3FF3-5B9D-754E-AC4C-609362F3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C6B"/>
    <w:pPr>
      <w:spacing w:after="160"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891EB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1EB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1EBC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1EBC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1EBC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1EBC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1EBC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1EBC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1EBC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1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1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1E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1E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1E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1E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1E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1E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1E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1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1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1EBC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1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1EBC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891EBC"/>
    <w:rPr>
      <w:i/>
      <w:iCs/>
      <w:color w:val="404040" w:themeColor="text1" w:themeTint="BF"/>
    </w:rPr>
  </w:style>
  <w:style w:type="paragraph" w:styleId="Paragraphedeliste">
    <w:name w:val="List Paragraph"/>
    <w:aliases w:val="Liste à puce,Liste.,_CC_Bullet,Paragraphe de liste1,Bullet1,Section 5,Bullet 1,List Paragraph1,Table Legend,Bullet List,Bullets Points,Bullet List 2,목록 단락,hyperlink,목록 단락1,Hyperlink1,Hyperlink11,Bullet Level 3"/>
    <w:basedOn w:val="Normal"/>
    <w:link w:val="ParagraphedelisteCar"/>
    <w:uiPriority w:val="34"/>
    <w:qFormat/>
    <w:rsid w:val="00891EBC"/>
    <w:pPr>
      <w:spacing w:after="0" w:line="240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891E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1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1E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1EBC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Policepardfaut"/>
    <w:rsid w:val="00F87C6B"/>
  </w:style>
  <w:style w:type="character" w:customStyle="1" w:styleId="apple-converted-space">
    <w:name w:val="apple-converted-space"/>
    <w:basedOn w:val="Policepardfaut"/>
    <w:rsid w:val="00F87C6B"/>
  </w:style>
  <w:style w:type="character" w:customStyle="1" w:styleId="ParagraphedelisteCar">
    <w:name w:val="Paragraphe de liste Car"/>
    <w:aliases w:val="Liste à puce Car,Liste. Car,_CC_Bullet Car,Paragraphe de liste1 Car,Bullet1 Car,Section 5 Car,Bullet 1 Car,List Paragraph1 Car,Table Legend Car,Bullet List Car,Bullets Points Car,Bullet List 2 Car,목록 단락 Car,hyperlink Car"/>
    <w:basedOn w:val="Policepardfaut"/>
    <w:link w:val="Paragraphedeliste"/>
    <w:uiPriority w:val="34"/>
    <w:qFormat/>
    <w:locked/>
    <w:rsid w:val="00F87C6B"/>
  </w:style>
  <w:style w:type="table" w:customStyle="1" w:styleId="Grilledutableau1">
    <w:name w:val="Grille du tableau1"/>
    <w:basedOn w:val="TableauNormal"/>
    <w:next w:val="Grilledutableau"/>
    <w:uiPriority w:val="39"/>
    <w:rsid w:val="00F87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F87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844F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iron.j@chu-toulous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92DEFF91-CFF9-2B43-A346-E7B59ACE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333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>Re-Imagine Health Agency</Company>
  <LinksUpToDate>false</LinksUpToDate>
  <CharactersWithSpaces>2165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BASSOUS</dc:creator>
  <cp:keywords/>
  <dc:description/>
  <cp:lastModifiedBy>Joy BASSOUS</cp:lastModifiedBy>
  <cp:revision>5</cp:revision>
  <dcterms:created xsi:type="dcterms:W3CDTF">2026-05-19T15:46:00Z</dcterms:created>
  <dcterms:modified xsi:type="dcterms:W3CDTF">2026-09-14T13:23:00Z</dcterms:modified>
  <cp:category/>
</cp:coreProperties>
</file>