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86DFD" w14:textId="0E29F823" w:rsidR="00453184" w:rsidRPr="00392197" w:rsidRDefault="00453184" w:rsidP="00453184">
      <w:pPr>
        <w:rPr>
          <w:color w:val="000000" w:themeColor="text1"/>
        </w:rPr>
      </w:pPr>
      <w:bookmarkStart w:id="0" w:name="_Hlk24166836"/>
      <w:r w:rsidRPr="00392197">
        <w:rPr>
          <w:color w:val="000000" w:themeColor="text1"/>
        </w:rPr>
        <w:t>Supplementary Table1</w:t>
      </w:r>
      <w:bookmarkEnd w:id="0"/>
      <w:r w:rsidRPr="00392197">
        <w:rPr>
          <w:color w:val="000000" w:themeColor="text1"/>
        </w:rPr>
        <w:t xml:space="preserve">. Genetic mutations shared between first primary and second </w:t>
      </w:r>
      <w:r w:rsidR="0041478D">
        <w:rPr>
          <w:color w:val="000000" w:themeColor="text1"/>
        </w:rPr>
        <w:t>eye and</w:t>
      </w:r>
      <w:r w:rsidR="008F6E41">
        <w:rPr>
          <w:color w:val="000000" w:themeColor="text1"/>
        </w:rPr>
        <w:t xml:space="preserve"> its adnexal</w:t>
      </w:r>
      <w:r w:rsidRPr="00392197">
        <w:rPr>
          <w:color w:val="000000" w:themeColor="text1"/>
        </w:rPr>
        <w:t xml:space="preserve"> primary malignancies.</w:t>
      </w:r>
    </w:p>
    <w:tbl>
      <w:tblPr>
        <w:tblStyle w:val="PlainTable3"/>
        <w:tblW w:w="11193" w:type="dxa"/>
        <w:tblLook w:val="04A0" w:firstRow="1" w:lastRow="0" w:firstColumn="1" w:lastColumn="0" w:noHBand="0" w:noVBand="1"/>
      </w:tblPr>
      <w:tblGrid>
        <w:gridCol w:w="1216"/>
        <w:gridCol w:w="627"/>
        <w:gridCol w:w="1429"/>
        <w:gridCol w:w="781"/>
        <w:gridCol w:w="535"/>
        <w:gridCol w:w="536"/>
        <w:gridCol w:w="635"/>
        <w:gridCol w:w="903"/>
        <w:gridCol w:w="519"/>
        <w:gridCol w:w="757"/>
        <w:gridCol w:w="1134"/>
        <w:gridCol w:w="1134"/>
        <w:gridCol w:w="850"/>
        <w:gridCol w:w="758"/>
      </w:tblGrid>
      <w:tr w:rsidR="00453184" w:rsidRPr="00392197" w14:paraId="5D5E2AE3" w14:textId="77777777" w:rsidTr="00C361D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86" w:type="dxa"/>
            <w:noWrap/>
            <w:hideMark/>
          </w:tcPr>
          <w:p w14:paraId="368040BA"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Gene</w:t>
            </w:r>
          </w:p>
        </w:tc>
        <w:tc>
          <w:tcPr>
            <w:tcW w:w="236" w:type="dxa"/>
            <w:noWrap/>
            <w:hideMark/>
          </w:tcPr>
          <w:p w14:paraId="713FF3C9"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Sk. Mel.</w:t>
            </w:r>
          </w:p>
          <w:p w14:paraId="3D786C84" w14:textId="76C81414"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{"citationItems":[{"id":"ITEM-1","itemData":{"DOI":"10.1038/modpathol.2017.104","ISSN":"1530-0285","PMID":"29148538","abstract":"Approximately one-half of advanced (unresectable or metastatic) melanomas harbor a mutation in the BRAF gene, with V600E being the most common mutation. Targeted therapy with BRAF and MEK inhibitors is associated with significant long-term treatment benefit in patients with BRAF V600-mutated melanoma. Therefore, molecular testing for BRAF mutations is a priority in determining the course of therapy. A literature search was performed using MEDLINE/PubMed and scientific congress databases using the terms 'BRAF,' 'mutation,' and 'cancer/tumor.' These results were filtered to include manuscripts that focused on diagnostic tests for determining BRAF mutation status. Numerous BRAF testing methods were identified, including DNA-based companion diagnostic tests and DNA- and protein-based laboratory-developed tests. Herein we review the characteristics of each method and highlight the strengths and weaknesses that should be considered before use and when interpreting results for each patient. Molecular profiling has shown that mutation load increases with melanoma tumor progression and that unique patterns of genetic changes and evolutionary trajectories for different melanoma subtypes can occur. Discordance in the BRAF mutational status between primary and metastatic lesions, as well as intratumoral heterogeneity, is known to occur. Additionally, the development of acquired resistance to combination BRAF and MEK inhibitor therapy is still a formidable obstacle. Therefore, tumor heterogeneity and the development of acquired resistance have important implications for molecular testing and ultimately the treatment of patients with advanced-stage melanoma. Overall, this information may help community oncologists more accurately and effectively interpret results of diagnostic tests within the context of recent data characterizing melanoma tumor progression.","author":[{"dropping-particle":"","family":"Cheng","given":"Liang","non-dropping-particle":"","parse-names":false,"suffix":""},{"dropping-particle":"","family":"Lopez-Beltran","given":"Antonio","non-dropping-particle":"","parse-names":false,"suffix":""},{"dropping-particle":"","family":"Massari","given":"Francesco","non-dropping-particle":"","parse-names":false,"suffix":""},{"dropping-particle":"","family":"MacLennan","given":"Gregory T","non-dropping-particle":"","parse-names":false,"suffix":""},{"dropping-particle":"","family":"Montironi","given":"Rodolfo","non-dropping-particle":"","parse-names":false,"suffix":""}],"container-title":"Modern pathology : an official journal of the United States and Canadian Academy of Pathology, Inc","id":"ITEM-1","issue":"1","issued":{"date-parts":[["2018"]]},"page":"24-38","title":"Molecular testing for BRAF mutations to inform melanoma treatment decisions: a move toward precision medicine.","type":"article-journal","volume":"31"},"uris":["http://www.mendeley.com/documents/?uuid=e0326ea5-f60c-440b-9f36-43073f5cd296"]}],"mendeley":{"formattedCitation":"&lt;sup&gt;1&lt;/sup&gt;","plainTextFormattedCitation":"1","previouslyFormattedCitation":"&lt;sup&gt;39&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1</w:t>
            </w:r>
            <w:r w:rsidRPr="00392197">
              <w:rPr>
                <w:rFonts w:ascii="Calibri" w:eastAsia="Times New Roman" w:hAnsi="Calibri" w:cs="Times New Roman"/>
                <w:color w:val="000000" w:themeColor="text1"/>
              </w:rPr>
              <w:fldChar w:fldCharType="end"/>
            </w:r>
          </w:p>
        </w:tc>
        <w:tc>
          <w:tcPr>
            <w:tcW w:w="1429" w:type="dxa"/>
            <w:noWrap/>
            <w:hideMark/>
          </w:tcPr>
          <w:p w14:paraId="4FE7DF97"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Osteos.</w:t>
            </w:r>
          </w:p>
          <w:p w14:paraId="0D798351" w14:textId="37DF3115"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10.1016/j.bone.2016.10.017","ISSN":"87563282","author":[{"dropping-particle":"","family":"Rickel","given":"Kirby","non-dropping-particle":"","parse-names":false,"suffix":""},{"dropping-particle":"","family":"Fang","given":"Fang","non-dropping-particle":"","parse-names":false,"suffix":""},{"dropping-particle":"","family":"Tao","given":"Jianning","non-dropping-particle":"","parse-names":false,"suffix":""}],"container-title":"Bone","id":"ITEM-1","issued":{"date-parts":[["2017","9"]]},"page":"69-79","title":"Molecular genetics of osteosarcoma","type":"article-journal","volume":"102"},"uris":["http://www.mendeley.com/documents/?uuid=354cd21b-84e9-40a3-bf74-9307f9d1aa9e"]}],"mendeley":{"formattedCitation":"&lt;sup&gt;2&lt;/sup&gt;","plainTextFormattedCitation":"2","previouslyFormattedCitation":"&lt;sup&gt;40&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2</w:t>
            </w:r>
            <w:r w:rsidRPr="00392197">
              <w:rPr>
                <w:rFonts w:ascii="Calibri" w:eastAsia="Times New Roman" w:hAnsi="Calibri" w:cs="Times New Roman"/>
                <w:color w:val="000000" w:themeColor="text1"/>
              </w:rPr>
              <w:fldChar w:fldCharType="end"/>
            </w:r>
          </w:p>
        </w:tc>
        <w:tc>
          <w:tcPr>
            <w:tcW w:w="781" w:type="dxa"/>
            <w:noWrap/>
            <w:hideMark/>
          </w:tcPr>
          <w:p w14:paraId="09AF7DA4"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DLBCL</w:t>
            </w:r>
          </w:p>
          <w:p w14:paraId="2C73AD6F" w14:textId="1A76AB9E"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 xml:space="preserve">ADDIN CSL_CITATION {"citationItems":[{"id":"ITEM-1","itemData":{"DOI":"10.1182/blood-2017-11-764332","ISSN":"1528-0020","PMID":"29666115","abstract":"Diffuse large B-cell lymphoma (DLBCL), the most frequent subtype of lymphoid malignancy, remains a significant clinical challenge, as </w:instrText>
            </w:r>
            <w:r w:rsidR="0041478D">
              <w:rPr>
                <w:rFonts w:ascii="Cambria Math" w:eastAsia="Times New Roman" w:hAnsi="Cambria Math" w:cs="Cambria Math"/>
                <w:color w:val="000000" w:themeColor="text1"/>
              </w:rPr>
              <w:instrText>∼</w:instrText>
            </w:r>
            <w:r w:rsidR="0041478D">
              <w:rPr>
                <w:rFonts w:ascii="Calibri" w:eastAsia="Times New Roman" w:hAnsi="Calibri" w:cs="Times New Roman"/>
                <w:color w:val="000000" w:themeColor="text1"/>
              </w:rPr>
              <w:instrText>30% of patients are not cured. Over the past decade, remarkable progress has been made in the understanding of the pathogenesis of this disease, spurred by the implementation of powerful genomic technologies that enabled the definition of its genetic and epigenetic landscape. These studies have uncovered a multitude of genomic alterations that contribute to the initiation and maintenance of the tumor clone by disrupting biological functions known to be critical for the normal biology of its cells of origin, germinal center B cells. The identified alterations involve epigenetic remodeling, block of differentiation, escape from immune surveillance, and the constitutive activation of several signal transduction pathways. This wealth of new information offers unique opportunities for the development of improved diagnostic and prognostic tools that could help guide the clinical management of DLBCL patients. Furthermore, a number of the mutated genes identified are potentially actionable targets that are currently being explored for the development of novel therapeutic strategies. This review summarizes current knowledge of the most common genetic alterations associated with DLBCL in relation to their functional impact on the malignant transformation process, and discusses their clinical implications for mechanism-based therapeutics.","author":[{"dropping-particle":"","family":"Pasqualucci","given":"Laura","non-dropping-particle":"","parse-names":false,"suffix":""},{"dropping-particle":"","family":"Dalla-Favera","given":"Riccardo","non-dropping-particle":"","parse-names":false,"suffix":""}],"container-title":"Blood","id":"ITEM-1","issue":"21","issued":{"date-parts":[["2018"]]},"page":"2307-2319","title":"Genetics of diffuse large B-cell lymphoma.","type":"article-journal","volume":"131"},"uris":["http://www.mendeley.com/documents/?uuid=d939b2cb-cd98-4acf-ad51-c6dfdef63f35"]}],"mendeley":{"formattedCitation":"&lt;sup&gt;3&lt;/sup&gt;","plainTextFormattedCitation":"3","previouslyFormattedCitation":"&lt;sup&gt;41&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3</w:t>
            </w:r>
            <w:r w:rsidRPr="00392197">
              <w:rPr>
                <w:rFonts w:ascii="Calibri" w:eastAsia="Times New Roman" w:hAnsi="Calibri" w:cs="Times New Roman"/>
                <w:color w:val="000000" w:themeColor="text1"/>
              </w:rPr>
              <w:fldChar w:fldCharType="end"/>
            </w:r>
          </w:p>
        </w:tc>
        <w:tc>
          <w:tcPr>
            <w:tcW w:w="535" w:type="dxa"/>
            <w:noWrap/>
            <w:hideMark/>
          </w:tcPr>
          <w:p w14:paraId="6CD13F48"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HL</w:t>
            </w:r>
          </w:p>
          <w:p w14:paraId="3275A3B2" w14:textId="23BBC87E"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{"citationItems":[{"id":"ITEM-1","itemData":{"DOI":"10.1182/blood-2009-12-257345","ISSN":"1528-0020","PMID":"20339089","abstract":"In classical Hodgkin lymphoma (cHL) the mechanisms underlying primary refractory disease and relapse remain unknown. To gain further insight into cHL pathogenesis and genomic changes linked to treatment response, we studied 53 cHL patients by array comparative genomic hybridization, including 23 patients whose primary treatment failed, using DNA from microdissected HRS cells. Copy number alterations found in more than 20% of cases included gains of 2p, 9p, 16p, 17q, 19q, 20q, and losses of 6q, 11q, and 13q. We identified at high resolution recurrent changes defining minimally gained and lost regions harboring genes involved in nuclear factor kappaB signaling, such as REL, IKBKB, CD40, and MAP3K14. Gains of chromosome 16p11.2-13.3 were significantly more frequent in pretreatment and relapse biopsies of unresponsive patients and were associated with shortened disease-specific survival (P = .028). In the therapy-resistant HL cell line KMH2, we found genomic gains and overexpression of the multidrug resistance gene ABCC1 mapping to cytoband 16p13.11. We show that doxorubicin exposure to KMH2 induces ABCC1 expression and that siRNA silencing of ABCC1 sensitizes KMH2 cells to doxorubicin toxicity in vitro, suggesting that overexpression of ABCC1 contributes to the drug resistance phenotype found in KMH2.","author":[{"dropping-particle":"","family":"Steidl","given":"Christian","non-dropping-particle":"","parse-names":false,"suffix":""},{"dropping-particle":"","family":"Telenius","given":"Adele","non-dropping-particle":"","parse-names":false,"suffix":""},{"dropping-particle":"","family":"Shah","given":"Sohrab P","non-dropping-particle":"","parse-names":false,"suffix":""},{"dropping-particle":"","family":"Farinha","given":"Pedro","non-dropping-particle":"","parse-names":false,"suffix":""},{"dropping-particle":"","family":"Barclay","given":"Lorena","non-dropping-particle":"","parse-names":false,"suffix":""},{"dropping-particle":"","family":"Boyle","given":"Merrill","non-dropping-particle":"","parse-names":false,"suffix":""},{"dropping-particle":"","family":"Connors","given":"Joseph M","non-dropping-particle":"","parse-names":false,"suffix":""},{"dropping-particle":"","family":"Horsman","given":"Douglas E","non-dropping-particle":"","parse-names":false,"suffix":""},{"dropping-particle":"","family":"Gascoyne","given":"Randy D","non-dropping-particle":"","parse-names":false,"suffix":""}],"container-title":"Blood","id":"ITEM-1","issue":"3","issued":{"date-parts":[["2010","7","22"]]},"page":"418-27","title":"Genome-wide copy number analysis of Hodgkin Reed-Sternberg cells identifies recurrent imbalances with correlations to treatment outcome.","type":"article-journal","volume":"116"},"uris":["http://www.mendeley.com/documents/?uuid=716aee2f-b44d-4049-bd9c-d7ec2d2d60d3"]},{"id":"ITEM-2","itemData":{"DOI":"10.1097/CCO.0000000000000396","ISSN":"1531-703X","PMID":"28697001","abstract":"PURPOSE OF REVIEW The goal of this review is to give an overview of the genetics of classical Hodgkin lymphoma. Copy number changes, somatic mutations, genome-wide association studies, changes in gene expression, familial classical Hodgkin lymphoma and epigenetic changes will be reviewed. In doing so, special focus is placed on the way recent discoveries have influenced clinical research, diagnostics, treatment and remission monitoring. Furthermore, emphasis is put on how these advances can help to advance the treatment of elderly patients who have a markedly worse prognosis than younger patients. RECENT FINDINGS Frequent amplifications of the 9p24.1 locus in classical Hodgkin lymphoma could be the basis for the success of immune checkpoint inhibitors targeting PD-1 or PD-L1 in this disease. The same amplification also affects the JAK/STAT pathway, which has also been targeted in recent clinical trials. Hodgkin lymphoma-specific copy number alterations and mutations have recently been found to be detectable in cell-free DNA. This could provide the basis for advances in the detection of residual disease during treatment and while monitoring patients in remission. SUMMARY The advent of new technologies such as massive parallel sequencing has improved our understanding of the genetics of classical Hodgkin lymphoma. Some of these discoveries are now being translated into clinical research in the form of new diagnostics and treatments.","author":[{"dropping-particle":"","family":"Borchmann","given":"Sven","non-dropping-particle":"","parse-names":false,"suffix":""},{"dropping-particle":"","family":"Engert","given":"Andreas","non-dropping-particle":"","parse-names":false,"suffix":""}],"container-title":"Current opinion in oncology","id":"ITEM-2","issue":"5","issued":{"date-parts":[["2017","9"]]},"page":"307-314","title":"The genetics of Hodgkin lymphoma: an overview and clinical implications.","type":"article-journal","volume":"29"},"uris":["http://www.mendeley.com/documents/?uuid=f20feb32-fb05-426d-84b1-4e6315221f05"]}],"mendeley":{"formattedCitation":"&lt;sup&gt;4,5&lt;/sup&gt;","plainTextFormattedCitation":"4,5","previouslyFormattedCitation":"&lt;sup&gt;42,43&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4,5</w:t>
            </w:r>
            <w:r w:rsidRPr="00392197">
              <w:rPr>
                <w:rFonts w:ascii="Calibri" w:eastAsia="Times New Roman" w:hAnsi="Calibri" w:cs="Times New Roman"/>
                <w:color w:val="000000" w:themeColor="text1"/>
              </w:rPr>
              <w:fldChar w:fldCharType="end"/>
            </w:r>
          </w:p>
        </w:tc>
        <w:tc>
          <w:tcPr>
            <w:tcW w:w="536" w:type="dxa"/>
            <w:noWrap/>
            <w:hideMark/>
          </w:tcPr>
          <w:p w14:paraId="6615A4ED"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ALL</w:t>
            </w:r>
          </w:p>
          <w:p w14:paraId="6764F9F4" w14:textId="2C0E2CD1"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{"citationItems":[{"id":"ITEM-1","itemData":{"DOI":"10.1111/bjh.14474","ISSN":"00071048","author":[{"dropping-particle":"","family":"Tasian","given":"Sarah K.","non-dropping-particle":"","parse-names":false,"suffix":""},{"dropping-particle":"","family":"Hunger","given":"Stephen P.","non-dropping-particle":"","parse-names":false,"suffix":""}],"container-title":"British Journal of Haematology","id":"ITEM-1","issue":"6","issued":{"date-parts":[["2017","3"]]},"page":"867-882","title":"Genomic characterization of paediatric acute lymphoblastic leukaemia: an opportunity for precision medicine therapeutics","type":"article-journal","volume":"176"},"uris":["http://www.mendeley.com/documents/?uuid=9de16859-34a7-4879-9972-832a0b9f9be5"]}],"mendeley":{"formattedCitation":"&lt;sup&gt;6&lt;/sup&gt;","plainTextFormattedCitation":"6","previouslyFormattedCitation":"&lt;sup&gt;44&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6</w:t>
            </w:r>
            <w:r w:rsidRPr="00392197">
              <w:rPr>
                <w:rFonts w:ascii="Calibri" w:eastAsia="Times New Roman" w:hAnsi="Calibri" w:cs="Times New Roman"/>
                <w:color w:val="000000" w:themeColor="text1"/>
              </w:rPr>
              <w:fldChar w:fldCharType="end"/>
            </w:r>
          </w:p>
        </w:tc>
        <w:tc>
          <w:tcPr>
            <w:tcW w:w="635" w:type="dxa"/>
            <w:noWrap/>
            <w:hideMark/>
          </w:tcPr>
          <w:p w14:paraId="27D5E806"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AML</w:t>
            </w:r>
          </w:p>
          <w:p w14:paraId="5432F49D" w14:textId="72DAB036"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10.1200/JCO.2016.71.2208","ISSN":"0732-183X","author":[{"dropping-particle":"","family":"Bullinger","given":"Lars","non-dropping-particle":"","parse-names":false,"suffix":""},{"dropping-particle":"","family":"Döhner","given":"Konstanze","non-dropping-particle":"","parse-names":false,"suffix":""},{"dropping-particle":"","family":"Döhner","given":"Hartmut","non-dropping-particle":"","parse-names":false,"suffix":""}],"container-title":"Journal of Clinical Oncology","id":"ITEM-1","issue":"9","issued":{"date-parts":[["2017","3","20"]]},"page":"934-946","title":"Genomics of Acute Myeloid Leukemia Diagnosis and Pathways","type":"article-journal","volume":"35"},"uris":["http://www.mendeley.com/documents/?uuid=9cba0bd6-8835-42c0-93a9-ed2bcbc12ab1"]}],"mendeley":{"formattedCitation":"&lt;sup&gt;7&lt;/sup&gt;","plainTextFormattedCitation":"7","previouslyFormattedCitation":"&lt;sup&gt;45&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7</w:t>
            </w:r>
            <w:r w:rsidRPr="00392197">
              <w:rPr>
                <w:rFonts w:ascii="Calibri" w:eastAsia="Times New Roman" w:hAnsi="Calibri" w:cs="Times New Roman"/>
                <w:color w:val="000000" w:themeColor="text1"/>
              </w:rPr>
              <w:fldChar w:fldCharType="end"/>
            </w:r>
          </w:p>
        </w:tc>
        <w:tc>
          <w:tcPr>
            <w:tcW w:w="903" w:type="dxa"/>
            <w:noWrap/>
            <w:hideMark/>
          </w:tcPr>
          <w:p w14:paraId="41DEFAFC"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Br. Ca</w:t>
            </w:r>
          </w:p>
          <w:p w14:paraId="224F681F" w14:textId="664D4B2B"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{"citationItems":[{"id":"ITEM-1","itemData":{"DOI":"10.1038/nature11154","ISSN":"1476-4687","PMID":"22722202","abstract":"Breast carcinoma is the leading cause of cancer-related mortality in women worldwide, with an estimated 1.38 million new cases and 458,000 deaths in 2008 alone. This malignancy represents a heterogeneous group of tumours with characteristic molecular features, prognosis and responses to available therapy. Recurrent somatic alterations in breast cancer have been described, including mutations and copy number alterations, notably ERBB2 amplifications, the first successful therapy target defined by a genomic aberration. Previous DNA sequencing studies of breast cancer genomes have revealed additional candidate mutations and gene rearrangements. Here we report the whole-exome sequences of DNA from 103 human breast cancers of diverse subtypes from patients in Mexico and Vietnam compared to matched-normal DNA, together with whole-genome sequences of 22 breast cancer/normal pairs. Beyond confirming recurrent somatic mutations in PIK3CA, TP53, AKT1, GATA3 and MAP3K1, we discovered recurrent mutations in the CBFB transcription factor gene and deletions of its partner RUNX1. Furthermore, we have identified a recurrent MAGI3-AKT3 fusion enriched in triple-negative breast cancer lacking oestrogen and progesterone receptors and ERBB2 expression. The MAGI3-AKT3 fusion leads to constitutive activation of AKT kinase, which is abolished by treatment with an ATP-competitive AKT small-molecule inhibitor.","author":[{"dropping-particle":"","family":"Banerji","given":"Shantanu","non-dropping-particle":"","parse-names":false,"suffix":""},{"dropping-particle":"","family":"Cibulskis","given":"Kristian","non-dropping-particle":"","parse-names":false,"suffix":""},{"dropping-particle":"","family":"Rangel-Escareno","given":"Claudia","non-dropping-particle":"","parse-names":false,"suffix":""},{"dropping-particle":"","family":"Brown","given":"Kristin K","non-dropping-particle":"","parse-names":false,"suffix":""},{"dropping-particle":"","family":"Carter","given":"Scott L","non-dropping-particle":"","parse-names":false,"suffix":""},{"dropping-particle":"","family":"Frederick","given":"Abbie M","non-dropping-particle":"","parse-names":false,"suffix":""},{"dropping-particle":"","family":"Lawrence","given":"Michael S","non-dropping-particle":"","parse-names":false,"suffix":""},{"dropping-particle":"","family":"Sivachenko","given":"Andrey Y","non-dropping-particle":"","parse-names":false,"suffix":""},{"dropping-particle":"","family":"Sougnez","given":"Carrie","non-dropping-particle":"","parse-names":false,"suffix":""},{"dropping-particle":"","family":"Zou","given":"Lihua","non-dropping-particle":"","parse-names":false,"suffix":""},{"dropping-particle":"","family":"Cortes","given":"Maria L","non-dropping-particle":"","parse-names":false,"suffix":""},{"dropping-particle":"","family":"Fernandez-Lopez","given":"Juan C","non-dropping-particle":"","parse-names":false,"suffix":""},{"dropping-particle":"","family":"Peng","given":"Shouyong","non-dropping-particle":"","parse-names":false,"suffix":""},{"dropping-particle":"","family":"Ardlie","given":"Kristin G","non-dropping-particle":"","parse-names":false,"suffix":""},{"dropping-particle":"","family":"Auclair","given":"Daniel","non-dropping-particle":"","parse-names":false,"suffix":""},{"dropping-particle":"","family":"Bautista-Piña","given":"Veronica","non-dropping-particle":"","parse-names":false,"suffix":""},{"dropping-particle":"","family":"Duke","given":"Fujiko","non-dropping-particle":"","parse-names":false,"suffix":""},{"dropping-particle":"","family":"Francis","given":"Joshua","non-dropping-particle":"","parse-names":false,"suffix":""},{"dropping-particle":"","family":"Jung","given":"Joonil","non-dropping-particle":"","parse-names":false,"suffix":""},{"dropping-particle":"","family":"Maffuz-Aziz","given":"Antonio","non-dropping-particle":"","parse-names":false,"suffix":""},{"dropping-particle":"","family":"Onofrio","given":"Robert C","non-dropping-particle":"","parse-names":false,"suffix":""},{"dropping-particle":"","family":"Parkin","given":"Melissa","non-dropping-particle":"","parse-names":false,"suffix":""},{"dropping-particle":"","family":"Pho","given":"Nam H","non-dropping-particle":"","parse-names":false,"suffix":""},{"dropping-particle":"","family":"Quintanar-Jurado","given":"Valeria","non-dropping-particle":"","parse-names":false,"suffix":""},{"dropping-particle":"","family":"Ramos","given":"Alex H","non-dropping-particle":"","parse-names":false,"suffix":""},{"dropping-particle":"","family":"Rebollar-Vega","given":"Rosa","non-dropping-particle":"","parse-names":false,"suffix":""},{"dropping-particle":"","family":"Rodriguez-Cuevas","given":"Sergio","non-dropping-particle":"","parse-names":false,"suffix":""},{"dropping-particle":"","family":"Romero-Cordoba","given":"Sandra L","non-dropping-particle":"","parse-names":false,"suffix":""},{"dropping-particle":"","family":"Schumacher","given":"Steven E","non-dropping-particle":"","parse-names":false,"suffix":""},{"dropping-particle":"","family":"Stransky","given":"Nicolas","non-dropping-particle":"","parse-names":false,"suffix":""},{"dropping-particle":"","family":"Thompson","given":"Kristin M","non-dropping-particle":"","parse-names":false,"suffix":""},{"dropping-particle":"","family":"Uribe-Figueroa","given":"Laura","non-dropping-particle":"","parse-names":false,"suffix":""},{"dropping-particle":"","family":"Baselga","given":"Jose","non-dropping-particle":"","parse-names":false,"suffix":""},{"dropping-particle":"","family":"Beroukhim","given":"Rameen","non-dropping-particle":"","parse-names":false,"suffix":""},{"dropping-particle":"","family":"Polyak","given":"Kornelia","non-dropping-particle":"","parse-names":false,"suffix":""},{"dropping-particle":"","family":"Sgroi","given":"Dennis C","non-dropping-particle":"","parse-names":false,"suffix":""},{"dropping-particle":"","family":"Richardson","given":"Andrea L","non-dropping-particle":"","parse-names":false,"suffix":""},{"dropping-particle":"","family":"Jimenez-Sanchez","given":"Gerardo","non-dropping-particle":"","parse-names":false,"suffix":""},{"dropping-particle":"","family":"Lander","given":"Eric S","non-dropping-particle":"","parse-names":false,"suffix":""},{"dropping-particle":"","family":"Gabriel","given":"Stacey B","non-dropping-particle":"","parse-names":false,"suffix":""},{"dropping-particle":"","family":"Garraway","given":"Levi A","non-dropping-particle":"","parse-names":false,"suffix":""},{"dropping-particle":"","family":"Golub","given":"Todd R","non-dropping-particle":"","parse-names":false,"suffix":""},{"dropping-particle":"","family":"Melendez-Zajgla","given":"Jorge","non-dropping-particle":"","parse-names":false,"suffix":""},{"dropping-particle":"","family":"Toker","given":"Alex","non-dropping-particle":"","parse-names":false,"suffix":""},{"dropping-particle":"","family":"Getz","given":"Gad","non-dropping-particle":"","parse-names":false,"suffix":""},{"dropping-particle":"","family":"Hidalgo-Miranda","given":"Alfredo","non-dropping-particle":"","parse-names":false,"suffix":""},{"dropping-particle":"","family":"Meyerson","given":"Matthew","non-dropping-particle":"","parse-names":false,"suffix":""}],"container-title":"Nature","id":"ITEM-1","issue":"7403","issued":{"date-parts":[["2012","6","20"]]},"page":"405-9","title":"Sequence analysis of mutations and translocations across breast cancer subtypes.","type":"article-journal","volume":"486"},"uris":["http://www.mendeley.com/documents/?uuid=08dcf2e0-5b7e-47fd-9f75-7cf46261b9e4"]}],"mendeley":{"formattedCitation":"&lt;sup&gt;8&lt;/sup&gt;","plainTextFormattedCitation":"8","previouslyFormattedCitation":"&lt;sup&gt;46&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8</w:t>
            </w:r>
            <w:r w:rsidRPr="00392197">
              <w:rPr>
                <w:rFonts w:ascii="Calibri" w:eastAsia="Times New Roman" w:hAnsi="Calibri" w:cs="Times New Roman"/>
                <w:color w:val="000000" w:themeColor="text1"/>
              </w:rPr>
              <w:fldChar w:fldCharType="end"/>
            </w:r>
          </w:p>
        </w:tc>
        <w:tc>
          <w:tcPr>
            <w:tcW w:w="519" w:type="dxa"/>
            <w:noWrap/>
            <w:hideMark/>
          </w:tcPr>
          <w:p w14:paraId="5B5A272E"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CLL</w:t>
            </w:r>
          </w:p>
          <w:p w14:paraId="2C9DF936" w14:textId="0505A374"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10.1111/bjh.14719","ISSN":"00071048","author":[{"dropping-particle":"","family":"Ghamlouch","given":"Hussein","non-dropping-particle":"","parse-names":false,"suffix":""},{"dropping-particle":"","family":"Nguyen-Khac","given":"Florence","non-dropping-particle":"","parse-names":false,"suffix":""},{"dropping-particle":"","family":"Bernard","given":"Olivier A.","non-dropping-particle":"","parse-names":false,"suffix":""}],"container-title":"British Journal of Haematology","id":"ITEM-1","issue":"6","issued":{"date-parts":[["2017","9"]]},"page":"852-870","title":"Chronic lymphocytic leukaemia genomics and the precision medicine era","type":"article-journal","volume":"178"},"uris":["http://www.mendeley.com/documents/?uuid=5894a021-ec48-48d5-9527-698712066740"]}],"mendeley":{"formattedCitation":"&lt;sup&gt;9&lt;/sup&gt;","plainTextFormattedCitation":"9","previouslyFormattedCitation":"&lt;sup&gt;47&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9</w:t>
            </w:r>
            <w:r w:rsidRPr="00392197">
              <w:rPr>
                <w:rFonts w:ascii="Calibri" w:eastAsia="Times New Roman" w:hAnsi="Calibri" w:cs="Times New Roman"/>
                <w:color w:val="000000" w:themeColor="text1"/>
              </w:rPr>
              <w:fldChar w:fldCharType="end"/>
            </w:r>
          </w:p>
        </w:tc>
        <w:tc>
          <w:tcPr>
            <w:tcW w:w="757" w:type="dxa"/>
            <w:noWrap/>
            <w:hideMark/>
          </w:tcPr>
          <w:p w14:paraId="436E5CDE"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CRC</w:t>
            </w:r>
          </w:p>
          <w:p w14:paraId="7BED78BA" w14:textId="72AEF70E"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10.3892/or.2015.4108","ISSN":"1021-335X","author":[{"dropping-particle":"","family":"ROSA","given":"MARINA","non-dropping-particle":"DE","parse-names":false,"suffix":""},{"dropping-particle":"","family":"PACE","given":"UGO","non-dropping-particle":"","parse-names":false,"suffix":""},{"dropping-particle":"","family":"REGA","given":"DANIELA","non-dropping-particle":"","parse-names":false,"suffix":""},{"dropping-particle":"","family":"COSTABILE","given":"VALERIA","non-dropping-particle":"","parse-names":false,"suffix":""},{"dropping-particle":"","family":"DURATURO","given":"FRANCESCA","non-dropping-particle":"","parse-names":false,"suffix":""},{"dropping-particle":"","family":"IZZO","given":"PAOLA","non-dropping-particle":"","parse-names":false,"suffix":""},{"dropping-particle":"","family":"DELRIO","given":"PAOLO","non-dropping-particle":"","parse-names":false,"suffix":""}],"container-title":"Oncology Reports","id":"ITEM-1","issue":"3","issued":{"date-parts":[["2015","9"]]},"page":"1087-1096","title":"Genetics, diagnosis and management of colorectal cancer (Review)","type":"article-journal","volume":"34"},"uris":["http://www.mendeley.com/documents/?uuid=6ed5955f-d2ae-44d2-8eb2-440722655db7"]},{"id":"ITEM-2","itemData":{"ISSN":"1844-3117","PMID":"25713610","abstract":"The occurrence of colorectal cancer is related to the interaction that takes place at several levels between hereditary factors, environmental and individual ones. Understanding the molecular basis is important because it can identify factors that contribute to the initiation of development, maintenance of progression but also determine the response or resistance to antitumor agents. Understanding colorectal cancer at the molecular level has provided data used for genetic tests of family forms, it defined predictive markers used to select patients susceptible to certain forms of therapy and also for the development of molecular diagnostic tests to detect early non-invasive cancers.","author":[{"dropping-particle":"","family":"Munteanu","given":"I","non-dropping-particle":"","parse-names":false,"suffix":""},{"dropping-particle":"","family":"Mastalier","given":"B","non-dropping-particle":"","parse-names":false,"suffix":""}],"container-title":"Journal of medicine and life","id":"ITEM-2","issue":"4","issued":{"date-parts":[["0"]]},"page":"507-11","title":"Genetics of colorectal cancer.","type":"article-journal","volume":"7"},"uris":["http://www.mendeley.com/documents/?uuid=02f7be08-bfce-4511-96ef-fdae28bb6f46"]}],"mendeley":{"formattedCitation":"&lt;sup&gt;10,11&lt;/sup&gt;","plainTextFormattedCitation":"10,11","previouslyFormattedCitation":"&lt;sup&gt;48,49&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10,11</w:t>
            </w:r>
            <w:r w:rsidRPr="00392197">
              <w:rPr>
                <w:rFonts w:ascii="Calibri" w:eastAsia="Times New Roman" w:hAnsi="Calibri" w:cs="Times New Roman"/>
                <w:color w:val="000000" w:themeColor="text1"/>
              </w:rPr>
              <w:fldChar w:fldCharType="end"/>
            </w:r>
          </w:p>
        </w:tc>
        <w:tc>
          <w:tcPr>
            <w:tcW w:w="1134" w:type="dxa"/>
            <w:noWrap/>
            <w:hideMark/>
          </w:tcPr>
          <w:p w14:paraId="603D6DBB"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OrPh Ca</w:t>
            </w:r>
          </w:p>
          <w:p w14:paraId="2FA78A02" w14:textId="70647F3E"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10.1016/j.otc.2013.04.001","ISSN":"00306665","author":[{"dropping-particle":"","family":"Tan","given":"Marietta","non-dropping-particle":"","parse-names":false,"suffix":""},{"dropping-particle":"","family":"Myers","given":"Jeffrey N.","non-dropping-particle":"","parse-names":false,"suffix":""},{"dropping-particle":"","family":"Agrawal","given":"Nishant","non-dropping-particle":"","parse-names":false,"suffix":""}],"container-title":"Otolaryngologic Clinics of North America","id":"ITEM-1","issue":"4","issued":{"date-parts":[["2013","8"]]},"page":"545-566","title":"Oral Cavity and Oropharyngeal Squamous Cell Carcinoma Genomics","type":"article-journal","volume":"46"},"uris":["http://www.mendeley.com/documents/?uuid=c31a9278-2ed1-4b65-a298-449480b37e13"]}],"mendeley":{"formattedCitation":"&lt;sup&gt;12&lt;/sup&gt;","plainTextFormattedCitation":"12","previouslyFormattedCitation":"&lt;sup&gt;50&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12</w:t>
            </w:r>
            <w:r w:rsidRPr="00392197">
              <w:rPr>
                <w:rFonts w:ascii="Calibri" w:eastAsia="Times New Roman" w:hAnsi="Calibri" w:cs="Times New Roman"/>
                <w:color w:val="000000" w:themeColor="text1"/>
              </w:rPr>
              <w:fldChar w:fldCharType="end"/>
            </w:r>
          </w:p>
        </w:tc>
        <w:tc>
          <w:tcPr>
            <w:tcW w:w="1134" w:type="dxa"/>
            <w:noWrap/>
            <w:hideMark/>
          </w:tcPr>
          <w:p w14:paraId="496637DB"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Pros. Ca</w:t>
            </w:r>
          </w:p>
          <w:p w14:paraId="7179B12F" w14:textId="612CFC6E"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{"citationItems":[{"id":"ITEM-1","itemData":{"DOI":"10.1101/gad.1965810","ISSN":"0890-9369","author":[{"dropping-particle":"","family":"Shen","given":"M. M.","non-dropping-particle":"","parse-names":false,"suffix":""},{"dropping-particle":"","family":"Abate-Shen","given":"C.","non-dropping-particle":"","parse-names":false,"suffix":""}],"container-title":"Genes &amp; Development","id":"ITEM-1","issue":"18","issued":{"date-parts":[["2010","9","15"]]},"page":"1967-2000","title":"Molecular genetics of prostate cancer: new prospects for old challenges","type":"article-journal","volume":"24"},"uris":["http://www.mendeley.com/documents/?uuid=dc5798c2-fc33-4821-b7cf-535bd3177f90"]},{"id":"ITEM-2","itemData":{"DOI":"10.1002/ijc.10813","ISSN":"0020-7136","author":[{"dropping-particle":"","family":"Karan","given":"Dev","non-dropping-particle":"","parse-names":false,"suffix":""},{"dropping-particle":"","family":"Lin","given":"Ming-Fong","non-dropping-particle":"","parse-names":false,"suffix":""},{"dropping-particle":"","family":"Johansson","given":"Sonny L.","non-dropping-particle":"","parse-names":false,"suffix":""},{"dropping-particle":"","family":"Batra","given":"Surinder K.","non-dropping-particle":"","parse-names":false,"suffix":""}],"container-title":"International Journal of Cancer","id":"ITEM-2","issue":"3","issued":{"date-parts":[["2003","1","20"]]},"page":"285-293","title":"Current status of the molecular genetics of human prostatic adenocarcinomas","type":"article-journal","volume":"103"},"uris":["http://www.mendeley.com/documents/?uuid=1e170566-e773-4b3f-b373-3d4d5afa94f5"]}],"mendeley":{"formattedCitation":"&lt;sup&gt;13,14&lt;/sup&gt;","plainTextFormattedCitation":"13,14","previouslyFormattedCitation":"&lt;sup&gt;51,52&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13,14</w:t>
            </w:r>
            <w:r w:rsidRPr="00392197">
              <w:rPr>
                <w:rFonts w:ascii="Calibri" w:eastAsia="Times New Roman" w:hAnsi="Calibri" w:cs="Times New Roman"/>
                <w:color w:val="000000" w:themeColor="text1"/>
              </w:rPr>
              <w:fldChar w:fldCharType="end"/>
            </w:r>
          </w:p>
        </w:tc>
        <w:tc>
          <w:tcPr>
            <w:tcW w:w="850" w:type="dxa"/>
            <w:noWrap/>
            <w:hideMark/>
          </w:tcPr>
          <w:p w14:paraId="648F561A"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aps w:val="0"/>
                <w:color w:val="000000" w:themeColor="text1"/>
              </w:rPr>
            </w:pPr>
            <w:r w:rsidRPr="00392197">
              <w:rPr>
                <w:rFonts w:ascii="Calibri" w:eastAsia="Times New Roman" w:hAnsi="Calibri" w:cs="Times New Roman"/>
                <w:color w:val="000000" w:themeColor="text1"/>
              </w:rPr>
              <w:t>UB Ca</w:t>
            </w:r>
          </w:p>
          <w:p w14:paraId="69E7115D" w14:textId="414F74A0"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fldChar w:fldCharType="begin" w:fldLock="1"/>
            </w:r>
            <w:r w:rsidR="0041478D">
              <w:rPr>
                <w:rFonts w:ascii="Calibri" w:eastAsia="Times New Roman" w:hAnsi="Calibri" w:cs="Times New Roman"/>
                <w:color w:val="000000" w:themeColor="text1"/>
              </w:rPr>
              <w:instrText>ADDIN CSL_CITATION {"citationItems":[{"id":"ITEM-1","itemData":{"DOI":"10.1007/s12013-015-0574-z","ISSN":"1085-9195","author":[{"dropping-particle":"","family":"Zhang","given":"Xiaoying","non-dropping-particle":"","parse-names":false,"suffix":""},{"dropping-particle":"","family":"Zhang","given":"Yangde","non-dropping-particle":"","parse-names":false,"suffix":""}],"container-title":"Cell Biochemistry and Biophysics","id":"ITEM-1","issue":"1","issued":{"date-parts":[["2015","9","10"]]},"page":"65-69","title":"Bladder Cancer and Genetic Mutations","type":"article-journal","volume":"73"},"uris":["http://www.mendeley.com/documents/?uuid=da0c7515-368c-4326-9852-2866974debda"]}],"mendeley":{"formattedCitation":"&lt;sup&gt;15&lt;/sup&gt;","plainTextFormattedCitation":"15","previouslyFormattedCitation":"&lt;sup&gt;53&lt;/sup&gt;"},"properties":{"noteIndex":0},"schema":"https://github.com/citation-style-language/schema/raw/master/csl-citation.json"}</w:instrText>
            </w:r>
            <w:r w:rsidRPr="00392197">
              <w:rPr>
                <w:rFonts w:ascii="Calibri" w:eastAsia="Times New Roman" w:hAnsi="Calibri" w:cs="Times New Roman"/>
                <w:color w:val="000000" w:themeColor="text1"/>
              </w:rPr>
              <w:fldChar w:fldCharType="separate"/>
            </w:r>
            <w:r w:rsidR="0041478D" w:rsidRPr="0041478D">
              <w:rPr>
                <w:rFonts w:ascii="Calibri" w:eastAsia="Times New Roman" w:hAnsi="Calibri" w:cs="Times New Roman"/>
                <w:b w:val="0"/>
                <w:noProof/>
                <w:color w:val="000000" w:themeColor="text1"/>
                <w:vertAlign w:val="superscript"/>
              </w:rPr>
              <w:t>15</w:t>
            </w:r>
            <w:r w:rsidRPr="00392197">
              <w:rPr>
                <w:rFonts w:ascii="Calibri" w:eastAsia="Times New Roman" w:hAnsi="Calibri" w:cs="Times New Roman"/>
                <w:color w:val="000000" w:themeColor="text1"/>
              </w:rPr>
              <w:fldChar w:fldCharType="end"/>
            </w:r>
          </w:p>
        </w:tc>
        <w:tc>
          <w:tcPr>
            <w:tcW w:w="758" w:type="dxa"/>
            <w:noWrap/>
            <w:hideMark/>
          </w:tcPr>
          <w:p w14:paraId="60920888" w14:textId="77777777" w:rsidR="00453184" w:rsidRPr="00392197" w:rsidRDefault="00453184" w:rsidP="00C361D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Freq.</w:t>
            </w:r>
          </w:p>
        </w:tc>
      </w:tr>
      <w:tr w:rsidR="00453184" w:rsidRPr="00392197" w14:paraId="5750D0BB"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00A02C5F"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TP53</w:t>
            </w:r>
          </w:p>
        </w:tc>
        <w:tc>
          <w:tcPr>
            <w:tcW w:w="236" w:type="dxa"/>
            <w:noWrap/>
            <w:hideMark/>
          </w:tcPr>
          <w:p w14:paraId="1BD2ED3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429" w:type="dxa"/>
            <w:noWrap/>
            <w:hideMark/>
          </w:tcPr>
          <w:p w14:paraId="05E2188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4DD3494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3DAEBEE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73DFB75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635" w:type="dxa"/>
            <w:noWrap/>
            <w:hideMark/>
          </w:tcPr>
          <w:p w14:paraId="68890FE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903" w:type="dxa"/>
            <w:noWrap/>
            <w:hideMark/>
          </w:tcPr>
          <w:p w14:paraId="6D3494B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153940D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5079395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559AAD0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29EBE1B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594022D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8" w:type="dxa"/>
            <w:noWrap/>
            <w:hideMark/>
          </w:tcPr>
          <w:p w14:paraId="0C84A23E"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10</w:t>
            </w:r>
          </w:p>
        </w:tc>
      </w:tr>
      <w:tr w:rsidR="00453184" w:rsidRPr="00392197" w14:paraId="49A927EE"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52647637"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PTEN</w:t>
            </w:r>
          </w:p>
        </w:tc>
        <w:tc>
          <w:tcPr>
            <w:tcW w:w="236" w:type="dxa"/>
            <w:noWrap/>
            <w:hideMark/>
          </w:tcPr>
          <w:p w14:paraId="7318057A"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429" w:type="dxa"/>
            <w:noWrap/>
            <w:hideMark/>
          </w:tcPr>
          <w:p w14:paraId="7B970FE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6D4B0BFA"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7317730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65A49B1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76DEF9E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6325FB5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4329271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57" w:type="dxa"/>
            <w:noWrap/>
            <w:hideMark/>
          </w:tcPr>
          <w:p w14:paraId="1CCD139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027656B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10E9547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850" w:type="dxa"/>
            <w:noWrap/>
            <w:hideMark/>
          </w:tcPr>
          <w:p w14:paraId="6259421A"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58" w:type="dxa"/>
            <w:noWrap/>
            <w:hideMark/>
          </w:tcPr>
          <w:p w14:paraId="1549C221"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6</w:t>
            </w:r>
          </w:p>
        </w:tc>
      </w:tr>
      <w:tr w:rsidR="00453184" w:rsidRPr="00392197" w14:paraId="159FD3C2"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796DBB49"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MYC</w:t>
            </w:r>
          </w:p>
        </w:tc>
        <w:tc>
          <w:tcPr>
            <w:tcW w:w="236" w:type="dxa"/>
            <w:noWrap/>
            <w:hideMark/>
          </w:tcPr>
          <w:p w14:paraId="01B6D9F5"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5ED437F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0E74B04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2D9BED6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51EEB50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635" w:type="dxa"/>
            <w:noWrap/>
            <w:hideMark/>
          </w:tcPr>
          <w:p w14:paraId="4DA37AA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13A5197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3FCF621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11F3077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3372246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3CEBDB9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850" w:type="dxa"/>
            <w:noWrap/>
            <w:hideMark/>
          </w:tcPr>
          <w:p w14:paraId="3F53E49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58" w:type="dxa"/>
            <w:noWrap/>
            <w:hideMark/>
          </w:tcPr>
          <w:p w14:paraId="1075E35B"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5</w:t>
            </w:r>
          </w:p>
        </w:tc>
      </w:tr>
      <w:tr w:rsidR="00453184" w:rsidRPr="00392197" w14:paraId="3BCE3081"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2F8B67B5"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CDKN2A</w:t>
            </w:r>
          </w:p>
        </w:tc>
        <w:tc>
          <w:tcPr>
            <w:tcW w:w="236" w:type="dxa"/>
            <w:noWrap/>
            <w:hideMark/>
          </w:tcPr>
          <w:p w14:paraId="1216675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429" w:type="dxa"/>
            <w:noWrap/>
            <w:hideMark/>
          </w:tcPr>
          <w:p w14:paraId="0088481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07430E2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32838A13"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6" w:type="dxa"/>
            <w:noWrap/>
            <w:hideMark/>
          </w:tcPr>
          <w:p w14:paraId="7B54C2F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7DC79D6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6DEE9F2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765BBB0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3823207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36A120C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5E72C72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744E4B93"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8" w:type="dxa"/>
            <w:noWrap/>
            <w:hideMark/>
          </w:tcPr>
          <w:p w14:paraId="7AB639A4"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5</w:t>
            </w:r>
          </w:p>
        </w:tc>
      </w:tr>
      <w:tr w:rsidR="00453184" w:rsidRPr="00392197" w14:paraId="22689DEE"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70279C4D"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NOTCH1</w:t>
            </w:r>
          </w:p>
        </w:tc>
        <w:tc>
          <w:tcPr>
            <w:tcW w:w="236" w:type="dxa"/>
            <w:noWrap/>
            <w:hideMark/>
          </w:tcPr>
          <w:p w14:paraId="3AA43534"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4899CFD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4FC7AE5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3A7933A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6" w:type="dxa"/>
            <w:noWrap/>
            <w:hideMark/>
          </w:tcPr>
          <w:p w14:paraId="56BE550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635" w:type="dxa"/>
            <w:noWrap/>
            <w:hideMark/>
          </w:tcPr>
          <w:p w14:paraId="5ED1719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903" w:type="dxa"/>
            <w:noWrap/>
            <w:hideMark/>
          </w:tcPr>
          <w:p w14:paraId="2400A67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47FE3A6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7F137D3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29B6EA1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693E4E3D"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164C5F9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0AFCE1A1"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4</w:t>
            </w:r>
          </w:p>
        </w:tc>
      </w:tr>
      <w:tr w:rsidR="00453184" w:rsidRPr="00392197" w14:paraId="19FAA314"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227F6F08"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RB1</w:t>
            </w:r>
          </w:p>
        </w:tc>
        <w:tc>
          <w:tcPr>
            <w:tcW w:w="236" w:type="dxa"/>
            <w:noWrap/>
            <w:hideMark/>
          </w:tcPr>
          <w:p w14:paraId="0DD348E5"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7DA03B8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0717943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2E9CC47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4F2ABB1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3558265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11C4A2C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3FA5F38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5C7C5B3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29C3DFF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5A72D24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01FAC53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8" w:type="dxa"/>
            <w:noWrap/>
            <w:hideMark/>
          </w:tcPr>
          <w:p w14:paraId="0C6BADE3"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3</w:t>
            </w:r>
          </w:p>
        </w:tc>
      </w:tr>
      <w:tr w:rsidR="00453184" w:rsidRPr="00392197" w14:paraId="57EE58EB"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3F4EF6EB"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BRAF</w:t>
            </w:r>
          </w:p>
        </w:tc>
        <w:tc>
          <w:tcPr>
            <w:tcW w:w="236" w:type="dxa"/>
            <w:noWrap/>
            <w:hideMark/>
          </w:tcPr>
          <w:p w14:paraId="53637CF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429" w:type="dxa"/>
            <w:noWrap/>
            <w:hideMark/>
          </w:tcPr>
          <w:p w14:paraId="2ABDB49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81" w:type="dxa"/>
            <w:noWrap/>
            <w:hideMark/>
          </w:tcPr>
          <w:p w14:paraId="4AC6132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2BD949C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49F15C1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4B66F30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4785A25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6CB0CA4D"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554DD3B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25C1364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004B3CB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6165484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0592485A"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3</w:t>
            </w:r>
          </w:p>
        </w:tc>
      </w:tr>
      <w:tr w:rsidR="00453184" w:rsidRPr="00392197" w14:paraId="7874342B"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6DD6205C"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MLH1</w:t>
            </w:r>
          </w:p>
        </w:tc>
        <w:tc>
          <w:tcPr>
            <w:tcW w:w="236" w:type="dxa"/>
            <w:noWrap/>
            <w:hideMark/>
          </w:tcPr>
          <w:p w14:paraId="4AA46654"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1FF6769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4D2F482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29F0ECB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1AB5364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34F0959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0CA894F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3A683F1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57" w:type="dxa"/>
            <w:noWrap/>
            <w:hideMark/>
          </w:tcPr>
          <w:p w14:paraId="4C485FD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0F92A8A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085DFDA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18D9568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64D91E81"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3</w:t>
            </w:r>
          </w:p>
        </w:tc>
      </w:tr>
      <w:tr w:rsidR="00453184" w:rsidRPr="00392197" w14:paraId="3F3F3F36"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1D0258C0"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ATM</w:t>
            </w:r>
          </w:p>
        </w:tc>
        <w:tc>
          <w:tcPr>
            <w:tcW w:w="236" w:type="dxa"/>
            <w:noWrap/>
            <w:hideMark/>
          </w:tcPr>
          <w:p w14:paraId="7E136C6D"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4A33980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385BCC9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34C3748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4959113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78F6461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1AEBDBC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655AA7F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61EAD70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0947B34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1EB6A50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5FE5FAB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14D15F3C"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3</w:t>
            </w:r>
          </w:p>
        </w:tc>
      </w:tr>
      <w:tr w:rsidR="00453184" w:rsidRPr="00392197" w14:paraId="77431B33"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7868E038"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EGFR</w:t>
            </w:r>
          </w:p>
        </w:tc>
        <w:tc>
          <w:tcPr>
            <w:tcW w:w="236" w:type="dxa"/>
            <w:noWrap/>
            <w:hideMark/>
          </w:tcPr>
          <w:p w14:paraId="6A6EA9DF"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3277AEA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3473D99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5B6F540A"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58F7E9D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39D2874A"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5C9D05D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0EF5C86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57" w:type="dxa"/>
            <w:noWrap/>
            <w:hideMark/>
          </w:tcPr>
          <w:p w14:paraId="06169D5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2C9FF99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1036D28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223823A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5EBC422A"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3</w:t>
            </w:r>
          </w:p>
        </w:tc>
      </w:tr>
      <w:tr w:rsidR="00453184" w:rsidRPr="00392197" w14:paraId="21ED3B67"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64775A7A"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CDH1</w:t>
            </w:r>
          </w:p>
        </w:tc>
        <w:tc>
          <w:tcPr>
            <w:tcW w:w="236" w:type="dxa"/>
            <w:noWrap/>
            <w:hideMark/>
          </w:tcPr>
          <w:p w14:paraId="51D6EA56"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3CE8D44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4B24D5B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5F27246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7BAD086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3827D74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6B7A3E1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4BADECC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57" w:type="dxa"/>
            <w:noWrap/>
            <w:hideMark/>
          </w:tcPr>
          <w:p w14:paraId="6A60524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0C42119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5DA8A6FD"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2A1B246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6E508438"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7157937A"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250C96FE"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ARID1A</w:t>
            </w:r>
          </w:p>
        </w:tc>
        <w:tc>
          <w:tcPr>
            <w:tcW w:w="236" w:type="dxa"/>
            <w:noWrap/>
            <w:hideMark/>
          </w:tcPr>
          <w:p w14:paraId="6F094711"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51F84B3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3D6B4AF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5826A29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6" w:type="dxa"/>
            <w:noWrap/>
            <w:hideMark/>
          </w:tcPr>
          <w:p w14:paraId="5D39618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7D5FB25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5B48965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0ABC0AA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6AF279D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73393BF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75BF681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4B09656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428487B9"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60C12231"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47C1B644"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BCR-ABL1</w:t>
            </w:r>
          </w:p>
        </w:tc>
        <w:tc>
          <w:tcPr>
            <w:tcW w:w="236" w:type="dxa"/>
            <w:noWrap/>
            <w:hideMark/>
          </w:tcPr>
          <w:p w14:paraId="6D7A2DC9"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033B651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18A2F55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3EAB8C8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563A500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635" w:type="dxa"/>
            <w:noWrap/>
            <w:hideMark/>
          </w:tcPr>
          <w:p w14:paraId="161C557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903" w:type="dxa"/>
            <w:noWrap/>
            <w:hideMark/>
          </w:tcPr>
          <w:p w14:paraId="5806751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19" w:type="dxa"/>
            <w:noWrap/>
            <w:hideMark/>
          </w:tcPr>
          <w:p w14:paraId="0AC5DCA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63AFA7F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64CBCE1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79AEA2B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3BA46C0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2DD1B2B2"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3950E952"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6C498F3C"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B2M</w:t>
            </w:r>
          </w:p>
        </w:tc>
        <w:tc>
          <w:tcPr>
            <w:tcW w:w="236" w:type="dxa"/>
            <w:noWrap/>
            <w:hideMark/>
          </w:tcPr>
          <w:p w14:paraId="5D08DE0A"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383B1F8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4F35DF4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60C3811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473BD7B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635" w:type="dxa"/>
            <w:noWrap/>
            <w:hideMark/>
          </w:tcPr>
          <w:p w14:paraId="5DD0A16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27CD2FF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05B68D2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4752946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4614B8F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2409C63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2606BD1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6B911EA1"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6DC914E2"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7013B8BE"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BRCA1</w:t>
            </w:r>
          </w:p>
        </w:tc>
        <w:tc>
          <w:tcPr>
            <w:tcW w:w="236" w:type="dxa"/>
            <w:noWrap/>
            <w:hideMark/>
          </w:tcPr>
          <w:p w14:paraId="3FA33594"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734B3F9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28D4438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722E5AD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775FE60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3508D1E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2E6903F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0DC95F3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0157787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13B4FD6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216AAE5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850" w:type="dxa"/>
            <w:noWrap/>
            <w:hideMark/>
          </w:tcPr>
          <w:p w14:paraId="14AF14FD"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58" w:type="dxa"/>
            <w:noWrap/>
            <w:hideMark/>
          </w:tcPr>
          <w:p w14:paraId="1BC4F3C9"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29CC7DD1"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563326C3"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REL</w:t>
            </w:r>
          </w:p>
        </w:tc>
        <w:tc>
          <w:tcPr>
            <w:tcW w:w="236" w:type="dxa"/>
            <w:noWrap/>
            <w:hideMark/>
          </w:tcPr>
          <w:p w14:paraId="0362E46E"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03E1FE6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0FEA1A0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22F5392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349DCF3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635" w:type="dxa"/>
            <w:noWrap/>
            <w:hideMark/>
          </w:tcPr>
          <w:p w14:paraId="2522CF6A"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437BE0F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027213D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6D6FC3B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73B5496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0CCE159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591F109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17CCE07B"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33EEE9D6"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25037812"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MSH2</w:t>
            </w:r>
          </w:p>
        </w:tc>
        <w:tc>
          <w:tcPr>
            <w:tcW w:w="236" w:type="dxa"/>
            <w:noWrap/>
            <w:hideMark/>
          </w:tcPr>
          <w:p w14:paraId="11220669"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615CA2A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39D845C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38F9686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5326854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07D4543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77B027E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3BF8E71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57" w:type="dxa"/>
            <w:noWrap/>
            <w:hideMark/>
          </w:tcPr>
          <w:p w14:paraId="56C76E4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3BDF31E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7C89372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3716297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68418096"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156897EC"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6F8D8D6F"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RUNX1</w:t>
            </w:r>
          </w:p>
        </w:tc>
        <w:tc>
          <w:tcPr>
            <w:tcW w:w="236" w:type="dxa"/>
            <w:noWrap/>
            <w:hideMark/>
          </w:tcPr>
          <w:p w14:paraId="2477BB3C"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2056B37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392F4DF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66CFF5D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531740E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3E20B04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903" w:type="dxa"/>
            <w:noWrap/>
            <w:hideMark/>
          </w:tcPr>
          <w:p w14:paraId="0718A5D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19" w:type="dxa"/>
            <w:noWrap/>
            <w:hideMark/>
          </w:tcPr>
          <w:p w14:paraId="579FB69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252DD97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6AFC6CB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70E2A08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41367B4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6223E081"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24C0BA53"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6898F127"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NFKBIE</w:t>
            </w:r>
          </w:p>
        </w:tc>
        <w:tc>
          <w:tcPr>
            <w:tcW w:w="236" w:type="dxa"/>
            <w:noWrap/>
            <w:hideMark/>
          </w:tcPr>
          <w:p w14:paraId="4E685CC1"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14BB2E0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6BE2B60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736E672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6D778AE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635" w:type="dxa"/>
            <w:noWrap/>
            <w:hideMark/>
          </w:tcPr>
          <w:p w14:paraId="1E1863A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28B4169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1FD3BB0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18BA03E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3333CBD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6520EA8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3AD1FF9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2546B5FF"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1DC6672B"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10B8CEF5"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TERT</w:t>
            </w:r>
          </w:p>
        </w:tc>
        <w:tc>
          <w:tcPr>
            <w:tcW w:w="236" w:type="dxa"/>
            <w:noWrap/>
            <w:hideMark/>
          </w:tcPr>
          <w:p w14:paraId="1CE84773"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429" w:type="dxa"/>
            <w:noWrap/>
            <w:hideMark/>
          </w:tcPr>
          <w:p w14:paraId="1609D45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81" w:type="dxa"/>
            <w:noWrap/>
            <w:hideMark/>
          </w:tcPr>
          <w:p w14:paraId="1223744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7530B8D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6930AD6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0B7A492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6D56129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1A153E5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3C05950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3D3400D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0F103DC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7D1DB0D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8" w:type="dxa"/>
            <w:noWrap/>
            <w:hideMark/>
          </w:tcPr>
          <w:p w14:paraId="7715E385"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690DA01C"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5F70AE37"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PIK3CA</w:t>
            </w:r>
          </w:p>
        </w:tc>
        <w:tc>
          <w:tcPr>
            <w:tcW w:w="236" w:type="dxa"/>
            <w:noWrap/>
            <w:hideMark/>
          </w:tcPr>
          <w:p w14:paraId="00D86CC5"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09D16D8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4264859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25663FF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5EB004B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21B216E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48268D9D"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0A13A21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2E3F29D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48343DB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1730B34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425A992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28B2A917"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10B322C0"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4AC43A52"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HRAS</w:t>
            </w:r>
          </w:p>
        </w:tc>
        <w:tc>
          <w:tcPr>
            <w:tcW w:w="236" w:type="dxa"/>
            <w:noWrap/>
            <w:hideMark/>
          </w:tcPr>
          <w:p w14:paraId="64FE480F"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0A1F535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6ECD466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541221A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56A0D31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72CDE1C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5F5B8EB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56800E2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09ACB78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420A88F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293474E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850" w:type="dxa"/>
            <w:noWrap/>
            <w:hideMark/>
          </w:tcPr>
          <w:p w14:paraId="5C754BE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8" w:type="dxa"/>
            <w:noWrap/>
            <w:hideMark/>
          </w:tcPr>
          <w:p w14:paraId="1AECFD03"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6975C831"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4348DE3E"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BRCA2</w:t>
            </w:r>
          </w:p>
        </w:tc>
        <w:tc>
          <w:tcPr>
            <w:tcW w:w="236" w:type="dxa"/>
            <w:noWrap/>
            <w:hideMark/>
          </w:tcPr>
          <w:p w14:paraId="5D82B6BB"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7AA9055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413EB98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1E60C25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010D64D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79E1898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5C65031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2A33631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106D40E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4A5E8AD8"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2801668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850" w:type="dxa"/>
            <w:noWrap/>
            <w:hideMark/>
          </w:tcPr>
          <w:p w14:paraId="58C6E54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58" w:type="dxa"/>
            <w:noWrap/>
            <w:hideMark/>
          </w:tcPr>
          <w:p w14:paraId="61573414"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57EB5C7D"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668DF357"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XPO1</w:t>
            </w:r>
          </w:p>
        </w:tc>
        <w:tc>
          <w:tcPr>
            <w:tcW w:w="236" w:type="dxa"/>
            <w:noWrap/>
            <w:hideMark/>
          </w:tcPr>
          <w:p w14:paraId="6EBD2DE3"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6A96632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2666115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34B4892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0CFE86B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635" w:type="dxa"/>
            <w:noWrap/>
            <w:hideMark/>
          </w:tcPr>
          <w:p w14:paraId="1B83FE3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31BD547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475EE93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7" w:type="dxa"/>
            <w:noWrap/>
            <w:hideMark/>
          </w:tcPr>
          <w:p w14:paraId="1F25F0D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0D947C3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146DE7E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5765686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6863CE39"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73F996D0"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7B4803F1"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BAP1</w:t>
            </w:r>
          </w:p>
        </w:tc>
        <w:tc>
          <w:tcPr>
            <w:tcW w:w="236" w:type="dxa"/>
            <w:noWrap/>
            <w:hideMark/>
          </w:tcPr>
          <w:p w14:paraId="14CC414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429" w:type="dxa"/>
            <w:noWrap/>
            <w:hideMark/>
          </w:tcPr>
          <w:p w14:paraId="7AF0AC5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7E1048E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51C9312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2E6FE61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15DB8F73"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231AE90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5A695DA5"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173A691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36DDA11F"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6F7AE3F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5888ACC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0E587E7F"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7F01E6A0"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491BB11C"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lastRenderedPageBreak/>
              <w:t>STK11/LKB1</w:t>
            </w:r>
          </w:p>
        </w:tc>
        <w:tc>
          <w:tcPr>
            <w:tcW w:w="1665" w:type="dxa"/>
            <w:gridSpan w:val="2"/>
            <w:noWrap/>
            <w:hideMark/>
          </w:tcPr>
          <w:p w14:paraId="46664947"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81" w:type="dxa"/>
            <w:noWrap/>
            <w:hideMark/>
          </w:tcPr>
          <w:p w14:paraId="5D15F4E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2E61CA3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78968613"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41A283A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12A1AE8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19" w:type="dxa"/>
            <w:noWrap/>
            <w:hideMark/>
          </w:tcPr>
          <w:p w14:paraId="5FB068F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757" w:type="dxa"/>
            <w:noWrap/>
            <w:hideMark/>
          </w:tcPr>
          <w:p w14:paraId="0DB7F7B2"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1134" w:type="dxa"/>
            <w:noWrap/>
            <w:hideMark/>
          </w:tcPr>
          <w:p w14:paraId="65A615F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134" w:type="dxa"/>
            <w:noWrap/>
            <w:hideMark/>
          </w:tcPr>
          <w:p w14:paraId="2FA5AEAD"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022AE5B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42BA4550"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142070CE"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06F993CC"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EZH2</w:t>
            </w:r>
          </w:p>
        </w:tc>
        <w:tc>
          <w:tcPr>
            <w:tcW w:w="236" w:type="dxa"/>
            <w:noWrap/>
            <w:hideMark/>
          </w:tcPr>
          <w:p w14:paraId="2FA79C67"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4C27E419"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3166744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42871EB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536" w:type="dxa"/>
            <w:noWrap/>
            <w:hideMark/>
          </w:tcPr>
          <w:p w14:paraId="54B2D77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6C00701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67D8A187"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7CB9B864"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7BE3DA4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6F3A8D1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3444AD5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850" w:type="dxa"/>
            <w:noWrap/>
            <w:hideMark/>
          </w:tcPr>
          <w:p w14:paraId="49B9A1D1"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758" w:type="dxa"/>
            <w:noWrap/>
            <w:hideMark/>
          </w:tcPr>
          <w:p w14:paraId="71819AE6"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2EB009FC"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3B943D11"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TET2</w:t>
            </w:r>
          </w:p>
        </w:tc>
        <w:tc>
          <w:tcPr>
            <w:tcW w:w="236" w:type="dxa"/>
            <w:noWrap/>
            <w:hideMark/>
          </w:tcPr>
          <w:p w14:paraId="40F791CA"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74A0B956"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54F318F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5" w:type="dxa"/>
            <w:noWrap/>
            <w:hideMark/>
          </w:tcPr>
          <w:p w14:paraId="0D11BE55"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6" w:type="dxa"/>
            <w:noWrap/>
            <w:hideMark/>
          </w:tcPr>
          <w:p w14:paraId="7CBF8D5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5B9ECB07"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903" w:type="dxa"/>
            <w:noWrap/>
            <w:hideMark/>
          </w:tcPr>
          <w:p w14:paraId="75DFA5D4"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19" w:type="dxa"/>
            <w:noWrap/>
            <w:hideMark/>
          </w:tcPr>
          <w:p w14:paraId="1FE9B180"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634B3C29"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584FE7B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0C79CDE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37DD9A2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4B704FBE"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4B48F357" w14:textId="77777777" w:rsidTr="00C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327BD9D8"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GATA3</w:t>
            </w:r>
          </w:p>
        </w:tc>
        <w:tc>
          <w:tcPr>
            <w:tcW w:w="236" w:type="dxa"/>
            <w:noWrap/>
            <w:hideMark/>
          </w:tcPr>
          <w:p w14:paraId="54611061" w14:textId="77777777" w:rsidR="00453184" w:rsidRPr="00392197" w:rsidRDefault="00453184" w:rsidP="00C361D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2ABE3C1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81" w:type="dxa"/>
            <w:noWrap/>
            <w:hideMark/>
          </w:tcPr>
          <w:p w14:paraId="5F13486B"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35" w:type="dxa"/>
            <w:noWrap/>
            <w:hideMark/>
          </w:tcPr>
          <w:p w14:paraId="01CE0E76"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536" w:type="dxa"/>
            <w:noWrap/>
            <w:hideMark/>
          </w:tcPr>
          <w:p w14:paraId="590D735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635" w:type="dxa"/>
            <w:noWrap/>
            <w:hideMark/>
          </w:tcPr>
          <w:p w14:paraId="740E024E"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p>
        </w:tc>
        <w:tc>
          <w:tcPr>
            <w:tcW w:w="903" w:type="dxa"/>
            <w:noWrap/>
            <w:hideMark/>
          </w:tcPr>
          <w:p w14:paraId="587B624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1076D01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391A7520"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470C13E2"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356394FA"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4857066C" w14:textId="77777777" w:rsidR="00453184" w:rsidRPr="00392197" w:rsidRDefault="00453184" w:rsidP="00C36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p>
        </w:tc>
        <w:tc>
          <w:tcPr>
            <w:tcW w:w="758" w:type="dxa"/>
            <w:noWrap/>
            <w:hideMark/>
          </w:tcPr>
          <w:p w14:paraId="4D9E41A3" w14:textId="77777777" w:rsidR="00453184" w:rsidRPr="00392197" w:rsidRDefault="00453184" w:rsidP="00C361D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r w:rsidR="00453184" w:rsidRPr="00392197" w14:paraId="2DBD6800" w14:textId="77777777" w:rsidTr="00C361D3">
        <w:trPr>
          <w:trHeight w:val="300"/>
        </w:trPr>
        <w:tc>
          <w:tcPr>
            <w:cnfStyle w:val="001000000000" w:firstRow="0" w:lastRow="0" w:firstColumn="1" w:lastColumn="0" w:oddVBand="0" w:evenVBand="0" w:oddHBand="0" w:evenHBand="0" w:firstRowFirstColumn="0" w:firstRowLastColumn="0" w:lastRowFirstColumn="0" w:lastRowLastColumn="0"/>
            <w:tcW w:w="986" w:type="dxa"/>
            <w:noWrap/>
            <w:hideMark/>
          </w:tcPr>
          <w:p w14:paraId="48AC2460" w14:textId="77777777" w:rsidR="00453184" w:rsidRPr="00392197" w:rsidRDefault="00453184" w:rsidP="00C361D3">
            <w:pPr>
              <w:spacing w:before="0" w:after="0" w:line="240" w:lineRule="auto"/>
              <w:rPr>
                <w:rFonts w:ascii="Calibri" w:eastAsia="Times New Roman" w:hAnsi="Calibri" w:cs="Times New Roman"/>
                <w:color w:val="000000" w:themeColor="text1"/>
              </w:rPr>
            </w:pPr>
            <w:r w:rsidRPr="00392197">
              <w:rPr>
                <w:rFonts w:ascii="Calibri" w:eastAsia="Times New Roman" w:hAnsi="Calibri" w:cs="Times New Roman"/>
                <w:color w:val="000000" w:themeColor="text1"/>
              </w:rPr>
              <w:t>AKT1</w:t>
            </w:r>
          </w:p>
        </w:tc>
        <w:tc>
          <w:tcPr>
            <w:tcW w:w="236" w:type="dxa"/>
            <w:noWrap/>
            <w:hideMark/>
          </w:tcPr>
          <w:p w14:paraId="0EFC5391" w14:textId="77777777" w:rsidR="00453184" w:rsidRPr="00392197" w:rsidRDefault="00453184" w:rsidP="00C361D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1429" w:type="dxa"/>
            <w:noWrap/>
            <w:hideMark/>
          </w:tcPr>
          <w:p w14:paraId="011E893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81" w:type="dxa"/>
            <w:noWrap/>
            <w:hideMark/>
          </w:tcPr>
          <w:p w14:paraId="0B83BF68"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p>
        </w:tc>
        <w:tc>
          <w:tcPr>
            <w:tcW w:w="535" w:type="dxa"/>
            <w:noWrap/>
            <w:hideMark/>
          </w:tcPr>
          <w:p w14:paraId="5852AEE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36" w:type="dxa"/>
            <w:noWrap/>
            <w:hideMark/>
          </w:tcPr>
          <w:p w14:paraId="770BD89F"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635" w:type="dxa"/>
            <w:noWrap/>
            <w:hideMark/>
          </w:tcPr>
          <w:p w14:paraId="1C823D0E"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3" w:type="dxa"/>
            <w:noWrap/>
            <w:hideMark/>
          </w:tcPr>
          <w:p w14:paraId="4B6D0E23"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519" w:type="dxa"/>
            <w:noWrap/>
            <w:hideMark/>
          </w:tcPr>
          <w:p w14:paraId="31C43C9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757" w:type="dxa"/>
            <w:noWrap/>
            <w:hideMark/>
          </w:tcPr>
          <w:p w14:paraId="50545713"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4E9D49EB"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134" w:type="dxa"/>
            <w:noWrap/>
            <w:hideMark/>
          </w:tcPr>
          <w:p w14:paraId="0329AA4C"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850" w:type="dxa"/>
            <w:noWrap/>
            <w:hideMark/>
          </w:tcPr>
          <w:p w14:paraId="7076C4A1" w14:textId="77777777" w:rsidR="00453184" w:rsidRPr="00392197" w:rsidRDefault="00453184" w:rsidP="00C361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x</w:t>
            </w:r>
          </w:p>
        </w:tc>
        <w:tc>
          <w:tcPr>
            <w:tcW w:w="758" w:type="dxa"/>
            <w:noWrap/>
            <w:hideMark/>
          </w:tcPr>
          <w:p w14:paraId="176235FA" w14:textId="77777777" w:rsidR="00453184" w:rsidRPr="00392197" w:rsidRDefault="00453184" w:rsidP="00C361D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rPr>
            </w:pPr>
            <w:r w:rsidRPr="00392197">
              <w:rPr>
                <w:rFonts w:ascii="Calibri" w:eastAsia="Times New Roman" w:hAnsi="Calibri" w:cs="Times New Roman"/>
                <w:color w:val="000000" w:themeColor="text1"/>
              </w:rPr>
              <w:t>2</w:t>
            </w:r>
          </w:p>
        </w:tc>
      </w:tr>
    </w:tbl>
    <w:p w14:paraId="564B99F8" w14:textId="73E3AE61" w:rsidR="00453184" w:rsidRDefault="00453184" w:rsidP="00453184">
      <w:pPr>
        <w:rPr>
          <w:rFonts w:ascii="Book Antiqua" w:hAnsi="Book Antiqua"/>
          <w:color w:val="000000" w:themeColor="text1"/>
        </w:rPr>
      </w:pPr>
      <w:r w:rsidRPr="00392197">
        <w:rPr>
          <w:rFonts w:ascii="Book Antiqua" w:hAnsi="Book Antiqua"/>
          <w:color w:val="000000" w:themeColor="text1"/>
        </w:rPr>
        <w:t>Acronyms</w:t>
      </w:r>
      <w:r>
        <w:rPr>
          <w:rFonts w:ascii="Book Antiqua" w:hAnsi="Book Antiqua"/>
          <w:color w:val="000000" w:themeColor="text1"/>
        </w:rPr>
        <w:t>;</w:t>
      </w:r>
      <w:r w:rsidRPr="00392197">
        <w:rPr>
          <w:rFonts w:ascii="Book Antiqua" w:hAnsi="Book Antiqua"/>
          <w:color w:val="000000" w:themeColor="text1"/>
        </w:rPr>
        <w:t xml:space="preserve"> SK. MEL.</w:t>
      </w:r>
      <w:r>
        <w:rPr>
          <w:rFonts w:ascii="Book Antiqua" w:hAnsi="Book Antiqua"/>
          <w:color w:val="000000" w:themeColor="text1"/>
        </w:rPr>
        <w:t>:</w:t>
      </w:r>
      <w:r w:rsidRPr="00392197">
        <w:rPr>
          <w:rFonts w:ascii="Book Antiqua" w:hAnsi="Book Antiqua"/>
          <w:color w:val="000000" w:themeColor="text1"/>
        </w:rPr>
        <w:t xml:space="preserve"> Skin Melanoma, OSTEOS.</w:t>
      </w:r>
      <w:r>
        <w:rPr>
          <w:rFonts w:ascii="Book Antiqua" w:hAnsi="Book Antiqua"/>
          <w:color w:val="000000" w:themeColor="text1"/>
        </w:rPr>
        <w:t>:</w:t>
      </w:r>
      <w:r w:rsidRPr="00392197">
        <w:rPr>
          <w:rFonts w:ascii="Book Antiqua" w:hAnsi="Book Antiqua"/>
          <w:color w:val="000000" w:themeColor="text1"/>
        </w:rPr>
        <w:t xml:space="preserve"> Osteosarcoma, DLBCL</w:t>
      </w:r>
      <w:r>
        <w:rPr>
          <w:rFonts w:ascii="Book Antiqua" w:hAnsi="Book Antiqua"/>
          <w:color w:val="000000" w:themeColor="text1"/>
        </w:rPr>
        <w:t>:</w:t>
      </w:r>
      <w:r w:rsidRPr="00392197">
        <w:rPr>
          <w:rFonts w:ascii="Book Antiqua" w:hAnsi="Book Antiqua"/>
          <w:color w:val="000000" w:themeColor="text1"/>
        </w:rPr>
        <w:t xml:space="preserve"> Diffuse large B-cell lymphoma, HL</w:t>
      </w:r>
      <w:r>
        <w:rPr>
          <w:rFonts w:ascii="Book Antiqua" w:hAnsi="Book Antiqua"/>
          <w:color w:val="000000" w:themeColor="text1"/>
        </w:rPr>
        <w:t>:</w:t>
      </w:r>
      <w:r w:rsidRPr="00392197">
        <w:rPr>
          <w:rFonts w:ascii="Book Antiqua" w:hAnsi="Book Antiqua"/>
          <w:color w:val="000000" w:themeColor="text1"/>
        </w:rPr>
        <w:t xml:space="preserve"> Hodgkin lymphoma, ALL</w:t>
      </w:r>
      <w:r>
        <w:rPr>
          <w:rFonts w:ascii="Book Antiqua" w:hAnsi="Book Antiqua"/>
          <w:color w:val="000000" w:themeColor="text1"/>
        </w:rPr>
        <w:t>:</w:t>
      </w:r>
      <w:r w:rsidRPr="00392197">
        <w:rPr>
          <w:rFonts w:ascii="Book Antiqua" w:hAnsi="Book Antiqua"/>
          <w:color w:val="000000" w:themeColor="text1"/>
        </w:rPr>
        <w:t xml:space="preserve"> Acute lymphoblastic leukemia, AML</w:t>
      </w:r>
      <w:r>
        <w:rPr>
          <w:rFonts w:ascii="Book Antiqua" w:hAnsi="Book Antiqua"/>
          <w:color w:val="000000" w:themeColor="text1"/>
        </w:rPr>
        <w:t>:</w:t>
      </w:r>
      <w:r w:rsidRPr="00392197">
        <w:rPr>
          <w:rFonts w:ascii="Book Antiqua" w:hAnsi="Book Antiqua"/>
          <w:color w:val="000000" w:themeColor="text1"/>
        </w:rPr>
        <w:t xml:space="preserve"> BR. CA.</w:t>
      </w:r>
      <w:r>
        <w:rPr>
          <w:rFonts w:ascii="Book Antiqua" w:hAnsi="Book Antiqua"/>
          <w:color w:val="000000" w:themeColor="text1"/>
        </w:rPr>
        <w:t>:</w:t>
      </w:r>
      <w:r w:rsidRPr="00392197">
        <w:rPr>
          <w:rFonts w:ascii="Book Antiqua" w:hAnsi="Book Antiqua"/>
          <w:color w:val="000000" w:themeColor="text1"/>
        </w:rPr>
        <w:t xml:space="preserve"> Breast Cancer,  CLL</w:t>
      </w:r>
      <w:r>
        <w:rPr>
          <w:rFonts w:ascii="Book Antiqua" w:hAnsi="Book Antiqua"/>
          <w:color w:val="000000" w:themeColor="text1"/>
        </w:rPr>
        <w:t>:</w:t>
      </w:r>
      <w:r w:rsidRPr="00392197">
        <w:rPr>
          <w:color w:val="000000" w:themeColor="text1"/>
        </w:rPr>
        <w:t xml:space="preserve">  </w:t>
      </w:r>
      <w:r w:rsidRPr="00392197">
        <w:rPr>
          <w:rFonts w:ascii="Book Antiqua" w:hAnsi="Book Antiqua"/>
          <w:color w:val="000000" w:themeColor="text1"/>
        </w:rPr>
        <w:t>Chronic lymphocytic leukemia, CRC</w:t>
      </w:r>
      <w:r>
        <w:rPr>
          <w:rFonts w:ascii="Book Antiqua" w:hAnsi="Book Antiqua"/>
          <w:color w:val="000000" w:themeColor="text1"/>
        </w:rPr>
        <w:t>:</w:t>
      </w:r>
      <w:r w:rsidRPr="00392197">
        <w:rPr>
          <w:rFonts w:ascii="Book Antiqua" w:hAnsi="Book Antiqua"/>
          <w:color w:val="000000" w:themeColor="text1"/>
        </w:rPr>
        <w:t xml:space="preserve"> Colorectal cancer, ORPH CA</w:t>
      </w:r>
      <w:r>
        <w:rPr>
          <w:rFonts w:ascii="Book Antiqua" w:hAnsi="Book Antiqua"/>
          <w:color w:val="000000" w:themeColor="text1"/>
        </w:rPr>
        <w:t>:</w:t>
      </w:r>
      <w:r w:rsidRPr="00392197">
        <w:rPr>
          <w:rFonts w:ascii="Book Antiqua" w:hAnsi="Book Antiqua"/>
          <w:color w:val="000000" w:themeColor="text1"/>
        </w:rPr>
        <w:t xml:space="preserve"> Oropharyngeal carcinoma, PROS. CA</w:t>
      </w:r>
      <w:r>
        <w:rPr>
          <w:rFonts w:ascii="Book Antiqua" w:hAnsi="Book Antiqua"/>
          <w:color w:val="000000" w:themeColor="text1"/>
        </w:rPr>
        <w:t>:</w:t>
      </w:r>
      <w:r w:rsidRPr="00392197">
        <w:rPr>
          <w:rFonts w:ascii="Book Antiqua" w:hAnsi="Book Antiqua"/>
          <w:color w:val="000000" w:themeColor="text1"/>
        </w:rPr>
        <w:t xml:space="preserve"> Prostate carcinoma , UB CA</w:t>
      </w:r>
      <w:r>
        <w:rPr>
          <w:rFonts w:ascii="Book Antiqua" w:hAnsi="Book Antiqua"/>
          <w:color w:val="000000" w:themeColor="text1"/>
        </w:rPr>
        <w:t>:</w:t>
      </w:r>
      <w:r w:rsidRPr="00392197">
        <w:rPr>
          <w:rFonts w:ascii="Book Antiqua" w:hAnsi="Book Antiqua"/>
          <w:color w:val="000000" w:themeColor="text1"/>
        </w:rPr>
        <w:t xml:space="preserve"> Urinary bladder carcinoma, FREQ.</w:t>
      </w:r>
      <w:r>
        <w:rPr>
          <w:rFonts w:ascii="Book Antiqua" w:hAnsi="Book Antiqua"/>
          <w:color w:val="000000" w:themeColor="text1"/>
        </w:rPr>
        <w:t>:</w:t>
      </w:r>
      <w:r w:rsidRPr="00392197">
        <w:rPr>
          <w:rFonts w:ascii="Book Antiqua" w:hAnsi="Book Antiqua"/>
          <w:color w:val="000000" w:themeColor="text1"/>
        </w:rPr>
        <w:t xml:space="preserve"> Frequency</w:t>
      </w:r>
    </w:p>
    <w:p w14:paraId="15521BFB" w14:textId="77777777" w:rsidR="00E963F5" w:rsidRDefault="00E963F5" w:rsidP="00453184">
      <w:pPr>
        <w:rPr>
          <w:rFonts w:ascii="Book Antiqua" w:hAnsi="Book Antiqua"/>
          <w:color w:val="000000" w:themeColor="text1"/>
        </w:rPr>
        <w:sectPr w:rsidR="00E963F5" w:rsidSect="00453184">
          <w:pgSz w:w="15840" w:h="12240" w:orient="landscape"/>
          <w:pgMar w:top="1440" w:right="1440" w:bottom="1440" w:left="1440" w:header="720" w:footer="720" w:gutter="0"/>
          <w:cols w:space="720"/>
          <w:docGrid w:linePitch="360"/>
        </w:sectPr>
      </w:pPr>
    </w:p>
    <w:p w14:paraId="7B175DC4" w14:textId="3F251367" w:rsidR="0041478D" w:rsidRDefault="0041478D" w:rsidP="00453184">
      <w:pPr>
        <w:rPr>
          <w:rFonts w:ascii="Book Antiqua" w:hAnsi="Book Antiqua"/>
          <w:color w:val="000000" w:themeColor="text1"/>
        </w:rPr>
      </w:pPr>
      <w:r>
        <w:rPr>
          <w:rFonts w:ascii="Book Antiqua" w:hAnsi="Book Antiqua"/>
          <w:color w:val="000000" w:themeColor="text1"/>
        </w:rPr>
        <w:lastRenderedPageBreak/>
        <w:t>References:</w:t>
      </w:r>
    </w:p>
    <w:p w14:paraId="6EAB68E4" w14:textId="0180A420"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Pr>
          <w:rFonts w:ascii="Book Antiqua" w:hAnsi="Book Antiqua"/>
          <w:color w:val="000000" w:themeColor="text1"/>
        </w:rPr>
        <w:fldChar w:fldCharType="begin" w:fldLock="1"/>
      </w:r>
      <w:r>
        <w:rPr>
          <w:rFonts w:ascii="Book Antiqua" w:hAnsi="Book Antiqua"/>
          <w:color w:val="000000" w:themeColor="text1"/>
        </w:rPr>
        <w:instrText xml:space="preserve">ADDIN Mendeley Bibliography CSL_BIBLIOGRAPHY </w:instrText>
      </w:r>
      <w:r>
        <w:rPr>
          <w:rFonts w:ascii="Book Antiqua" w:hAnsi="Book Antiqua"/>
          <w:color w:val="000000" w:themeColor="text1"/>
        </w:rPr>
        <w:fldChar w:fldCharType="separate"/>
      </w:r>
      <w:r w:rsidRPr="0041478D">
        <w:rPr>
          <w:rFonts w:ascii="Book Antiqua" w:hAnsi="Book Antiqua" w:cs="Times New Roman"/>
          <w:noProof/>
          <w:szCs w:val="24"/>
        </w:rPr>
        <w:t xml:space="preserve">1. </w:t>
      </w:r>
      <w:r w:rsidRPr="0041478D">
        <w:rPr>
          <w:rFonts w:ascii="Book Antiqua" w:hAnsi="Book Antiqua" w:cs="Times New Roman"/>
          <w:noProof/>
          <w:szCs w:val="24"/>
        </w:rPr>
        <w:tab/>
        <w:t xml:space="preserve">Cheng L, Lopez-Beltran A, Massari F, MacLennan GT, Montironi R. Molecular testing for BRAF mutations to inform melanoma treatment decisions: a move toward precision medicine. </w:t>
      </w:r>
      <w:r w:rsidRPr="0041478D">
        <w:rPr>
          <w:rFonts w:ascii="Book Antiqua" w:hAnsi="Book Antiqua" w:cs="Times New Roman"/>
          <w:i/>
          <w:iCs/>
          <w:noProof/>
          <w:szCs w:val="24"/>
        </w:rPr>
        <w:t>Mod Pathol</w:t>
      </w:r>
      <w:r w:rsidRPr="0041478D">
        <w:rPr>
          <w:rFonts w:ascii="Book Antiqua" w:hAnsi="Book Antiqua" w:cs="Times New Roman"/>
          <w:noProof/>
          <w:szCs w:val="24"/>
        </w:rPr>
        <w:t>. 2018;31(1):24-38. doi:10.1038/modpathol.2017.104</w:t>
      </w:r>
    </w:p>
    <w:p w14:paraId="40E3EBFD"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2. </w:t>
      </w:r>
      <w:r w:rsidRPr="0041478D">
        <w:rPr>
          <w:rFonts w:ascii="Book Antiqua" w:hAnsi="Book Antiqua" w:cs="Times New Roman"/>
          <w:noProof/>
          <w:szCs w:val="24"/>
        </w:rPr>
        <w:tab/>
        <w:t xml:space="preserve">Rickel K, Fang F, Tao J. Molecular genetics of osteosarcoma. </w:t>
      </w:r>
      <w:r w:rsidRPr="0041478D">
        <w:rPr>
          <w:rFonts w:ascii="Book Antiqua" w:hAnsi="Book Antiqua" w:cs="Times New Roman"/>
          <w:i/>
          <w:iCs/>
          <w:noProof/>
          <w:szCs w:val="24"/>
        </w:rPr>
        <w:t>Bone</w:t>
      </w:r>
      <w:r w:rsidRPr="0041478D">
        <w:rPr>
          <w:rFonts w:ascii="Book Antiqua" w:hAnsi="Book Antiqua" w:cs="Times New Roman"/>
          <w:noProof/>
          <w:szCs w:val="24"/>
        </w:rPr>
        <w:t>. 2017;102:69-79. doi:10.1016/j.bone.2016.10.017</w:t>
      </w:r>
    </w:p>
    <w:p w14:paraId="02E117D0"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3. </w:t>
      </w:r>
      <w:r w:rsidRPr="0041478D">
        <w:rPr>
          <w:rFonts w:ascii="Book Antiqua" w:hAnsi="Book Antiqua" w:cs="Times New Roman"/>
          <w:noProof/>
          <w:szCs w:val="24"/>
        </w:rPr>
        <w:tab/>
        <w:t xml:space="preserve">Pasqualucci L, Dalla-Favera R. Genetics of diffuse large B-cell lymphoma. </w:t>
      </w:r>
      <w:r w:rsidRPr="0041478D">
        <w:rPr>
          <w:rFonts w:ascii="Book Antiqua" w:hAnsi="Book Antiqua" w:cs="Times New Roman"/>
          <w:i/>
          <w:iCs/>
          <w:noProof/>
          <w:szCs w:val="24"/>
        </w:rPr>
        <w:t>Blood</w:t>
      </w:r>
      <w:r w:rsidRPr="0041478D">
        <w:rPr>
          <w:rFonts w:ascii="Book Antiqua" w:hAnsi="Book Antiqua" w:cs="Times New Roman"/>
          <w:noProof/>
          <w:szCs w:val="24"/>
        </w:rPr>
        <w:t>. 2018;131(21):2307-2319. doi:10.1182/blood-2017-11-764332</w:t>
      </w:r>
    </w:p>
    <w:p w14:paraId="105B444F"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4. </w:t>
      </w:r>
      <w:r w:rsidRPr="0041478D">
        <w:rPr>
          <w:rFonts w:ascii="Book Antiqua" w:hAnsi="Book Antiqua" w:cs="Times New Roman"/>
          <w:noProof/>
          <w:szCs w:val="24"/>
        </w:rPr>
        <w:tab/>
        <w:t xml:space="preserve">Steidl C, Telenius A, Shah SP, et al. Genome-wide copy number analysis of Hodgkin Reed-Sternberg cells identifies recurrent imbalances with correlations to treatment outcome. </w:t>
      </w:r>
      <w:r w:rsidRPr="0041478D">
        <w:rPr>
          <w:rFonts w:ascii="Book Antiqua" w:hAnsi="Book Antiqua" w:cs="Times New Roman"/>
          <w:i/>
          <w:iCs/>
          <w:noProof/>
          <w:szCs w:val="24"/>
        </w:rPr>
        <w:t>Blood</w:t>
      </w:r>
      <w:r w:rsidRPr="0041478D">
        <w:rPr>
          <w:rFonts w:ascii="Book Antiqua" w:hAnsi="Book Antiqua" w:cs="Times New Roman"/>
          <w:noProof/>
          <w:szCs w:val="24"/>
        </w:rPr>
        <w:t>. 2010;116(3):418-427. doi:10.1182/blood-2009-12-257345</w:t>
      </w:r>
    </w:p>
    <w:p w14:paraId="18583198"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5. </w:t>
      </w:r>
      <w:r w:rsidRPr="0041478D">
        <w:rPr>
          <w:rFonts w:ascii="Book Antiqua" w:hAnsi="Book Antiqua" w:cs="Times New Roman"/>
          <w:noProof/>
          <w:szCs w:val="24"/>
        </w:rPr>
        <w:tab/>
        <w:t xml:space="preserve">Borchmann S, Engert A. The genetics of Hodgkin lymphoma: an overview and clinical implications. </w:t>
      </w:r>
      <w:r w:rsidRPr="0041478D">
        <w:rPr>
          <w:rFonts w:ascii="Book Antiqua" w:hAnsi="Book Antiqua" w:cs="Times New Roman"/>
          <w:i/>
          <w:iCs/>
          <w:noProof/>
          <w:szCs w:val="24"/>
        </w:rPr>
        <w:t>Curr Opin Oncol</w:t>
      </w:r>
      <w:r w:rsidRPr="0041478D">
        <w:rPr>
          <w:rFonts w:ascii="Book Antiqua" w:hAnsi="Book Antiqua" w:cs="Times New Roman"/>
          <w:noProof/>
          <w:szCs w:val="24"/>
        </w:rPr>
        <w:t>. 2017;29(5):307-314. doi:10.1097/CCO.0000000000000396</w:t>
      </w:r>
    </w:p>
    <w:p w14:paraId="0A7342C1"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6. </w:t>
      </w:r>
      <w:r w:rsidRPr="0041478D">
        <w:rPr>
          <w:rFonts w:ascii="Book Antiqua" w:hAnsi="Book Antiqua" w:cs="Times New Roman"/>
          <w:noProof/>
          <w:szCs w:val="24"/>
        </w:rPr>
        <w:tab/>
        <w:t xml:space="preserve">Tasian SK, Hunger SP. Genomic characterization of paediatric acute lymphoblastic leukaemia: an opportunity for precision medicine therapeutics. </w:t>
      </w:r>
      <w:r w:rsidRPr="0041478D">
        <w:rPr>
          <w:rFonts w:ascii="Book Antiqua" w:hAnsi="Book Antiqua" w:cs="Times New Roman"/>
          <w:i/>
          <w:iCs/>
          <w:noProof/>
          <w:szCs w:val="24"/>
        </w:rPr>
        <w:t>Br J Haematol</w:t>
      </w:r>
      <w:r w:rsidRPr="0041478D">
        <w:rPr>
          <w:rFonts w:ascii="Book Antiqua" w:hAnsi="Book Antiqua" w:cs="Times New Roman"/>
          <w:noProof/>
          <w:szCs w:val="24"/>
        </w:rPr>
        <w:t>. 2017;176(6):867-882. doi:10.1111/bjh.14474</w:t>
      </w:r>
    </w:p>
    <w:p w14:paraId="02D491E0"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7. </w:t>
      </w:r>
      <w:r w:rsidRPr="0041478D">
        <w:rPr>
          <w:rFonts w:ascii="Book Antiqua" w:hAnsi="Book Antiqua" w:cs="Times New Roman"/>
          <w:noProof/>
          <w:szCs w:val="24"/>
        </w:rPr>
        <w:tab/>
        <w:t xml:space="preserve">Bullinger L, Döhner K, Döhner H. Genomics of Acute Myeloid Leukemia Diagnosis and Pathways. </w:t>
      </w:r>
      <w:r w:rsidRPr="0041478D">
        <w:rPr>
          <w:rFonts w:ascii="Book Antiqua" w:hAnsi="Book Antiqua" w:cs="Times New Roman"/>
          <w:i/>
          <w:iCs/>
          <w:noProof/>
          <w:szCs w:val="24"/>
        </w:rPr>
        <w:t>J Clin Oncol</w:t>
      </w:r>
      <w:r w:rsidRPr="0041478D">
        <w:rPr>
          <w:rFonts w:ascii="Book Antiqua" w:hAnsi="Book Antiqua" w:cs="Times New Roman"/>
          <w:noProof/>
          <w:szCs w:val="24"/>
        </w:rPr>
        <w:t>. 2017;35(9):934-946. doi:10.1200/JCO.2016.71.2208</w:t>
      </w:r>
    </w:p>
    <w:p w14:paraId="2FECF4D9"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8. </w:t>
      </w:r>
      <w:r w:rsidRPr="0041478D">
        <w:rPr>
          <w:rFonts w:ascii="Book Antiqua" w:hAnsi="Book Antiqua" w:cs="Times New Roman"/>
          <w:noProof/>
          <w:szCs w:val="24"/>
        </w:rPr>
        <w:tab/>
        <w:t xml:space="preserve">Banerji S, Cibulskis K, Rangel-Escareno C, et al. Sequence analysis of mutations and translocations across breast cancer subtypes. </w:t>
      </w:r>
      <w:r w:rsidRPr="0041478D">
        <w:rPr>
          <w:rFonts w:ascii="Book Antiqua" w:hAnsi="Book Antiqua" w:cs="Times New Roman"/>
          <w:i/>
          <w:iCs/>
          <w:noProof/>
          <w:szCs w:val="24"/>
        </w:rPr>
        <w:t>Nature</w:t>
      </w:r>
      <w:r w:rsidRPr="0041478D">
        <w:rPr>
          <w:rFonts w:ascii="Book Antiqua" w:hAnsi="Book Antiqua" w:cs="Times New Roman"/>
          <w:noProof/>
          <w:szCs w:val="24"/>
        </w:rPr>
        <w:t>. 2012;486(7403):405-409. doi:10.1038/nature11154</w:t>
      </w:r>
    </w:p>
    <w:p w14:paraId="307A04B3"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9. </w:t>
      </w:r>
      <w:r w:rsidRPr="0041478D">
        <w:rPr>
          <w:rFonts w:ascii="Book Antiqua" w:hAnsi="Book Antiqua" w:cs="Times New Roman"/>
          <w:noProof/>
          <w:szCs w:val="24"/>
        </w:rPr>
        <w:tab/>
        <w:t xml:space="preserve">Ghamlouch H, Nguyen-Khac F, Bernard OA. Chronic lymphocytic leukaemia genomics and the precision medicine era. </w:t>
      </w:r>
      <w:r w:rsidRPr="0041478D">
        <w:rPr>
          <w:rFonts w:ascii="Book Antiqua" w:hAnsi="Book Antiqua" w:cs="Times New Roman"/>
          <w:i/>
          <w:iCs/>
          <w:noProof/>
          <w:szCs w:val="24"/>
        </w:rPr>
        <w:t>Br J Haematol</w:t>
      </w:r>
      <w:r w:rsidRPr="0041478D">
        <w:rPr>
          <w:rFonts w:ascii="Book Antiqua" w:hAnsi="Book Antiqua" w:cs="Times New Roman"/>
          <w:noProof/>
          <w:szCs w:val="24"/>
        </w:rPr>
        <w:t>. 2017;178(6):852-870. doi:10.1111/bjh.14719</w:t>
      </w:r>
    </w:p>
    <w:p w14:paraId="541305AB"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10. </w:t>
      </w:r>
      <w:r w:rsidRPr="0041478D">
        <w:rPr>
          <w:rFonts w:ascii="Book Antiqua" w:hAnsi="Book Antiqua" w:cs="Times New Roman"/>
          <w:noProof/>
          <w:szCs w:val="24"/>
        </w:rPr>
        <w:tab/>
        <w:t xml:space="preserve">DE ROSA M, PACE U, REGA D, et al. Genetics, diagnosis and management of colorectal cancer (Review). </w:t>
      </w:r>
      <w:r w:rsidRPr="0041478D">
        <w:rPr>
          <w:rFonts w:ascii="Book Antiqua" w:hAnsi="Book Antiqua" w:cs="Times New Roman"/>
          <w:i/>
          <w:iCs/>
          <w:noProof/>
          <w:szCs w:val="24"/>
        </w:rPr>
        <w:t>Oncol Rep</w:t>
      </w:r>
      <w:r w:rsidRPr="0041478D">
        <w:rPr>
          <w:rFonts w:ascii="Book Antiqua" w:hAnsi="Book Antiqua" w:cs="Times New Roman"/>
          <w:noProof/>
          <w:szCs w:val="24"/>
        </w:rPr>
        <w:t>. 2015;34(3):1087-1096. doi:10.3892/or.2015.4108</w:t>
      </w:r>
    </w:p>
    <w:p w14:paraId="78CD4543"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lastRenderedPageBreak/>
        <w:t xml:space="preserve">11. </w:t>
      </w:r>
      <w:r w:rsidRPr="0041478D">
        <w:rPr>
          <w:rFonts w:ascii="Book Antiqua" w:hAnsi="Book Antiqua" w:cs="Times New Roman"/>
          <w:noProof/>
          <w:szCs w:val="24"/>
        </w:rPr>
        <w:tab/>
        <w:t xml:space="preserve">Munteanu I, Mastalier B. Genetics of colorectal cancer. </w:t>
      </w:r>
      <w:r w:rsidRPr="0041478D">
        <w:rPr>
          <w:rFonts w:ascii="Book Antiqua" w:hAnsi="Book Antiqua" w:cs="Times New Roman"/>
          <w:i/>
          <w:iCs/>
          <w:noProof/>
          <w:szCs w:val="24"/>
        </w:rPr>
        <w:t>J Med Life</w:t>
      </w:r>
      <w:r w:rsidRPr="0041478D">
        <w:rPr>
          <w:rFonts w:ascii="Book Antiqua" w:hAnsi="Book Antiqua" w:cs="Times New Roman"/>
          <w:noProof/>
          <w:szCs w:val="24"/>
        </w:rPr>
        <w:t>. 7(4):507-511.</w:t>
      </w:r>
    </w:p>
    <w:p w14:paraId="75E71ADD"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12. </w:t>
      </w:r>
      <w:r w:rsidRPr="0041478D">
        <w:rPr>
          <w:rFonts w:ascii="Book Antiqua" w:hAnsi="Book Antiqua" w:cs="Times New Roman"/>
          <w:noProof/>
          <w:szCs w:val="24"/>
        </w:rPr>
        <w:tab/>
        <w:t xml:space="preserve">Tan M, Myers JN, Agrawal N. Oral Cavity and Oropharyngeal Squamous Cell Carcinoma Genomics. </w:t>
      </w:r>
      <w:r w:rsidRPr="0041478D">
        <w:rPr>
          <w:rFonts w:ascii="Book Antiqua" w:hAnsi="Book Antiqua" w:cs="Times New Roman"/>
          <w:i/>
          <w:iCs/>
          <w:noProof/>
          <w:szCs w:val="24"/>
        </w:rPr>
        <w:t>Otolaryngol Clin North Am</w:t>
      </w:r>
      <w:r w:rsidRPr="0041478D">
        <w:rPr>
          <w:rFonts w:ascii="Book Antiqua" w:hAnsi="Book Antiqua" w:cs="Times New Roman"/>
          <w:noProof/>
          <w:szCs w:val="24"/>
        </w:rPr>
        <w:t>. 2013;46(4):545-566. doi:10.1016/j.otc.2013.04.001</w:t>
      </w:r>
    </w:p>
    <w:p w14:paraId="3DFE967B"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13. </w:t>
      </w:r>
      <w:r w:rsidRPr="0041478D">
        <w:rPr>
          <w:rFonts w:ascii="Book Antiqua" w:hAnsi="Book Antiqua" w:cs="Times New Roman"/>
          <w:noProof/>
          <w:szCs w:val="24"/>
        </w:rPr>
        <w:tab/>
        <w:t xml:space="preserve">Shen MM, Abate-Shen C. Molecular genetics of prostate cancer: new prospects for old challenges. </w:t>
      </w:r>
      <w:r w:rsidRPr="0041478D">
        <w:rPr>
          <w:rFonts w:ascii="Book Antiqua" w:hAnsi="Book Antiqua" w:cs="Times New Roman"/>
          <w:i/>
          <w:iCs/>
          <w:noProof/>
          <w:szCs w:val="24"/>
        </w:rPr>
        <w:t>Genes Dev</w:t>
      </w:r>
      <w:r w:rsidRPr="0041478D">
        <w:rPr>
          <w:rFonts w:ascii="Book Antiqua" w:hAnsi="Book Antiqua" w:cs="Times New Roman"/>
          <w:noProof/>
          <w:szCs w:val="24"/>
        </w:rPr>
        <w:t>. 2010;24(18):1967-2000. doi:10.1101/gad.1965810</w:t>
      </w:r>
    </w:p>
    <w:p w14:paraId="6ADFD2CF" w14:textId="77777777" w:rsidR="0041478D" w:rsidRPr="0041478D" w:rsidRDefault="0041478D" w:rsidP="0041478D">
      <w:pPr>
        <w:widowControl w:val="0"/>
        <w:autoSpaceDE w:val="0"/>
        <w:autoSpaceDN w:val="0"/>
        <w:adjustRightInd w:val="0"/>
        <w:ind w:left="640" w:hanging="640"/>
        <w:rPr>
          <w:rFonts w:ascii="Book Antiqua" w:hAnsi="Book Antiqua" w:cs="Times New Roman"/>
          <w:noProof/>
          <w:szCs w:val="24"/>
        </w:rPr>
      </w:pPr>
      <w:r w:rsidRPr="0041478D">
        <w:rPr>
          <w:rFonts w:ascii="Book Antiqua" w:hAnsi="Book Antiqua" w:cs="Times New Roman"/>
          <w:noProof/>
          <w:szCs w:val="24"/>
        </w:rPr>
        <w:t xml:space="preserve">14. </w:t>
      </w:r>
      <w:r w:rsidRPr="0041478D">
        <w:rPr>
          <w:rFonts w:ascii="Book Antiqua" w:hAnsi="Book Antiqua" w:cs="Times New Roman"/>
          <w:noProof/>
          <w:szCs w:val="24"/>
        </w:rPr>
        <w:tab/>
        <w:t xml:space="preserve">Karan D, Lin M-F, Johansson SL, Batra SK. Current status of the molecular genetics of human prostatic adenocarcinomas. </w:t>
      </w:r>
      <w:r w:rsidRPr="0041478D">
        <w:rPr>
          <w:rFonts w:ascii="Book Antiqua" w:hAnsi="Book Antiqua" w:cs="Times New Roman"/>
          <w:i/>
          <w:iCs/>
          <w:noProof/>
          <w:szCs w:val="24"/>
        </w:rPr>
        <w:t>Int J Cancer</w:t>
      </w:r>
      <w:r w:rsidRPr="0041478D">
        <w:rPr>
          <w:rFonts w:ascii="Book Antiqua" w:hAnsi="Book Antiqua" w:cs="Times New Roman"/>
          <w:noProof/>
          <w:szCs w:val="24"/>
        </w:rPr>
        <w:t>. 2003;103(3):285-293. doi:10.1002/ijc.10813</w:t>
      </w:r>
    </w:p>
    <w:p w14:paraId="27A73F25" w14:textId="77777777" w:rsidR="0041478D" w:rsidRPr="0041478D" w:rsidRDefault="0041478D" w:rsidP="0041478D">
      <w:pPr>
        <w:widowControl w:val="0"/>
        <w:autoSpaceDE w:val="0"/>
        <w:autoSpaceDN w:val="0"/>
        <w:adjustRightInd w:val="0"/>
        <w:ind w:left="640" w:hanging="640"/>
        <w:rPr>
          <w:rFonts w:ascii="Book Antiqua" w:hAnsi="Book Antiqua"/>
          <w:noProof/>
        </w:rPr>
      </w:pPr>
      <w:r w:rsidRPr="0041478D">
        <w:rPr>
          <w:rFonts w:ascii="Book Antiqua" w:hAnsi="Book Antiqua" w:cs="Times New Roman"/>
          <w:noProof/>
          <w:szCs w:val="24"/>
        </w:rPr>
        <w:t xml:space="preserve">15. </w:t>
      </w:r>
      <w:r w:rsidRPr="0041478D">
        <w:rPr>
          <w:rFonts w:ascii="Book Antiqua" w:hAnsi="Book Antiqua" w:cs="Times New Roman"/>
          <w:noProof/>
          <w:szCs w:val="24"/>
        </w:rPr>
        <w:tab/>
        <w:t xml:space="preserve">Zhang X, Zhang Y. Bladder Cancer and Genetic Mutations. </w:t>
      </w:r>
      <w:r w:rsidRPr="0041478D">
        <w:rPr>
          <w:rFonts w:ascii="Book Antiqua" w:hAnsi="Book Antiqua" w:cs="Times New Roman"/>
          <w:i/>
          <w:iCs/>
          <w:noProof/>
          <w:szCs w:val="24"/>
        </w:rPr>
        <w:t>Cell Biochem Biophys</w:t>
      </w:r>
      <w:r w:rsidRPr="0041478D">
        <w:rPr>
          <w:rFonts w:ascii="Book Antiqua" w:hAnsi="Book Antiqua" w:cs="Times New Roman"/>
          <w:noProof/>
          <w:szCs w:val="24"/>
        </w:rPr>
        <w:t>. 2015;73(1):65-69. doi:10.1007/s12013-015-0574-z</w:t>
      </w:r>
    </w:p>
    <w:p w14:paraId="10C47905" w14:textId="293C1865" w:rsidR="0041478D" w:rsidRPr="00392197" w:rsidRDefault="0041478D" w:rsidP="00453184">
      <w:pPr>
        <w:rPr>
          <w:rFonts w:ascii="Book Antiqua" w:hAnsi="Book Antiqua"/>
          <w:color w:val="000000" w:themeColor="text1"/>
        </w:rPr>
      </w:pPr>
      <w:r>
        <w:rPr>
          <w:rFonts w:ascii="Book Antiqua" w:hAnsi="Book Antiqua"/>
          <w:color w:val="000000" w:themeColor="text1"/>
        </w:rPr>
        <w:fldChar w:fldCharType="end"/>
      </w:r>
    </w:p>
    <w:p w14:paraId="5DEE869A" w14:textId="77777777" w:rsidR="00B410BC" w:rsidRDefault="00B410BC"/>
    <w:sectPr w:rsidR="00B410BC" w:rsidSect="00E96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0000000000000000000"/>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C0tDQwMzQ2MzAzMTBS0lEKTi0uzszPAykwrAUAqEbe7CwAAAA="/>
  </w:docVars>
  <w:rsids>
    <w:rsidRoot w:val="00453184"/>
    <w:rsid w:val="0041478D"/>
    <w:rsid w:val="00453184"/>
    <w:rsid w:val="008F6E41"/>
    <w:rsid w:val="00B410BC"/>
    <w:rsid w:val="00C67532"/>
    <w:rsid w:val="00E963F5"/>
    <w:rsid w:val="00EB21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40C9"/>
  <w15:chartTrackingRefBased/>
  <w15:docId w15:val="{F1EACBC1-CCAC-4412-A83A-ADC0E42E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184"/>
    <w:pPr>
      <w:spacing w:before="240" w:after="240" w:line="360" w:lineRule="auto"/>
    </w:pPr>
    <w:rPr>
      <w:rFonts w:eastAsiaTheme="minorEastAsia"/>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453184"/>
    <w:pPr>
      <w:spacing w:before="100" w:after="200" w:line="240" w:lineRule="auto"/>
    </w:pPr>
    <w:rPr>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0E69923B-EB57-44FD-8417-08828390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5053</Words>
  <Characters>28804</Characters>
  <Application>Microsoft Office Word</Application>
  <DocSecurity>0</DocSecurity>
  <Lines>240</Lines>
  <Paragraphs>67</Paragraphs>
  <ScaleCrop>false</ScaleCrop>
  <Company/>
  <LinksUpToDate>false</LinksUpToDate>
  <CharactersWithSpaces>33790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Samir</dc:creator>
  <cp:keywords/>
  <dc:description/>
  <cp:lastModifiedBy>Ahmad Samir</cp:lastModifiedBy>
  <cp:revision>4</cp:revision>
  <dcterms:created xsi:type="dcterms:W3CDTF">2020-08-23T12:03:00Z</dcterms:created>
  <dcterms:modified xsi:type="dcterms:W3CDTF">2020-08-23T12:04:00Z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08cfabf9-133a-3182-88b1-c48abde04e3a</vt:lpwstr>
  </property>
  <property fmtid="{D5CDD505-2E9C-101B-9397-08002B2CF9AE}" pid="4" name="Mendeley Citation Style_1">
    <vt:lpwstr>http://www.zotero.org/styles/american-medical-association</vt:lpwstr>
  </property>
</Properties>
</file>